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90" w:line="235" w:lineRule="auto"/>
        <w:ind w:left="979"/>
        <w:rPr>
          <w:rFonts w:ascii="YouYuan" w:eastAsia="YouYuan" w:hAnsi="YouYuan" w:cs="YouYuan"/>
          <w:sz w:val="59"/>
          <w:szCs w:val="59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14pt;height:114.95pt;margin-top:424.17pt;margin-left:5.28pt;mso-position-horizontal-relative:page;mso-position-vertical-relative:page;position:absolute;z-index:251660288" o:allowincell="f" filled="f" stroked="f">
            <o:lock v:ext="edit" aspectratio="f"/>
            <v:textbox style="layout-flow:vertical-ideographic" inset="0,0,0,0">
              <w:txbxContent>
                <w:p>
                  <w:pPr>
                    <w:spacing w:before="19" w:line="215" w:lineRule="auto"/>
                    <w:ind w:left="20"/>
                    <w:rPr>
                      <w:rFonts w:ascii="SimSun" w:eastAsia="SimSun" w:hAnsi="SimSun" w:cs="SimSun"/>
                      <w:sz w:val="20"/>
                      <w:szCs w:val="20"/>
                    </w:rPr>
                  </w:pPr>
                  <w:r>
                    <w:rPr>
                      <w:rFonts w:ascii="SimSun" w:eastAsia="SimSun" w:hAnsi="SimSun" w:cs="SimSun"/>
                      <w:spacing w:val="25"/>
                      <w:sz w:val="20"/>
                      <w:szCs w:val="20"/>
                    </w:rPr>
                    <w:t>开源证券证券研究报告</w:t>
                  </w:r>
                </w:p>
              </w:txbxContent>
            </v:textbox>
          </v:shape>
        </w:pict>
      </w:r>
      <w:r>
        <w:pict>
          <v:shape id="_x0000_s1026" type="#_x0000_t202" style="width:25pt;height:170pt;margin-top:0.03pt;margin-left:0;position:absolute;z-index:251658240" filled="t" fillcolor="#8cb2e1" stroked="f">
            <o:lock v:ext="edit" aspectratio="f"/>
            <v:textbox style="layout-flow:vertical-ideographic" inset="0,0,0,0">
              <w:txbxContent>
                <w:p>
                  <w:pPr>
                    <w:pStyle w:val="BodyText"/>
                    <w:spacing w:before="114" w:line="231" w:lineRule="auto"/>
                    <w:ind w:left="1241"/>
                  </w:pPr>
                  <w:r>
                    <w:rPr>
                      <w:spacing w:val="23"/>
                    </w:rPr>
                    <w:t>行业研究</w:t>
                  </w:r>
                </w:p>
              </w:txbxContent>
            </v:textbox>
          </v:shape>
        </w:pict>
      </w:r>
      <w:r>
        <w:pict>
          <v:shape id="_x0000_s1027" type="#_x0000_t202" style="width:24.5pt;height:159.55pt;margin-top:174pt;margin-left:0;mso-position-horizontal-relative:page;mso-position-vertical-relative:page;position:absolute;z-index:251659264" o:allowincell="f" filled="t" fillcolor="#c63f2c" stroked="f">
            <o:lock v:ext="edit" aspectratio="f"/>
            <v:textbox style="layout-flow:vertical-ideographic" inset="0,0,0,0">
              <w:txbxContent>
                <w:p>
                  <w:pPr>
                    <w:spacing w:before="135" w:line="216" w:lineRule="auto"/>
                    <w:ind w:left="1078"/>
                    <w:rPr>
                      <w:rFonts w:ascii="SimSun" w:eastAsia="SimSun" w:hAnsi="SimSun" w:cs="SimSun"/>
                      <w:sz w:val="20"/>
                      <w:szCs w:val="20"/>
                    </w:rPr>
                  </w:pPr>
                  <w:r>
                    <w:rPr>
                      <w:rFonts w:ascii="SimSun" w:eastAsia="SimSun" w:hAnsi="SimSun" w:cs="SimSun"/>
                      <w:color w:val="C71A00"/>
                      <w:spacing w:val="13"/>
                      <w:sz w:val="20"/>
                      <w:szCs w:val="20"/>
                    </w:rPr>
                    <w:t>行业周报</w:t>
                  </w:r>
                </w:p>
              </w:txbxContent>
            </v:textbox>
          </v:shape>
        </w:pict>
      </w:r>
      <w:r>
        <w:rPr>
          <w:rFonts w:ascii="YouYuan" w:eastAsia="YouYuan" w:hAnsi="YouYuan" w:cs="YouYuan"/>
          <w:position w:val="-21"/>
          <w:sz w:val="59"/>
          <w:szCs w:val="59"/>
        </w:rPr>
        <w:drawing>
          <wp:inline distT="0" distB="0" distL="0" distR="0">
            <wp:extent cx="565171" cy="501734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5171" cy="501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YouYuan" w:eastAsia="YouYuan" w:hAnsi="YouYuan" w:cs="YouYuan"/>
          <w:b/>
          <w:bCs/>
          <w:spacing w:val="41"/>
          <w:sz w:val="59"/>
          <w:szCs w:val="59"/>
        </w:rPr>
        <w:t>开源证券</w:t>
      </w:r>
    </w:p>
    <w:p>
      <w:pPr>
        <w:pStyle w:val="BodyText"/>
        <w:spacing w:before="3" w:line="225" w:lineRule="auto"/>
        <w:ind w:left="9819"/>
        <w:rPr>
          <w:sz w:val="23"/>
          <w:szCs w:val="23"/>
        </w:rPr>
      </w:pPr>
      <w:r>
        <w:pict>
          <v:rect id="_x0000_s1028" style="width:520.65pt;height:0.6pt;margin-top:11.08pt;margin-left:35.5pt;position:absolute;z-index:251661312" filled="t" fillcolor="black" stroked="f"/>
        </w:pict>
      </w:r>
      <w:r>
        <w:rPr>
          <w:b/>
          <w:bCs/>
          <w:spacing w:val="-15"/>
          <w:sz w:val="23"/>
          <w:szCs w:val="23"/>
        </w:rPr>
        <w:t>有</w:t>
      </w:r>
      <w:r>
        <w:rPr>
          <w:spacing w:val="57"/>
          <w:sz w:val="23"/>
          <w:szCs w:val="23"/>
        </w:rPr>
        <w:t xml:space="preserve"> </w:t>
      </w:r>
      <w:r>
        <w:rPr>
          <w:b/>
          <w:bCs/>
          <w:spacing w:val="-15"/>
          <w:sz w:val="23"/>
          <w:szCs w:val="23"/>
        </w:rPr>
        <w:t>色</w:t>
      </w:r>
      <w:r>
        <w:rPr>
          <w:spacing w:val="16"/>
          <w:sz w:val="23"/>
          <w:szCs w:val="23"/>
        </w:rPr>
        <w:t xml:space="preserve"> </w:t>
      </w:r>
      <w:r>
        <w:rPr>
          <w:b/>
          <w:bCs/>
          <w:spacing w:val="-15"/>
          <w:sz w:val="23"/>
          <w:szCs w:val="23"/>
        </w:rPr>
        <w:t>金</w:t>
      </w:r>
      <w:r>
        <w:rPr>
          <w:spacing w:val="17"/>
          <w:sz w:val="23"/>
          <w:szCs w:val="23"/>
        </w:rPr>
        <w:t xml:space="preserve"> </w:t>
      </w:r>
      <w:r>
        <w:rPr>
          <w:b/>
          <w:bCs/>
          <w:spacing w:val="-15"/>
          <w:sz w:val="23"/>
          <w:szCs w:val="23"/>
        </w:rPr>
        <w:t>属</w:t>
      </w:r>
    </w:p>
    <w:p>
      <w:pPr>
        <w:spacing w:line="163" w:lineRule="exact"/>
      </w:pPr>
    </w:p>
    <w:p>
      <w:pPr>
        <w:spacing w:line="163" w:lineRule="exact"/>
        <w:sectPr>
          <w:footerReference w:type="default" r:id="rId5"/>
          <w:pgSz w:w="11910" w:h="16840"/>
          <w:pgMar w:top="9" w:right="679" w:bottom="1150" w:left="0" w:header="0" w:footer="858" w:gutter="0"/>
          <w:cols w:num="1" w:space="708" w:equalWidth="0">
            <w:col w:w="11231" w:space="0"/>
          </w:cols>
        </w:sectPr>
      </w:pPr>
    </w:p>
    <w:p>
      <w:pPr>
        <w:pStyle w:val="BodyText"/>
        <w:spacing w:before="127" w:line="225" w:lineRule="auto"/>
        <w:ind w:left="713"/>
        <w:rPr>
          <w:sz w:val="28"/>
          <w:szCs w:val="28"/>
        </w:rPr>
      </w:pPr>
      <w:r>
        <w:rPr>
          <w:b/>
          <w:bCs/>
          <w:spacing w:val="-6"/>
          <w:sz w:val="28"/>
          <w:szCs w:val="28"/>
        </w:rPr>
        <w:t>有色金属</w:t>
      </w:r>
    </w:p>
    <w:p>
      <w:pPr>
        <w:pStyle w:val="BodyText"/>
        <w:spacing w:before="130" w:line="225" w:lineRule="auto"/>
        <w:ind w:left="709"/>
      </w:pPr>
      <w:r>
        <w:rPr>
          <w:spacing w:val="22"/>
          <w:w w:val="112"/>
        </w:rPr>
        <w:t>2024年03月07日</w:t>
      </w:r>
    </w:p>
    <w:p>
      <w:pPr>
        <w:spacing w:line="387" w:lineRule="auto"/>
        <w:rPr>
          <w:rFonts w:ascii="Arial"/>
          <w:sz w:val="21"/>
        </w:rPr>
      </w:pPr>
    </w:p>
    <w:p>
      <w:pPr>
        <w:pStyle w:val="BodyText"/>
        <w:spacing w:before="81" w:line="682" w:lineRule="exact"/>
        <w:ind w:left="713"/>
        <w:rPr>
          <w:sz w:val="25"/>
          <w:szCs w:val="25"/>
        </w:rPr>
      </w:pPr>
      <w:r>
        <w:rPr>
          <w:b/>
          <w:bCs/>
          <w:position w:val="33"/>
          <w:sz w:val="25"/>
          <w:szCs w:val="25"/>
        </w:rPr>
        <w:t>投资评级：看好(维持)</w:t>
      </w:r>
    </w:p>
    <w:p>
      <w:pPr>
        <w:spacing w:line="220" w:lineRule="auto"/>
        <w:ind w:left="712"/>
        <w:rPr>
          <w:rFonts w:ascii="FangSong" w:eastAsia="FangSong" w:hAnsi="FangSong" w:cs="FangSong"/>
          <w:sz w:val="20"/>
          <w:szCs w:val="20"/>
        </w:rPr>
      </w:pPr>
      <w:r>
        <w:rPr>
          <w:rFonts w:ascii="FangSong" w:eastAsia="FangSong" w:hAnsi="FangSong" w:cs="FangSong"/>
          <w:b/>
          <w:bCs/>
          <w:spacing w:val="39"/>
          <w:sz w:val="20"/>
          <w:szCs w:val="20"/>
        </w:rPr>
        <w:t>行业走势图</w:t>
      </w:r>
    </w:p>
    <w:p>
      <w:pPr>
        <w:spacing w:line="306" w:lineRule="auto"/>
        <w:rPr>
          <w:rFonts w:ascii="Arial"/>
          <w:sz w:val="21"/>
        </w:rPr>
      </w:pPr>
    </w:p>
    <w:p>
      <w:pPr>
        <w:spacing w:before="1" w:line="1880" w:lineRule="exact"/>
        <w:ind w:firstLine="539"/>
      </w:pPr>
      <w:r>
        <w:rPr>
          <w:position w:val="-37"/>
        </w:rPr>
        <w:drawing>
          <wp:inline distT="0" distB="0" distL="0" distR="0">
            <wp:extent cx="2063750" cy="1193810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63750" cy="119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72" w:line="222" w:lineRule="auto"/>
        <w:ind w:left="709"/>
        <w:rPr>
          <w:sz w:val="15"/>
          <w:szCs w:val="15"/>
        </w:rPr>
      </w:pPr>
      <w:r>
        <w:rPr>
          <w:spacing w:val="12"/>
          <w:sz w:val="15"/>
          <w:szCs w:val="15"/>
        </w:rPr>
        <w:t>数据来源：聚源</w:t>
      </w:r>
    </w:p>
    <w:p>
      <w:pPr>
        <w:pStyle w:val="BodyText"/>
        <w:spacing w:before="238" w:line="450" w:lineRule="exact"/>
        <w:ind w:firstLine="570"/>
      </w:pPr>
      <w:r>
        <w:rPr>
          <w:position w:val="-9"/>
        </w:rPr>
        <w:pict>
          <v:shape id="_x0000_i1029" type="#_x0000_t202" style="width:154.5pt;height:22.55pt;mso-position-horizontal-relative:char;mso-position-vertical-relative:line" filled="t" fillcolor="#1f477a" stroked="f">
            <o:lock v:ext="edit" aspectratio="f"/>
            <v:textbox inset="0,0,0,0">
              <w:txbxContent>
                <w:p>
                  <w:pPr>
                    <w:spacing w:before="168" w:line="229" w:lineRule="auto"/>
                    <w:ind w:left="872"/>
                    <w:rPr>
                      <w:rFonts w:ascii="KaiTi" w:eastAsia="KaiTi" w:hAnsi="KaiTi" w:cs="KaiTi"/>
                      <w:sz w:val="20"/>
                      <w:szCs w:val="20"/>
                    </w:rPr>
                  </w:pPr>
                  <w:r>
                    <w:rPr>
                      <w:rFonts w:ascii="KaiTi" w:eastAsia="KaiTi" w:hAnsi="KaiTi" w:cs="KaiTi"/>
                      <w:b/>
                      <w:bCs/>
                      <w:color w:val="FFFFFF"/>
                      <w:spacing w:val="33"/>
                      <w:sz w:val="20"/>
                      <w:szCs w:val="20"/>
                    </w:rPr>
                    <w:t>相关研究报告</w:t>
                  </w:r>
                </w:p>
              </w:txbxContent>
            </v:textbox>
            <w10:wrap type="none"/>
          </v:shape>
        </w:pict>
      </w:r>
    </w:p>
    <w:p>
      <w:pPr>
        <w:pStyle w:val="BodyText"/>
        <w:spacing w:before="149" w:line="272" w:lineRule="auto"/>
        <w:ind w:left="708" w:right="128" w:hanging="9"/>
        <w:jc w:val="both"/>
      </w:pPr>
      <w:r>
        <w:rPr>
          <w:spacing w:val="-15"/>
        </w:rPr>
        <w:t>《澳矿2023</w:t>
      </w:r>
      <w:r>
        <w:rPr>
          <w:rFonts w:ascii="Times New Roman" w:eastAsia="Times New Roman" w:hAnsi="Times New Roman" w:cs="Times New Roman"/>
          <w:spacing w:val="-15"/>
        </w:rPr>
        <w:t>Q4</w:t>
      </w:r>
      <w:r>
        <w:rPr>
          <w:spacing w:val="-15"/>
        </w:rPr>
        <w:t>追踪：中短期扩建项目</w:t>
      </w:r>
      <w:r>
        <w:t xml:space="preserve"> </w:t>
      </w:r>
      <w:r>
        <w:rPr>
          <w:spacing w:val="-16"/>
        </w:rPr>
        <w:t>继续，降本是2024财年主目标—行业</w:t>
      </w:r>
      <w:r>
        <w:rPr>
          <w:spacing w:val="8"/>
        </w:rPr>
        <w:t xml:space="preserve"> </w:t>
      </w:r>
      <w:r>
        <w:rPr>
          <w:spacing w:val="-11"/>
          <w:w w:val="92"/>
        </w:rPr>
        <w:t>深度报告》-2024.3.4</w:t>
      </w:r>
    </w:p>
    <w:p>
      <w:pPr>
        <w:pStyle w:val="BodyText"/>
        <w:spacing w:before="37" w:line="192" w:lineRule="auto"/>
        <w:ind w:left="699"/>
      </w:pPr>
      <w:r>
        <w:rPr>
          <w:spacing w:val="-15"/>
        </w:rPr>
        <w:t>《金、铜配置贯穿全年，高股息建议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67" w:line="220" w:lineRule="auto"/>
        <w:ind w:left="24"/>
        <w:outlineLvl w:val="0"/>
        <w:rPr>
          <w:sz w:val="33"/>
          <w:szCs w:val="33"/>
        </w:rPr>
      </w:pPr>
      <w:r>
        <w:rPr>
          <w:b/>
          <w:bCs/>
          <w:spacing w:val="-9"/>
          <w:sz w:val="33"/>
          <w:szCs w:val="33"/>
        </w:rPr>
        <w:t>3月看多黄金、锡，股息策略优选铝、钼</w:t>
      </w:r>
    </w:p>
    <w:p>
      <w:pPr>
        <w:pStyle w:val="BodyText"/>
        <w:spacing w:before="265" w:line="225" w:lineRule="auto"/>
        <w:ind w:left="3433"/>
        <w:rPr>
          <w:sz w:val="28"/>
          <w:szCs w:val="28"/>
        </w:rPr>
      </w:pPr>
      <w:r>
        <w:rPr>
          <w:b/>
          <w:bCs/>
          <w:spacing w:val="19"/>
          <w:sz w:val="28"/>
          <w:szCs w:val="28"/>
        </w:rPr>
        <w:t>——钢铁有色2024年2月月报</w:t>
      </w:r>
    </w:p>
    <w:p>
      <w:pPr>
        <w:spacing w:line="104" w:lineRule="exact"/>
      </w:pPr>
    </w:p>
    <w:tbl>
      <w:tblPr>
        <w:tblStyle w:val="TableNormal"/>
        <w:tblW w:w="735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95"/>
        <w:gridCol w:w="5355"/>
      </w:tblGrid>
      <w:tr>
        <w:tblPrEx>
          <w:tblW w:w="7350" w:type="dxa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876"/>
        </w:trPr>
        <w:tc>
          <w:tcPr>
            <w:tcW w:w="1995" w:type="dxa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spacing w:before="177" w:line="225" w:lineRule="auto"/>
              <w:ind w:left="22"/>
              <w:rPr>
                <w:rFonts w:ascii="KaiTi" w:eastAsia="KaiTi" w:hAnsi="KaiTi" w:cs="KaiTi"/>
                <w:sz w:val="20"/>
                <w:szCs w:val="20"/>
              </w:rPr>
            </w:pPr>
            <w:r>
              <w:rPr>
                <w:rFonts w:ascii="KaiTi" w:eastAsia="KaiTi" w:hAnsi="KaiTi" w:cs="KaiTi"/>
                <w:b/>
                <w:bCs/>
                <w:spacing w:val="19"/>
                <w:sz w:val="20"/>
                <w:szCs w:val="20"/>
              </w:rPr>
              <w:t>李怡然(分析师)</w:t>
            </w:r>
          </w:p>
          <w:p>
            <w:pPr>
              <w:pStyle w:val="TableText"/>
              <w:spacing w:before="49" w:line="183" w:lineRule="auto"/>
              <w:ind w:left="20"/>
              <w:rPr>
                <w:sz w:val="20"/>
                <w:szCs w:val="20"/>
              </w:rPr>
            </w:pPr>
            <w:r>
              <w:rPr>
                <w:spacing w:val="-9"/>
                <w:w w:val="99"/>
                <w:sz w:val="20"/>
                <w:szCs w:val="20"/>
              </w:rPr>
              <w:t>liyiran@kysec</w:t>
            </w:r>
            <w:r>
              <w:rPr>
                <w:rFonts w:ascii="SimSun" w:eastAsia="SimSun" w:hAnsi="SimSun" w:cs="SimSun"/>
                <w:color w:val="B45A00"/>
                <w:spacing w:val="-9"/>
                <w:w w:val="99"/>
                <w:sz w:val="20"/>
                <w:szCs w:val="20"/>
              </w:rPr>
              <w:t>.</w:t>
            </w:r>
            <w:r>
              <w:rPr>
                <w:spacing w:val="-9"/>
                <w:w w:val="99"/>
                <w:sz w:val="20"/>
                <w:szCs w:val="20"/>
              </w:rPr>
              <w:t>cn</w:t>
            </w:r>
          </w:p>
          <w:p>
            <w:pPr>
              <w:spacing w:before="49" w:line="181" w:lineRule="auto"/>
              <w:ind w:left="20"/>
              <w:rPr>
                <w:rFonts w:ascii="KaiTi" w:eastAsia="KaiTi" w:hAnsi="KaiTi" w:cs="KaiTi"/>
                <w:sz w:val="15"/>
                <w:szCs w:val="15"/>
              </w:rPr>
            </w:pPr>
            <w:r>
              <w:rPr>
                <w:rFonts w:ascii="KaiTi" w:eastAsia="KaiTi" w:hAnsi="KaiTi" w:cs="KaiTi"/>
                <w:spacing w:val="-1"/>
                <w:sz w:val="15"/>
                <w:szCs w:val="15"/>
              </w:rPr>
              <w:t>证书编号：S0790523050002</w:t>
            </w:r>
          </w:p>
        </w:tc>
        <w:tc>
          <w:tcPr>
            <w:tcW w:w="5355" w:type="dxa"/>
            <w:tcBorders>
              <w:top w:val="single" w:sz="2" w:space="0" w:color="000000"/>
              <w:bottom w:val="single" w:sz="2" w:space="0" w:color="000000"/>
            </w:tcBorders>
            <w:vAlign w:val="top"/>
          </w:tcPr>
          <w:p>
            <w:pPr>
              <w:spacing w:before="175" w:line="223" w:lineRule="auto"/>
              <w:ind w:left="607"/>
              <w:rPr>
                <w:rFonts w:ascii="KaiTi" w:eastAsia="KaiTi" w:hAnsi="KaiTi" w:cs="KaiTi"/>
                <w:sz w:val="20"/>
                <w:szCs w:val="20"/>
              </w:rPr>
            </w:pPr>
            <w:r>
              <w:rPr>
                <w:rFonts w:ascii="KaiTi" w:eastAsia="KaiTi" w:hAnsi="KaiTi" w:cs="KaiTi"/>
                <w:b/>
                <w:bCs/>
                <w:spacing w:val="21"/>
                <w:sz w:val="20"/>
                <w:szCs w:val="20"/>
              </w:rPr>
              <w:t>温佳贝(联系人)</w:t>
            </w:r>
          </w:p>
          <w:p>
            <w:pPr>
              <w:pStyle w:val="TableText"/>
              <w:spacing w:before="54" w:line="192" w:lineRule="auto"/>
              <w:ind w:left="574"/>
              <w:rPr>
                <w:sz w:val="20"/>
                <w:szCs w:val="20"/>
              </w:rPr>
            </w:pPr>
            <w:r>
              <w:rPr>
                <w:spacing w:val="-8"/>
                <w:w w:val="97"/>
                <w:sz w:val="20"/>
                <w:szCs w:val="20"/>
              </w:rPr>
              <w:t>wenjiabei@kysec.cn</w:t>
            </w:r>
          </w:p>
          <w:p>
            <w:pPr>
              <w:pStyle w:val="TableText"/>
              <w:spacing w:before="65" w:line="179" w:lineRule="auto"/>
              <w:ind w:left="187"/>
            </w:pPr>
            <w:r>
              <w:rPr>
                <w:rFonts w:ascii="SimSun" w:eastAsia="SimSun" w:hAnsi="SimSun" w:cs="SimSun"/>
                <w:spacing w:val="-5"/>
              </w:rPr>
              <w:t>证 书</w:t>
            </w:r>
            <w:r>
              <w:rPr>
                <w:rFonts w:ascii="SimSun" w:eastAsia="SimSun" w:hAnsi="SimSun" w:cs="SimSun"/>
                <w:spacing w:val="8"/>
              </w:rPr>
              <w:t xml:space="preserve"> </w:t>
            </w:r>
            <w:r>
              <w:rPr>
                <w:rFonts w:ascii="SimSun" w:eastAsia="SimSun" w:hAnsi="SimSun" w:cs="SimSun"/>
                <w:spacing w:val="-5"/>
              </w:rPr>
              <w:t>编</w:t>
            </w:r>
            <w:r>
              <w:rPr>
                <w:rFonts w:ascii="SimSun" w:eastAsia="SimSun" w:hAnsi="SimSun" w:cs="SimSun"/>
                <w:spacing w:val="10"/>
              </w:rPr>
              <w:t xml:space="preserve"> </w:t>
            </w:r>
            <w:r>
              <w:rPr>
                <w:rFonts w:ascii="SimSun" w:eastAsia="SimSun" w:hAnsi="SimSun" w:cs="SimSun"/>
                <w:spacing w:val="-5"/>
              </w:rPr>
              <w:t>号</w:t>
            </w:r>
            <w:r>
              <w:rPr>
                <w:rFonts w:ascii="SimSun" w:eastAsia="SimSun" w:hAnsi="SimSun" w:cs="SimSun"/>
                <w:spacing w:val="19"/>
              </w:rPr>
              <w:t xml:space="preserve"> </w:t>
            </w:r>
            <w:r>
              <w:rPr>
                <w:rFonts w:ascii="SimSun" w:eastAsia="SimSun" w:hAnsi="SimSun" w:cs="SimSun"/>
                <w:spacing w:val="-5"/>
              </w:rPr>
              <w:t>：</w:t>
            </w:r>
            <w:r>
              <w:rPr>
                <w:spacing w:val="-5"/>
              </w:rPr>
              <w:t>S</w:t>
            </w:r>
            <w:r>
              <w:rPr>
                <w:spacing w:val="3"/>
              </w:rPr>
              <w:t xml:space="preserve">  </w:t>
            </w:r>
            <w:r>
              <w:rPr>
                <w:spacing w:val="-5"/>
              </w:rPr>
              <w:t>0</w:t>
            </w:r>
            <w:r>
              <w:rPr>
                <w:spacing w:val="3"/>
              </w:rPr>
              <w:t xml:space="preserve">  </w:t>
            </w:r>
            <w:r>
              <w:rPr>
                <w:spacing w:val="-5"/>
              </w:rPr>
              <w:t>7</w:t>
            </w:r>
            <w:r>
              <w:rPr>
                <w:spacing w:val="3"/>
              </w:rPr>
              <w:t xml:space="preserve">  </w:t>
            </w:r>
            <w:r>
              <w:rPr>
                <w:spacing w:val="-5"/>
              </w:rPr>
              <w:t>9</w:t>
            </w:r>
            <w:r>
              <w:rPr>
                <w:spacing w:val="3"/>
              </w:rPr>
              <w:t xml:space="preserve">  </w:t>
            </w:r>
            <w:r>
              <w:rPr>
                <w:spacing w:val="-5"/>
              </w:rPr>
              <w:t>0   1  2</w:t>
            </w:r>
            <w:r>
              <w:rPr>
                <w:spacing w:val="4"/>
              </w:rPr>
              <w:t xml:space="preserve">  </w:t>
            </w:r>
            <w:r>
              <w:rPr>
                <w:spacing w:val="-5"/>
              </w:rPr>
              <w:t xml:space="preserve">3   1 </w:t>
            </w:r>
            <w:r>
              <w:rPr>
                <w:spacing w:val="-6"/>
              </w:rPr>
              <w:t xml:space="preserve"> 0</w:t>
            </w:r>
            <w:r>
              <w:rPr>
                <w:spacing w:val="3"/>
              </w:rPr>
              <w:t xml:space="preserve">  </w:t>
            </w:r>
            <w:r>
              <w:rPr>
                <w:spacing w:val="-6"/>
              </w:rPr>
              <w:t>0</w:t>
            </w:r>
            <w:r>
              <w:rPr>
                <w:spacing w:val="3"/>
              </w:rPr>
              <w:t xml:space="preserve">  </w:t>
            </w:r>
            <w:r>
              <w:rPr>
                <w:spacing w:val="-6"/>
              </w:rPr>
              <w:t>0</w:t>
            </w:r>
            <w:r>
              <w:rPr>
                <w:spacing w:val="1"/>
              </w:rPr>
              <w:t xml:space="preserve">  </w:t>
            </w:r>
            <w:r>
              <w:rPr>
                <w:spacing w:val="-6"/>
              </w:rPr>
              <w:t>4</w:t>
            </w:r>
            <w:r>
              <w:rPr>
                <w:spacing w:val="3"/>
              </w:rPr>
              <w:t xml:space="preserve">  </w:t>
            </w:r>
            <w:r>
              <w:rPr>
                <w:spacing w:val="-6"/>
              </w:rPr>
              <w:t>7</w:t>
            </w:r>
          </w:p>
        </w:tc>
      </w:tr>
    </w:tbl>
    <w:p>
      <w:pPr>
        <w:pStyle w:val="BodyText"/>
        <w:spacing w:before="210" w:line="220" w:lineRule="auto"/>
        <w:ind w:left="142"/>
      </w:pPr>
      <w:r>
        <w:rPr>
          <w:b/>
          <w:bCs/>
          <w:color w:val="C00000"/>
          <w:spacing w:val="8"/>
        </w:rPr>
        <w:t>●自上而下：预期降息主基调下，黄金再迎配</w:t>
      </w:r>
      <w:r>
        <w:rPr>
          <w:b/>
          <w:bCs/>
          <w:color w:val="C00000"/>
          <w:spacing w:val="7"/>
        </w:rPr>
        <w:t>置节点</w:t>
      </w:r>
    </w:p>
    <w:p>
      <w:pPr>
        <w:pStyle w:val="BodyText"/>
        <w:spacing w:before="64" w:line="280" w:lineRule="auto"/>
        <w:ind w:left="20" w:right="90"/>
        <w:jc w:val="both"/>
      </w:pPr>
      <w:r>
        <w:rPr>
          <w:spacing w:val="9"/>
        </w:rPr>
        <w:t>2024年1月</w:t>
      </w:r>
      <w:r>
        <w:rPr>
          <w:rFonts w:ascii="SimSun" w:eastAsia="SimSun" w:hAnsi="SimSun" w:cs="SimSun"/>
        </w:rPr>
        <w:t>PCE</w:t>
      </w:r>
      <w:r>
        <w:rPr>
          <w:rFonts w:ascii="SimSun" w:eastAsia="SimSun" w:hAnsi="SimSun" w:cs="SimSun"/>
          <w:spacing w:val="51"/>
        </w:rPr>
        <w:t xml:space="preserve"> </w:t>
      </w:r>
      <w:r>
        <w:rPr>
          <w:spacing w:val="9"/>
        </w:rPr>
        <w:t>数据的如期下降，</w:t>
      </w:r>
      <w:r>
        <w:rPr>
          <w:spacing w:val="-47"/>
        </w:rPr>
        <w:t xml:space="preserve"> </w:t>
      </w:r>
      <w:r>
        <w:rPr>
          <w:b/>
          <w:bCs/>
          <w:spacing w:val="9"/>
        </w:rPr>
        <w:t>使得市场降低了对于二次通胀的担忧，</w:t>
      </w:r>
      <w:r>
        <w:rPr>
          <w:spacing w:val="-18"/>
        </w:rPr>
        <w:t xml:space="preserve"> </w:t>
      </w:r>
      <w:r>
        <w:rPr>
          <w:spacing w:val="9"/>
        </w:rPr>
        <w:t>美国</w:t>
      </w:r>
      <w:r>
        <w:t xml:space="preserve"> </w:t>
      </w:r>
      <w:r>
        <w:rPr>
          <w:spacing w:val="3"/>
        </w:rPr>
        <w:t>经济数据不及预期，消费者信心下降，</w:t>
      </w:r>
      <w:r>
        <w:rPr>
          <w:spacing w:val="3"/>
        </w:rPr>
        <w:t xml:space="preserve"> </w:t>
      </w:r>
      <w:r>
        <w:rPr>
          <w:b/>
          <w:bCs/>
          <w:spacing w:val="3"/>
        </w:rPr>
        <w:t>预示强劲的美国经济正</w:t>
      </w:r>
      <w:r>
        <w:rPr>
          <w:b/>
          <w:bCs/>
          <w:spacing w:val="2"/>
        </w:rPr>
        <w:t>在退温，纽约社区</w:t>
      </w:r>
      <w:r>
        <w:t xml:space="preserve"> </w:t>
      </w:r>
      <w:r>
        <w:rPr>
          <w:b/>
          <w:bCs/>
          <w:spacing w:val="10"/>
        </w:rPr>
        <w:t>银行再暴雷，市场避险情绪浓厚，市场纷纷预测美联储6</w:t>
      </w:r>
      <w:r>
        <w:rPr>
          <w:spacing w:val="10"/>
        </w:rPr>
        <w:t xml:space="preserve"> </w:t>
      </w:r>
      <w:r>
        <w:rPr>
          <w:b/>
          <w:bCs/>
          <w:spacing w:val="10"/>
        </w:rPr>
        <w:t>月降息，刺激金价上</w:t>
      </w:r>
      <w:r>
        <w:t xml:space="preserve"> </w:t>
      </w:r>
      <w:r>
        <w:rPr>
          <w:b/>
          <w:bCs/>
          <w:spacing w:val="8"/>
        </w:rPr>
        <w:t>行。</w:t>
      </w:r>
      <w:r>
        <w:rPr>
          <w:spacing w:val="8"/>
        </w:rPr>
        <w:t>我们预计6月开启降息是底线</w:t>
      </w:r>
      <w:r>
        <w:rPr>
          <w:b/>
          <w:bCs/>
          <w:spacing w:val="8"/>
        </w:rPr>
        <w:t>，在降息周期即将开启</w:t>
      </w:r>
      <w:r>
        <w:rPr>
          <w:b/>
          <w:bCs/>
          <w:spacing w:val="7"/>
        </w:rPr>
        <w:t>，市场避险情绪浓厚的</w:t>
      </w:r>
      <w:r>
        <w:t xml:space="preserve"> </w:t>
      </w:r>
      <w:r>
        <w:rPr>
          <w:b/>
          <w:bCs/>
          <w:spacing w:val="10"/>
        </w:rPr>
        <w:t>主基调下，金价或将因美国经济及通胀数据走弱而上涨，黄金再迎配置节点。</w:t>
      </w:r>
    </w:p>
    <w:p>
      <w:pPr>
        <w:pStyle w:val="BodyText"/>
        <w:spacing w:before="74" w:line="220" w:lineRule="auto"/>
        <w:ind w:left="20"/>
      </w:pPr>
      <w:r>
        <w:rPr>
          <w:spacing w:val="9"/>
        </w:rPr>
        <w:t>推荐标的有山东黄金、银泰黄金、中金黄金</w:t>
      </w:r>
      <w:r>
        <w:rPr>
          <w:spacing w:val="8"/>
        </w:rPr>
        <w:t>，受益标的为株冶集团。</w:t>
      </w:r>
    </w:p>
    <w:p>
      <w:pPr>
        <w:pStyle w:val="BodyText"/>
        <w:spacing w:before="169" w:line="220" w:lineRule="auto"/>
        <w:ind w:left="22"/>
      </w:pPr>
      <w:r>
        <w:rPr>
          <w:b/>
          <w:bCs/>
          <w:color w:val="C00000"/>
          <w:spacing w:val="9"/>
        </w:rPr>
        <w:t>●自下而上：铜供给端短缺持续兑现，锡供需两端均出现边际变化</w:t>
      </w:r>
    </w:p>
    <w:p>
      <w:pPr>
        <w:pStyle w:val="BodyText"/>
        <w:spacing w:before="43" w:line="283" w:lineRule="auto"/>
        <w:ind w:left="20" w:right="69" w:firstLine="2"/>
        <w:jc w:val="both"/>
      </w:pPr>
      <w:r>
        <w:rPr>
          <w:b/>
          <w:bCs/>
          <w:spacing w:val="7"/>
        </w:rPr>
        <w:t>铜：冶炼费用继续下行，铜精矿紧缺持续兑现。截至</w:t>
      </w:r>
      <w:r>
        <w:rPr>
          <w:b/>
          <w:bCs/>
          <w:spacing w:val="6"/>
        </w:rPr>
        <w:t>2月底，海外主要矿企2023</w:t>
      </w:r>
      <w:r>
        <w:t xml:space="preserve">  </w:t>
      </w:r>
      <w:r>
        <w:rPr>
          <w:b/>
          <w:bCs/>
          <w:spacing w:val="4"/>
        </w:rPr>
        <w:t>年</w:t>
      </w:r>
      <w:r>
        <w:rPr>
          <w:spacing w:val="-55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4"/>
        </w:rPr>
        <w:t>Q4</w:t>
      </w:r>
      <w:r>
        <w:rPr>
          <w:rFonts w:ascii="Times New Roman" w:eastAsia="Times New Roman" w:hAnsi="Times New Roman" w:cs="Times New Roman"/>
          <w:b/>
          <w:bCs/>
          <w:spacing w:val="26"/>
        </w:rPr>
        <w:t xml:space="preserve"> </w:t>
      </w:r>
      <w:r>
        <w:rPr>
          <w:b/>
          <w:bCs/>
          <w:spacing w:val="4"/>
        </w:rPr>
        <w:t>季报已陆续完成披露。</w:t>
      </w:r>
      <w:r>
        <w:rPr>
          <w:spacing w:val="4"/>
        </w:rPr>
        <w:t>整体看，2024年海外主要矿企合计指引变动为-0.11</w:t>
      </w:r>
      <w:r>
        <w:t xml:space="preserve"> </w:t>
      </w:r>
      <w:r>
        <w:rPr>
          <w:spacing w:val="11"/>
        </w:rPr>
        <w:t>万吨，相较2023年小幅下滑。主要增量来自于泰克资源</w:t>
      </w:r>
      <w:r>
        <w:rPr>
          <w:spacing w:val="10"/>
        </w:rPr>
        <w:t>的</w:t>
      </w:r>
      <w:r>
        <w:rPr>
          <w:spacing w:val="-41"/>
        </w:rPr>
        <w:t xml:space="preserve"> </w:t>
      </w:r>
      <w:r>
        <w:rPr>
          <w:rFonts w:ascii="Times New Roman" w:eastAsia="Times New Roman" w:hAnsi="Times New Roman" w:cs="Times New Roman"/>
        </w:rPr>
        <w:t>QB</w:t>
      </w:r>
      <w:r>
        <w:rPr>
          <w:rFonts w:ascii="Times New Roman" w:eastAsia="Times New Roman" w:hAnsi="Times New Roman" w:cs="Times New Roman"/>
          <w:spacing w:val="50"/>
        </w:rPr>
        <w:t xml:space="preserve"> </w:t>
      </w:r>
      <w:r>
        <w:rPr>
          <w:spacing w:val="10"/>
        </w:rPr>
        <w:t>二期项目，2024</w:t>
      </w:r>
      <w:r>
        <w:t xml:space="preserve"> </w:t>
      </w:r>
      <w:r>
        <w:rPr>
          <w:spacing w:val="11"/>
        </w:rPr>
        <w:t>年增量近20万吨，然而，该项目自开发以来，自投产预期至2023年的产量释放</w:t>
      </w:r>
      <w:r>
        <w:rPr>
          <w:spacing w:val="12"/>
        </w:rPr>
        <w:t xml:space="preserve"> </w:t>
      </w:r>
      <w:r>
        <w:rPr>
          <w:spacing w:val="12"/>
        </w:rPr>
        <w:t>预期，皆未达成过指引，预期兑现度较低，因此对其20万吨的指引仍需保留谨</w:t>
      </w:r>
      <w:r>
        <w:rPr>
          <w:spacing w:val="9"/>
        </w:rPr>
        <w:t xml:space="preserve"> </w:t>
      </w:r>
      <w:r>
        <w:rPr>
          <w:spacing w:val="12"/>
        </w:rPr>
        <w:t>慎态度。我们预计2024年铜供给仍处于偏紧张状态，铜精矿短缺预期或将持续</w:t>
      </w:r>
    </w:p>
    <w:p>
      <w:pPr>
        <w:spacing w:line="283" w:lineRule="auto"/>
        <w:sectPr>
          <w:footerReference w:type="default" r:id="rId7"/>
          <w:type w:val="continuous"/>
          <w:pgSz w:w="11910" w:h="16840"/>
          <w:pgMar w:top="9" w:right="679" w:bottom="1150" w:left="0" w:header="0" w:footer="858" w:gutter="0"/>
          <w:pgNumType w:start="2"/>
          <w:cols w:num="2" w:space="708" w:equalWidth="0">
            <w:col w:w="3791" w:space="90"/>
            <w:col w:w="7351" w:space="0"/>
          </w:cols>
        </w:sectPr>
      </w:pPr>
    </w:p>
    <w:p>
      <w:pPr>
        <w:pStyle w:val="BodyText"/>
        <w:spacing w:before="118" w:line="261" w:lineRule="auto"/>
        <w:ind w:left="709" w:right="171"/>
      </w:pPr>
      <w:r>
        <w:rPr>
          <w:spacing w:val="-11"/>
        </w:rPr>
        <w:t>关注钼、铝板块—钢铁有色2024年1</w:t>
      </w:r>
      <w:r>
        <w:rPr>
          <w:spacing w:val="15"/>
        </w:rPr>
        <w:t xml:space="preserve"> </w:t>
      </w:r>
      <w:r>
        <w:rPr>
          <w:spacing w:val="-16"/>
          <w:w w:val="95"/>
        </w:rPr>
        <w:t>月月报》-2024.2.4</w:t>
      </w:r>
    </w:p>
    <w:p>
      <w:pPr>
        <w:pStyle w:val="BodyText"/>
        <w:spacing w:before="69" w:line="267" w:lineRule="auto"/>
        <w:ind w:left="708" w:right="140" w:hanging="9"/>
        <w:jc w:val="both"/>
        <w:rPr>
          <w:rFonts w:ascii="SimSun" w:eastAsia="SimSun" w:hAnsi="SimSun" w:cs="SimSun"/>
        </w:rPr>
      </w:pPr>
      <w:r>
        <w:rPr>
          <w:spacing w:val="-16"/>
        </w:rPr>
        <w:t>《新消费助力旧消费托底，锡矿供给</w:t>
      </w:r>
      <w:r>
        <w:rPr>
          <w:spacing w:val="5"/>
        </w:rPr>
        <w:t xml:space="preserve"> </w:t>
      </w:r>
      <w:r>
        <w:rPr>
          <w:spacing w:val="21"/>
        </w:rPr>
        <w:t>侧持续紧张</w:t>
      </w:r>
      <w:r>
        <w:rPr>
          <w:spacing w:val="-66"/>
        </w:rPr>
        <w:t xml:space="preserve"> </w:t>
      </w:r>
      <w:r>
        <w:rPr>
          <w:spacing w:val="21"/>
        </w:rPr>
        <w:t>—</w:t>
      </w:r>
      <w:r>
        <w:rPr>
          <w:spacing w:val="-59"/>
        </w:rPr>
        <w:t xml:space="preserve"> </w:t>
      </w:r>
      <w:r>
        <w:rPr>
          <w:spacing w:val="21"/>
        </w:rPr>
        <w:t>行业深度报告》</w:t>
      </w:r>
      <w:r>
        <w:t xml:space="preserve"> </w:t>
      </w:r>
      <w:r>
        <w:rPr>
          <w:rFonts w:ascii="SimSun" w:eastAsia="SimSun" w:hAnsi="SimSun" w:cs="SimSun"/>
          <w:spacing w:val="-20"/>
          <w:w w:val="99"/>
        </w:rPr>
        <w:t>-2024.2.2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28" w:line="265" w:lineRule="auto"/>
        <w:ind w:left="2" w:right="118" w:hanging="2"/>
      </w:pPr>
      <w:r>
        <w:rPr>
          <w:spacing w:val="8"/>
        </w:rPr>
        <w:t>兑现。</w:t>
      </w:r>
      <w:r>
        <w:rPr>
          <w:spacing w:val="-16"/>
        </w:rPr>
        <w:t xml:space="preserve"> </w:t>
      </w:r>
      <w:r>
        <w:rPr>
          <w:b/>
          <w:bCs/>
          <w:spacing w:val="8"/>
        </w:rPr>
        <w:t>建议关注资源端公司，受益标的有金诚信、紫</w:t>
      </w:r>
      <w:r>
        <w:rPr>
          <w:b/>
          <w:bCs/>
          <w:spacing w:val="7"/>
        </w:rPr>
        <w:t>金矿业、洛阳钼业、西部</w:t>
      </w:r>
      <w:r>
        <w:t xml:space="preserve"> </w:t>
      </w:r>
      <w:r>
        <w:rPr>
          <w:b/>
          <w:bCs/>
        </w:rPr>
        <w:t>矿业、藏格矿业。</w:t>
      </w:r>
    </w:p>
    <w:p>
      <w:pPr>
        <w:pStyle w:val="BodyText"/>
        <w:spacing w:before="89" w:line="264" w:lineRule="auto"/>
        <w:ind w:right="101" w:firstLine="2"/>
        <w:jc w:val="both"/>
      </w:pPr>
      <w:r>
        <w:rPr>
          <w:b/>
          <w:bCs/>
          <w:spacing w:val="18"/>
        </w:rPr>
        <w:t>锡：供需边际变化优选锡品种。供给端</w:t>
      </w:r>
      <w:r>
        <w:rPr>
          <w:spacing w:val="18"/>
        </w:rPr>
        <w:t>主要受缅甸出口税收政</w:t>
      </w:r>
      <w:r>
        <w:rPr>
          <w:spacing w:val="17"/>
        </w:rPr>
        <w:t>策改动及印尼</w:t>
      </w:r>
      <w:r>
        <w:t xml:space="preserve"> </w:t>
      </w:r>
      <w:r>
        <w:rPr>
          <w:rFonts w:ascii="Times New Roman" w:eastAsia="Times New Roman" w:hAnsi="Times New Roman" w:cs="Times New Roman"/>
        </w:rPr>
        <w:t>RKAB</w:t>
      </w:r>
      <w:r>
        <w:rPr>
          <w:rFonts w:ascii="Times New Roman" w:eastAsia="Times New Roman" w:hAnsi="Times New Roman" w:cs="Times New Roman"/>
          <w:spacing w:val="50"/>
        </w:rPr>
        <w:t xml:space="preserve"> </w:t>
      </w:r>
      <w:r>
        <w:rPr>
          <w:spacing w:val="5"/>
        </w:rPr>
        <w:t>出口许可证发放延迟影响，加剧供给紧张局面，</w:t>
      </w:r>
      <w:r>
        <w:rPr>
          <w:b/>
          <w:bCs/>
          <w:spacing w:val="5"/>
        </w:rPr>
        <w:t>需求端</w:t>
      </w:r>
      <w:r>
        <w:rPr>
          <w:spacing w:val="5"/>
        </w:rPr>
        <w:t>来看半导体消费复</w:t>
      </w:r>
      <w:r>
        <w:t xml:space="preserve"> </w:t>
      </w:r>
      <w:r>
        <w:rPr>
          <w:spacing w:val="7"/>
        </w:rPr>
        <w:t>苏在即，在此背景下锡价易涨难跌，推荐标的有</w:t>
      </w:r>
      <w:r>
        <w:rPr>
          <w:b/>
          <w:bCs/>
          <w:spacing w:val="7"/>
        </w:rPr>
        <w:t>锡业股份。</w:t>
      </w:r>
    </w:p>
    <w:p>
      <w:pPr>
        <w:pStyle w:val="BodyText"/>
        <w:spacing w:before="174" w:line="224" w:lineRule="auto"/>
        <w:ind w:left="2"/>
      </w:pPr>
      <w:r>
        <w:rPr>
          <w:b/>
          <w:bCs/>
          <w:color w:val="C00000"/>
          <w:spacing w:val="7"/>
        </w:rPr>
        <w:t>●博弈弹性：建议2024</w:t>
      </w:r>
      <w:r>
        <w:rPr>
          <w:rFonts w:ascii="SimSun" w:eastAsia="SimSun" w:hAnsi="SimSun" w:cs="SimSun"/>
          <w:b/>
          <w:bCs/>
          <w:color w:val="C00000"/>
          <w:spacing w:val="7"/>
        </w:rPr>
        <w:t>M3</w:t>
      </w:r>
      <w:r>
        <w:rPr>
          <w:rFonts w:ascii="SimSun" w:eastAsia="SimSun" w:hAnsi="SimSun" w:cs="SimSun"/>
          <w:color w:val="C00000"/>
          <w:spacing w:val="79"/>
        </w:rPr>
        <w:t xml:space="preserve"> </w:t>
      </w:r>
      <w:r>
        <w:rPr>
          <w:b/>
          <w:bCs/>
          <w:color w:val="C00000"/>
          <w:spacing w:val="7"/>
        </w:rPr>
        <w:t>继续逢低布局锂矿板块</w:t>
      </w:r>
    </w:p>
    <w:p>
      <w:pPr>
        <w:pStyle w:val="BodyText"/>
        <w:spacing w:before="39" w:line="285" w:lineRule="auto"/>
        <w:ind w:right="30" w:firstLine="2"/>
        <w:jc w:val="both"/>
      </w:pPr>
      <w:r>
        <w:rPr>
          <w:b/>
          <w:bCs/>
          <w:spacing w:val="11"/>
        </w:rPr>
        <w:t>锂：短期看，</w:t>
      </w:r>
      <w:r>
        <w:rPr>
          <w:spacing w:val="49"/>
        </w:rPr>
        <w:t xml:space="preserve"> </w:t>
      </w:r>
      <w:r>
        <w:rPr>
          <w:spacing w:val="11"/>
        </w:rPr>
        <w:t>本月碳酸锂现货价格环比上涨8%,主要系下游补库周期来临，碳</w:t>
      </w:r>
      <w:r>
        <w:t xml:space="preserve"> </w:t>
      </w:r>
      <w:r>
        <w:rPr>
          <w:spacing w:val="7"/>
        </w:rPr>
        <w:t>酸锂基本面较前期有所改善，叠加供给端有澳矿减产、江</w:t>
      </w:r>
      <w:r>
        <w:rPr>
          <w:spacing w:val="6"/>
        </w:rPr>
        <w:t>西环保督查扰动，带动</w:t>
      </w:r>
      <w:r>
        <w:t xml:space="preserve"> </w:t>
      </w:r>
      <w:r>
        <w:rPr>
          <w:spacing w:val="8"/>
        </w:rPr>
        <w:t>市场看涨情绪走强，短期来看，碳酸锂存在基于补库逻辑进一步博弈反弹空间。</w:t>
      </w:r>
      <w:r>
        <w:rPr>
          <w:spacing w:val="18"/>
        </w:rPr>
        <w:t xml:space="preserve"> </w:t>
      </w:r>
      <w:r>
        <w:rPr>
          <w:rFonts w:ascii="SimSun" w:eastAsia="SimSun" w:hAnsi="SimSun" w:cs="SimSun"/>
          <w:b/>
          <w:bCs/>
          <w:spacing w:val="4"/>
        </w:rPr>
        <w:t>中期看，</w:t>
      </w:r>
      <w:r>
        <w:rPr>
          <w:rFonts w:ascii="SimSun" w:eastAsia="SimSun" w:hAnsi="SimSun" w:cs="SimSun"/>
          <w:spacing w:val="-34"/>
        </w:rPr>
        <w:t xml:space="preserve"> </w:t>
      </w:r>
      <w:r>
        <w:rPr>
          <w:spacing w:val="4"/>
        </w:rPr>
        <w:t>我们认为在供需格局过剩的大背景下，供给侧扰动对价格带来的振幅和</w:t>
      </w:r>
      <w:r>
        <w:rPr>
          <w:spacing w:val="4"/>
        </w:rPr>
        <w:t xml:space="preserve"> </w:t>
      </w:r>
      <w:r>
        <w:rPr>
          <w:spacing w:val="7"/>
        </w:rPr>
        <w:t>时间长度均比较有限，价格持续上涨的驱动力仍是需求侧出</w:t>
      </w:r>
      <w:r>
        <w:rPr>
          <w:spacing w:val="6"/>
        </w:rPr>
        <w:t>现持续好转。相关受</w:t>
      </w:r>
      <w:r>
        <w:t xml:space="preserve"> </w:t>
      </w:r>
      <w:r>
        <w:rPr>
          <w:spacing w:val="5"/>
        </w:rPr>
        <w:t>益标的有</w:t>
      </w:r>
      <w:r>
        <w:rPr>
          <w:b/>
          <w:bCs/>
          <w:spacing w:val="5"/>
        </w:rPr>
        <w:t>藏格矿业、永兴材料和中矿资源。</w:t>
      </w:r>
    </w:p>
    <w:p>
      <w:pPr>
        <w:pStyle w:val="BodyText"/>
        <w:spacing w:before="144" w:line="224" w:lineRule="auto"/>
        <w:sectPr>
          <w:footerReference w:type="default" r:id="rId8"/>
          <w:type w:val="continuous"/>
          <w:pgSz w:w="11910" w:h="16840"/>
          <w:pgMar w:top="9" w:right="679" w:bottom="1150" w:left="0" w:header="0" w:footer="858" w:gutter="0"/>
          <w:pgNumType w:start="3"/>
          <w:cols w:num="2" w:space="708" w:equalWidth="0">
            <w:col w:w="3801" w:space="100"/>
            <w:col w:w="7331" w:space="0"/>
          </w:cols>
        </w:sectPr>
      </w:pPr>
      <w:r>
        <w:rPr>
          <w:color w:val="BF0000"/>
          <w:spacing w:val="5"/>
        </w:rPr>
        <w:t>●</w:t>
      </w:r>
      <w:r>
        <w:rPr>
          <w:color w:val="BF0000"/>
          <w:spacing w:val="-46"/>
        </w:rPr>
        <w:t xml:space="preserve"> </w:t>
      </w:r>
      <w:r>
        <w:rPr>
          <w:b/>
          <w:bCs/>
          <w:color w:val="BF0000"/>
          <w:spacing w:val="5"/>
        </w:rPr>
        <w:t>股息策略：铝、钼有望成为金属板块高股息品种</w:t>
      </w:r>
    </w:p>
    <w:p>
      <w:pPr>
        <w:pStyle w:val="BodyText"/>
        <w:spacing w:before="65" w:line="273" w:lineRule="auto"/>
        <w:ind w:right="93" w:firstLine="2"/>
        <w:jc w:val="both"/>
      </w:pPr>
      <w:r>
        <w:rPr>
          <w:b/>
          <w:bCs/>
          <w:spacing w:val="4"/>
        </w:rPr>
        <w:t>铝：</w:t>
      </w:r>
      <w:r>
        <w:rPr>
          <w:spacing w:val="-19"/>
        </w:rPr>
        <w:t xml:space="preserve"> </w:t>
      </w:r>
      <w:r>
        <w:rPr>
          <w:spacing w:val="4"/>
        </w:rPr>
        <w:t>目前铝锭库存水平处于历史低位，受低库存支撑，铝价下行动力较小。当前</w:t>
      </w:r>
      <w:r>
        <w:t xml:space="preserve"> </w:t>
      </w:r>
      <w:r>
        <w:rPr>
          <w:spacing w:val="7"/>
        </w:rPr>
        <w:t>云南仍处于枯水期，若来水时间推迟或将导致电解铝复产</w:t>
      </w:r>
      <w:r>
        <w:rPr>
          <w:spacing w:val="6"/>
        </w:rPr>
        <w:t>受到影响，需重点关注</w:t>
      </w:r>
      <w:r>
        <w:t xml:space="preserve"> </w:t>
      </w:r>
      <w:r>
        <w:rPr>
          <w:spacing w:val="7"/>
        </w:rPr>
        <w:t>云南来水时间。受益标的有</w:t>
      </w:r>
      <w:r>
        <w:rPr>
          <w:b/>
          <w:bCs/>
          <w:spacing w:val="7"/>
        </w:rPr>
        <w:t>神火股份、云铝股份、中国</w:t>
      </w:r>
      <w:r>
        <w:rPr>
          <w:b/>
          <w:bCs/>
          <w:spacing w:val="6"/>
        </w:rPr>
        <w:t>宏桥、天山铝业等。</w:t>
      </w:r>
    </w:p>
    <w:p>
      <w:pPr>
        <w:pStyle w:val="BodyText"/>
        <w:spacing w:before="85" w:line="272" w:lineRule="auto"/>
        <w:ind w:right="96" w:firstLine="2"/>
        <w:jc w:val="both"/>
      </w:pPr>
      <w:r>
        <w:rPr>
          <w:b/>
          <w:bCs/>
          <w:spacing w:val="10"/>
        </w:rPr>
        <w:t>钼：</w:t>
      </w:r>
      <w:r>
        <w:rPr>
          <w:spacing w:val="-22"/>
        </w:rPr>
        <w:t xml:space="preserve"> </w:t>
      </w:r>
      <w:r>
        <w:rPr>
          <w:spacing w:val="10"/>
        </w:rPr>
        <w:t>预计2024年钼利润中枢稳定，股息政策支撑</w:t>
      </w:r>
      <w:r>
        <w:rPr>
          <w:spacing w:val="9"/>
        </w:rPr>
        <w:t>中期配置价值。考虑到海外伴</w:t>
      </w:r>
      <w:r>
        <w:t xml:space="preserve"> </w:t>
      </w:r>
      <w:r>
        <w:rPr>
          <w:spacing w:val="11"/>
        </w:rPr>
        <w:t>生矿产量下降，以及国内供给增量有限，预计2024年全球钼产量维持25万吨左</w:t>
      </w:r>
      <w:r>
        <w:rPr>
          <w:spacing w:val="8"/>
        </w:rPr>
        <w:t xml:space="preserve"> </w:t>
      </w:r>
      <w:r>
        <w:rPr>
          <w:spacing w:val="14"/>
        </w:rPr>
        <w:t>右，预计2024</w:t>
      </w:r>
      <w:r>
        <w:rPr>
          <w:spacing w:val="14"/>
        </w:rPr>
        <w:t xml:space="preserve"> </w:t>
      </w:r>
      <w:r>
        <w:rPr>
          <w:spacing w:val="14"/>
        </w:rPr>
        <w:t>年钼矿供给相对需求偏紧。近期钼价边际回</w:t>
      </w:r>
      <w:r>
        <w:rPr>
          <w:spacing w:val="13"/>
        </w:rPr>
        <w:t>升，我们预计2024</w:t>
      </w:r>
      <w:r>
        <w:t xml:space="preserve"> </w:t>
      </w:r>
      <w:r>
        <w:rPr>
          <w:spacing w:val="9"/>
        </w:rPr>
        <w:t>年钼价有望维持30-35万区间震荡运行。受益标的有</w:t>
      </w:r>
      <w:r>
        <w:rPr>
          <w:b/>
          <w:bCs/>
          <w:spacing w:val="9"/>
        </w:rPr>
        <w:t>金钼股份。</w:t>
      </w:r>
    </w:p>
    <w:p>
      <w:pPr>
        <w:pStyle w:val="BodyText"/>
        <w:spacing w:before="264" w:line="235" w:lineRule="auto"/>
        <w:ind w:right="102"/>
      </w:pPr>
      <w:r>
        <w:rPr>
          <w:color w:val="BF0000"/>
          <w:spacing w:val="2"/>
        </w:rPr>
        <w:t>●</w:t>
      </w:r>
      <w:r>
        <w:rPr>
          <w:color w:val="BF0000"/>
          <w:spacing w:val="-53"/>
        </w:rPr>
        <w:t xml:space="preserve"> </w:t>
      </w:r>
      <w:r>
        <w:rPr>
          <w:b/>
          <w:bCs/>
          <w:color w:val="BF0000"/>
          <w:spacing w:val="2"/>
        </w:rPr>
        <w:t>风险提示：</w:t>
      </w:r>
      <w:r>
        <w:rPr>
          <w:color w:val="BF0000"/>
          <w:spacing w:val="2"/>
        </w:rPr>
        <w:t xml:space="preserve"> </w:t>
      </w:r>
      <w:r>
        <w:rPr>
          <w:spacing w:val="2"/>
        </w:rPr>
        <w:t>全球新能源汽车、储能、光伏装机、半导体需求不及预期；</w:t>
      </w:r>
      <w:r>
        <w:rPr>
          <w:spacing w:val="1"/>
        </w:rPr>
        <w:t>地产开</w:t>
      </w:r>
      <w:r>
        <w:t xml:space="preserve"> </w:t>
      </w:r>
      <w:r>
        <w:rPr>
          <w:spacing w:val="8"/>
        </w:rPr>
        <w:t>工和竣工面积不及预期；各矿山项目进展超预期；地缘政治风险。</w:t>
      </w:r>
    </w:p>
    <w:p>
      <w:pPr>
        <w:spacing w:line="235" w:lineRule="auto"/>
        <w:sectPr>
          <w:footerReference w:type="default" r:id="rId9"/>
          <w:type w:val="nextPage"/>
          <w:pgSz w:w="11910" w:h="16840"/>
          <w:pgMar w:top="9" w:right="679" w:bottom="1150" w:left="0" w:header="0" w:footer="858" w:gutter="0"/>
          <w:pgNumType w:start="4"/>
          <w:cols w:num="2" w:space="708" w:equalWidth="0">
            <w:col w:w="3801" w:space="100"/>
            <w:col w:w="7331" w:space="0"/>
          </w:cols>
          <w:titlePg w:val="0"/>
        </w:sectPr>
      </w:pPr>
    </w:p>
    <w:p>
      <w:pPr>
        <w:pStyle w:val="BodyText"/>
        <w:spacing w:before="153"/>
        <w:ind w:left="200"/>
        <w:rPr>
          <w:sz w:val="58"/>
          <w:szCs w:val="58"/>
        </w:rPr>
      </w:pPr>
      <w:r>
        <w:rPr>
          <w:position w:val="-17"/>
          <w:sz w:val="58"/>
          <w:szCs w:val="58"/>
        </w:rPr>
        <w:drawing>
          <wp:inline distT="0" distB="0" distL="0" distR="0">
            <wp:extent cx="571449" cy="488901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449" cy="488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pacing w:val="50"/>
          <w:sz w:val="58"/>
          <w:szCs w:val="58"/>
        </w:rPr>
        <w:t>开源证券</w:t>
      </w:r>
    </w:p>
    <w:p>
      <w:pPr>
        <w:pStyle w:val="BodyText"/>
        <w:spacing w:before="63" w:line="227" w:lineRule="auto"/>
        <w:ind w:left="9582"/>
        <w:rPr>
          <w:sz w:val="19"/>
          <w:szCs w:val="19"/>
        </w:rPr>
      </w:pPr>
      <w:r>
        <w:rPr>
          <w:b/>
          <w:bCs/>
          <w:spacing w:val="4"/>
          <w:sz w:val="19"/>
          <w:szCs w:val="19"/>
        </w:rPr>
        <w:t>行业周报</w:t>
      </w:r>
    </w:p>
    <w:p>
      <w:pPr>
        <w:spacing w:line="292" w:lineRule="auto"/>
        <w:rPr>
          <w:rFonts w:ascii="Arial"/>
          <w:sz w:val="21"/>
        </w:rPr>
      </w:pPr>
    </w:p>
    <w:sdt>
      <w:sdtPr>
        <w:rPr>
          <w:rFonts w:ascii="KaiTi" w:eastAsia="KaiTi" w:hAnsi="KaiTi" w:cs="KaiTi"/>
          <w:sz w:val="19"/>
          <w:szCs w:val="19"/>
        </w:rPr>
        <w:id w:val="1279355875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19"/>
          <w:szCs w:val="19"/>
        </w:rPr>
      </w:sdtEndPr>
      <w:sdtContent>
        <w:p>
          <w:pPr>
            <w:pStyle w:val="BodyText"/>
            <w:spacing w:before="62" w:line="227" w:lineRule="auto"/>
            <w:ind w:left="4862"/>
            <w:rPr>
              <w:sz w:val="19"/>
              <w:szCs w:val="19"/>
            </w:rPr>
          </w:pPr>
          <w:r>
            <w:rPr>
              <w:b/>
              <w:bCs/>
              <w:color w:val="000080"/>
              <w:spacing w:val="-27"/>
              <w:sz w:val="19"/>
              <w:szCs w:val="19"/>
            </w:rPr>
            <w:t>目</w:t>
          </w:r>
          <w:r>
            <w:rPr>
              <w:color w:val="000080"/>
              <w:spacing w:val="2"/>
              <w:sz w:val="19"/>
              <w:szCs w:val="19"/>
            </w:rPr>
            <w:t xml:space="preserve">     </w:t>
          </w:r>
          <w:r>
            <w:rPr>
              <w:b/>
              <w:bCs/>
              <w:color w:val="000080"/>
              <w:spacing w:val="-27"/>
              <w:sz w:val="19"/>
              <w:szCs w:val="19"/>
            </w:rPr>
            <w:t>录</w:t>
          </w:r>
        </w:p>
        <w:p>
          <w:pPr>
            <w:pStyle w:val="BodyText"/>
            <w:tabs>
              <w:tab w:val="right" w:leader="dot" w:pos="10395"/>
            </w:tabs>
            <w:spacing w:before="183" w:line="220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rFonts w:ascii="Times New Roman" w:eastAsia="Times New Roman" w:hAnsi="Times New Roman" w:cs="Times New Roman"/>
              <w:spacing w:val="10"/>
              <w:sz w:val="19"/>
              <w:szCs w:val="19"/>
            </w:rPr>
            <w:t>1</w:t>
          </w:r>
          <w:r>
            <w:rPr>
              <w:rFonts w:ascii="Times New Roman" w:eastAsia="Times New Roman" w:hAnsi="Times New Roman" w:cs="Times New Roman"/>
              <w:spacing w:val="-27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pacing w:val="10"/>
              <w:sz w:val="19"/>
              <w:szCs w:val="19"/>
            </w:rPr>
            <w:t>、</w:t>
          </w:r>
          <w:r>
            <w:rPr>
              <w:rFonts w:ascii="SimSun" w:eastAsia="SimSun" w:hAnsi="SimSun" w:cs="SimSun"/>
              <w:spacing w:val="52"/>
              <w:sz w:val="19"/>
              <w:szCs w:val="19"/>
            </w:rPr>
            <w:t xml:space="preserve"> </w:t>
          </w:r>
          <w:r>
            <w:rPr>
              <w:spacing w:val="10"/>
              <w:sz w:val="19"/>
              <w:szCs w:val="19"/>
            </w:rPr>
            <w:t>月度策略：3月看多黄金、锡，股息策略优选铝</w:t>
          </w:r>
          <w:r>
            <w:rPr>
              <w:spacing w:val="9"/>
              <w:sz w:val="19"/>
              <w:szCs w:val="19"/>
            </w:rPr>
            <w:t>、钼</w:t>
          </w:r>
          <w:r>
            <w:rPr>
              <w:sz w:val="19"/>
              <w:szCs w:val="19"/>
            </w:rPr>
            <w:tab/>
          </w:r>
          <w:r>
            <w:rPr>
              <w:spacing w:val="-63"/>
              <w:sz w:val="19"/>
              <w:szCs w:val="19"/>
            </w:rPr>
            <w:t xml:space="preserve"> </w:t>
          </w:r>
          <w:hyperlink w:anchor="bookmark1" w:history="1"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5</w:t>
            </w:r>
          </w:hyperlink>
        </w:p>
        <w:p>
          <w:pPr>
            <w:pStyle w:val="BodyText"/>
            <w:tabs>
              <w:tab w:val="right" w:leader="dot" w:pos="10385"/>
            </w:tabs>
            <w:spacing w:before="83" w:line="220" w:lineRule="auto"/>
            <w:ind w:left="400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rFonts w:ascii="Times New Roman" w:eastAsia="Times New Roman" w:hAnsi="Times New Roman" w:cs="Times New Roman"/>
              <w:spacing w:val="6"/>
              <w:sz w:val="19"/>
              <w:szCs w:val="19"/>
            </w:rPr>
            <w:t>1.1</w:t>
          </w:r>
          <w:r>
            <w:rPr>
              <w:rFonts w:ascii="Times New Roman" w:eastAsia="Times New Roman" w:hAnsi="Times New Roman" w:cs="Times New Roman"/>
              <w:spacing w:val="-27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pacing w:val="6"/>
              <w:sz w:val="19"/>
              <w:szCs w:val="19"/>
            </w:rPr>
            <w:t>、</w:t>
          </w:r>
          <w:r>
            <w:rPr>
              <w:rFonts w:ascii="SimSun" w:eastAsia="SimSun" w:hAnsi="SimSun" w:cs="SimSun"/>
              <w:spacing w:val="90"/>
              <w:sz w:val="19"/>
              <w:szCs w:val="19"/>
            </w:rPr>
            <w:t xml:space="preserve"> </w:t>
          </w:r>
          <w:r>
            <w:rPr>
              <w:spacing w:val="6"/>
              <w:sz w:val="19"/>
              <w:szCs w:val="19"/>
            </w:rPr>
            <w:t>自上而下：预期降息主基调下，黄金再</w:t>
          </w:r>
          <w:r>
            <w:rPr>
              <w:spacing w:val="5"/>
              <w:sz w:val="19"/>
              <w:szCs w:val="19"/>
            </w:rPr>
            <w:t>迎配置节点</w:t>
          </w:r>
          <w:r>
            <w:rPr>
              <w:sz w:val="19"/>
              <w:szCs w:val="19"/>
            </w:rPr>
            <w:tab/>
          </w:r>
          <w:hyperlink w:anchor="bookmark2" w:history="1">
            <w:r>
              <w:rPr>
                <w:rFonts w:ascii="Times New Roman" w:eastAsia="Times New Roman" w:hAnsi="Times New Roman" w:cs="Times New Roman"/>
                <w:spacing w:val="2"/>
                <w:sz w:val="19"/>
                <w:szCs w:val="19"/>
              </w:rPr>
              <w:t>5</w:t>
            </w:r>
          </w:hyperlink>
        </w:p>
        <w:p>
          <w:pPr>
            <w:pStyle w:val="BodyText"/>
            <w:tabs>
              <w:tab w:val="right" w:leader="dot" w:pos="10355"/>
            </w:tabs>
            <w:spacing w:before="84" w:line="220" w:lineRule="auto"/>
            <w:ind w:left="80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rFonts w:ascii="Times New Roman" w:eastAsia="Times New Roman" w:hAnsi="Times New Roman" w:cs="Times New Roman"/>
              <w:spacing w:val="9"/>
              <w:sz w:val="19"/>
              <w:szCs w:val="19"/>
            </w:rPr>
            <w:t>1.1.1</w:t>
          </w:r>
          <w:r>
            <w:rPr>
              <w:rFonts w:ascii="Times New Roman" w:eastAsia="Times New Roman" w:hAnsi="Times New Roman" w:cs="Times New Roman"/>
              <w:spacing w:val="-17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pacing w:val="9"/>
              <w:sz w:val="19"/>
              <w:szCs w:val="19"/>
            </w:rPr>
            <w:t>、</w:t>
          </w:r>
          <w:r>
            <w:rPr>
              <w:rFonts w:ascii="SimSun" w:eastAsia="SimSun" w:hAnsi="SimSun" w:cs="SimSun"/>
              <w:spacing w:val="48"/>
              <w:sz w:val="19"/>
              <w:szCs w:val="19"/>
            </w:rPr>
            <w:t xml:space="preserve"> </w:t>
          </w:r>
          <w:r>
            <w:rPr>
              <w:spacing w:val="9"/>
              <w:sz w:val="19"/>
              <w:szCs w:val="19"/>
            </w:rPr>
            <w:t>降息预期再起，金价进入3月后快速走强</w:t>
          </w:r>
          <w:r>
            <w:rPr>
              <w:spacing w:val="-81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r>
            <w:rPr>
              <w:spacing w:val="-44"/>
              <w:sz w:val="19"/>
              <w:szCs w:val="19"/>
            </w:rPr>
            <w:t xml:space="preserve"> </w:t>
          </w:r>
          <w:hyperlink w:anchor="bookmark3" w:history="1"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5</w:t>
            </w:r>
          </w:hyperlink>
        </w:p>
        <w:p>
          <w:pPr>
            <w:pStyle w:val="BodyText"/>
            <w:tabs>
              <w:tab w:val="right" w:leader="dot" w:pos="10385"/>
            </w:tabs>
            <w:spacing w:before="83" w:line="220" w:lineRule="auto"/>
            <w:ind w:left="80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rFonts w:ascii="Times New Roman" w:eastAsia="Times New Roman" w:hAnsi="Times New Roman" w:cs="Times New Roman"/>
              <w:spacing w:val="5"/>
              <w:sz w:val="19"/>
              <w:szCs w:val="19"/>
            </w:rPr>
            <w:t>1.1.2</w:t>
          </w:r>
          <w:r>
            <w:rPr>
              <w:rFonts w:ascii="Times New Roman" w:eastAsia="Times New Roman" w:hAnsi="Times New Roman" w:cs="Times New Roman"/>
              <w:spacing w:val="-21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pacing w:val="5"/>
              <w:sz w:val="19"/>
              <w:szCs w:val="19"/>
            </w:rPr>
            <w:t>、</w:t>
          </w:r>
          <w:r>
            <w:rPr>
              <w:rFonts w:ascii="SimSun" w:eastAsia="SimSun" w:hAnsi="SimSun" w:cs="SimSun"/>
              <w:spacing w:val="78"/>
              <w:sz w:val="19"/>
              <w:szCs w:val="19"/>
            </w:rPr>
            <w:t xml:space="preserve"> </w:t>
          </w:r>
          <w:r>
            <w:rPr>
              <w:spacing w:val="5"/>
              <w:sz w:val="19"/>
              <w:szCs w:val="19"/>
            </w:rPr>
            <w:t>降息主基调下，黄金权益再迎配置节点</w:t>
          </w:r>
          <w:r>
            <w:rPr>
              <w:sz w:val="19"/>
              <w:szCs w:val="19"/>
            </w:rPr>
            <w:tab/>
          </w:r>
          <w:r>
            <w:rPr>
              <w:spacing w:val="-23"/>
              <w:sz w:val="19"/>
              <w:szCs w:val="19"/>
            </w:rPr>
            <w:t xml:space="preserve"> </w:t>
          </w:r>
          <w:hyperlink w:anchor="bookmark4" w:history="1"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5</w:t>
            </w:r>
          </w:hyperlink>
        </w:p>
        <w:p>
          <w:pPr>
            <w:pStyle w:val="BodyText"/>
            <w:tabs>
              <w:tab w:val="right" w:leader="dot" w:pos="10375"/>
            </w:tabs>
            <w:spacing w:before="94" w:line="220" w:lineRule="auto"/>
            <w:ind w:left="400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rFonts w:ascii="Times New Roman" w:eastAsia="Times New Roman" w:hAnsi="Times New Roman" w:cs="Times New Roman"/>
              <w:color w:val="DA6D00"/>
              <w:spacing w:val="6"/>
              <w:sz w:val="19"/>
              <w:szCs w:val="19"/>
            </w:rPr>
            <w:t>1.2</w:t>
          </w:r>
          <w:r>
            <w:rPr>
              <w:rFonts w:ascii="Times New Roman" w:eastAsia="Times New Roman" w:hAnsi="Times New Roman" w:cs="Times New Roman"/>
              <w:color w:val="DA6D00"/>
              <w:spacing w:val="-13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color w:val="DA6D00"/>
              <w:spacing w:val="6"/>
              <w:sz w:val="19"/>
              <w:szCs w:val="19"/>
            </w:rPr>
            <w:t>、</w:t>
          </w:r>
          <w:r>
            <w:rPr>
              <w:rFonts w:ascii="SimSun" w:eastAsia="SimSun" w:hAnsi="SimSun" w:cs="SimSun"/>
              <w:color w:val="DA6D00"/>
              <w:spacing w:val="90"/>
              <w:sz w:val="19"/>
              <w:szCs w:val="19"/>
            </w:rPr>
            <w:t xml:space="preserve"> </w:t>
          </w:r>
          <w:r>
            <w:rPr>
              <w:color w:val="DA6D00"/>
              <w:spacing w:val="6"/>
              <w:sz w:val="19"/>
              <w:szCs w:val="19"/>
            </w:rPr>
            <w:t>自下而上：铜供给端短缺持续兑现，锡供需两端均出现边际变化</w:t>
          </w:r>
          <w:r>
            <w:rPr>
              <w:color w:val="DA6D00"/>
              <w:spacing w:val="-76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5" w:history="1">
            <w:r>
              <w:rPr>
                <w:rFonts w:ascii="Times New Roman" w:eastAsia="Times New Roman" w:hAnsi="Times New Roman" w:cs="Times New Roman"/>
                <w:color w:val="DA6D00"/>
                <w:spacing w:val="1"/>
                <w:sz w:val="19"/>
                <w:szCs w:val="19"/>
              </w:rPr>
              <w:t>6</w:t>
            </w:r>
          </w:hyperlink>
        </w:p>
        <w:p>
          <w:pPr>
            <w:pStyle w:val="BodyText"/>
            <w:tabs>
              <w:tab w:val="right" w:leader="dot" w:pos="10375"/>
            </w:tabs>
            <w:spacing w:before="94" w:line="220" w:lineRule="auto"/>
            <w:ind w:left="80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6"/>
              <w:sz w:val="19"/>
              <w:szCs w:val="19"/>
            </w:rPr>
            <w:t>1.2.1、铜：</w:t>
          </w:r>
          <w:r>
            <w:rPr>
              <w:spacing w:val="6"/>
              <w:sz w:val="19"/>
              <w:szCs w:val="19"/>
            </w:rPr>
            <w:t xml:space="preserve"> </w:t>
          </w:r>
          <w:r>
            <w:rPr>
              <w:spacing w:val="6"/>
              <w:sz w:val="19"/>
              <w:szCs w:val="19"/>
            </w:rPr>
            <w:t>冶炼费用继续下行，铜精矿紧缺持续兑现</w:t>
          </w:r>
          <w:r>
            <w:rPr>
              <w:spacing w:val="-78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6" w:history="1">
            <w:r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  <w:t>6</w:t>
            </w:r>
          </w:hyperlink>
        </w:p>
        <w:p>
          <w:pPr>
            <w:pStyle w:val="BodyText"/>
            <w:tabs>
              <w:tab w:val="right" w:leader="dot" w:pos="10376"/>
            </w:tabs>
            <w:spacing w:before="77" w:line="224" w:lineRule="auto"/>
            <w:ind w:left="809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5"/>
              <w:sz w:val="19"/>
              <w:szCs w:val="19"/>
            </w:rPr>
            <w:t>1.2.2、锡：</w:t>
          </w:r>
          <w:r>
            <w:rPr>
              <w:spacing w:val="5"/>
              <w:sz w:val="19"/>
              <w:szCs w:val="19"/>
            </w:rPr>
            <w:t xml:space="preserve"> </w:t>
          </w:r>
          <w:r>
            <w:rPr>
              <w:spacing w:val="5"/>
              <w:sz w:val="19"/>
              <w:szCs w:val="19"/>
            </w:rPr>
            <w:t>供需边际变化优选锡品种</w:t>
          </w:r>
          <w:r>
            <w:rPr>
              <w:sz w:val="19"/>
              <w:szCs w:val="19"/>
            </w:rPr>
            <w:tab/>
          </w:r>
          <w:hyperlink w:anchor="bookmark7" w:history="1">
            <w:r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</w:rPr>
              <w:t>7</w:t>
            </w:r>
          </w:hyperlink>
        </w:p>
        <w:p>
          <w:pPr>
            <w:pStyle w:val="BodyText"/>
            <w:tabs>
              <w:tab w:val="right" w:leader="dot" w:pos="10348"/>
            </w:tabs>
            <w:spacing w:before="81" w:line="224" w:lineRule="auto"/>
            <w:ind w:left="400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rFonts w:ascii="Times New Roman" w:eastAsia="Times New Roman" w:hAnsi="Times New Roman" w:cs="Times New Roman"/>
              <w:sz w:val="19"/>
              <w:szCs w:val="19"/>
            </w:rPr>
            <w:t>1.3</w:t>
          </w:r>
          <w:r>
            <w:rPr>
              <w:rFonts w:ascii="Times New Roman" w:eastAsia="Times New Roman" w:hAnsi="Times New Roman" w:cs="Times New Roman"/>
              <w:spacing w:val="-23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z w:val="19"/>
              <w:szCs w:val="19"/>
            </w:rPr>
            <w:t>、</w:t>
          </w:r>
          <w:r>
            <w:rPr>
              <w:rFonts w:ascii="SimSun" w:eastAsia="SimSun" w:hAnsi="SimSun" w:cs="SimSun"/>
              <w:spacing w:val="40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>博弈反弹：建议</w:t>
          </w:r>
          <w:r>
            <w:rPr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>2024</w:t>
          </w:r>
          <w:r>
            <w:rPr>
              <w:rFonts w:ascii="Times New Roman" w:eastAsia="Times New Roman" w:hAnsi="Times New Roman" w:cs="Times New Roman"/>
              <w:sz w:val="19"/>
              <w:szCs w:val="19"/>
            </w:rPr>
            <w:t>M</w:t>
          </w:r>
          <w:r>
            <w:rPr>
              <w:sz w:val="19"/>
              <w:szCs w:val="19"/>
            </w:rPr>
            <w:t>3</w:t>
          </w:r>
          <w:r>
            <w:rPr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>继续逢低布局锂矿板块</w:t>
          </w:r>
          <w:r>
            <w:rPr>
              <w:spacing w:val="33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8" w:history="1">
            <w:r>
              <w:rPr>
                <w:rFonts w:ascii="Times New Roman" w:eastAsia="Times New Roman" w:hAnsi="Times New Roman" w:cs="Times New Roman"/>
                <w:spacing w:val="2"/>
                <w:sz w:val="19"/>
                <w:szCs w:val="19"/>
              </w:rPr>
              <w:t>7</w:t>
            </w:r>
          </w:hyperlink>
        </w:p>
        <w:p>
          <w:pPr>
            <w:pStyle w:val="BodyText"/>
            <w:tabs>
              <w:tab w:val="right" w:leader="dot" w:pos="10303"/>
            </w:tabs>
            <w:spacing w:before="88" w:line="224" w:lineRule="auto"/>
            <w:ind w:left="400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rFonts w:ascii="Times New Roman" w:eastAsia="Times New Roman" w:hAnsi="Times New Roman" w:cs="Times New Roman"/>
              <w:spacing w:val="7"/>
              <w:sz w:val="19"/>
              <w:szCs w:val="19"/>
            </w:rPr>
            <w:t>1.4</w:t>
          </w:r>
          <w:r>
            <w:rPr>
              <w:rFonts w:ascii="Times New Roman" w:eastAsia="Times New Roman" w:hAnsi="Times New Roman" w:cs="Times New Roman"/>
              <w:spacing w:val="-25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pacing w:val="7"/>
              <w:sz w:val="19"/>
              <w:szCs w:val="19"/>
            </w:rPr>
            <w:t>、</w:t>
          </w:r>
          <w:r>
            <w:rPr>
              <w:rFonts w:ascii="SimSun" w:eastAsia="SimSun" w:hAnsi="SimSun" w:cs="SimSun"/>
              <w:spacing w:val="60"/>
              <w:sz w:val="19"/>
              <w:szCs w:val="19"/>
            </w:rPr>
            <w:t xml:space="preserve"> </w:t>
          </w:r>
          <w:r>
            <w:rPr>
              <w:spacing w:val="7"/>
              <w:sz w:val="19"/>
              <w:szCs w:val="19"/>
            </w:rPr>
            <w:t>股息策略：铝、钼有望成为金属板块高股息品种</w:t>
          </w:r>
          <w:r>
            <w:rPr>
              <w:spacing w:val="-77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9" w:history="1"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8</w:t>
            </w:r>
          </w:hyperlink>
        </w:p>
        <w:p>
          <w:pPr>
            <w:pStyle w:val="BodyText"/>
            <w:tabs>
              <w:tab w:val="right" w:leader="dot" w:pos="10383"/>
            </w:tabs>
            <w:spacing w:before="86" w:line="220" w:lineRule="auto"/>
            <w:ind w:left="400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rFonts w:ascii="Times New Roman" w:eastAsia="Times New Roman" w:hAnsi="Times New Roman" w:cs="Times New Roman"/>
              <w:spacing w:val="9"/>
              <w:sz w:val="19"/>
              <w:szCs w:val="19"/>
            </w:rPr>
            <w:t>1.5</w:t>
          </w:r>
          <w:r>
            <w:rPr>
              <w:rFonts w:ascii="Times New Roman" w:eastAsia="Times New Roman" w:hAnsi="Times New Roman" w:cs="Times New Roman"/>
              <w:spacing w:val="-26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pacing w:val="9"/>
              <w:sz w:val="19"/>
              <w:szCs w:val="19"/>
            </w:rPr>
            <w:t>、</w:t>
          </w:r>
          <w:r>
            <w:rPr>
              <w:rFonts w:ascii="SimSun" w:eastAsia="SimSun" w:hAnsi="SimSun" w:cs="SimSun"/>
              <w:spacing w:val="70"/>
              <w:sz w:val="19"/>
              <w:szCs w:val="19"/>
            </w:rPr>
            <w:t xml:space="preserve"> </w:t>
          </w:r>
          <w:r>
            <w:rPr>
              <w:spacing w:val="9"/>
              <w:sz w:val="19"/>
              <w:szCs w:val="19"/>
            </w:rPr>
            <w:t>跟踪品种：终端需求延迟启动，3-4</w:t>
          </w:r>
          <w:r>
            <w:rPr>
              <w:spacing w:val="8"/>
              <w:sz w:val="19"/>
              <w:szCs w:val="19"/>
            </w:rPr>
            <w:t>月铁矿、钢材价格或将迎来</w:t>
          </w:r>
          <w:r>
            <w:rPr>
              <w:rFonts w:ascii="Times New Roman" w:eastAsia="Times New Roman" w:hAnsi="Times New Roman" w:cs="Times New Roman"/>
              <w:spacing w:val="8"/>
              <w:sz w:val="19"/>
              <w:szCs w:val="19"/>
            </w:rPr>
            <w:t>V</w:t>
          </w:r>
          <w:r>
            <w:rPr>
              <w:rFonts w:ascii="Times New Roman" w:eastAsia="Times New Roman" w:hAnsi="Times New Roman" w:cs="Times New Roman"/>
              <w:spacing w:val="27"/>
              <w:sz w:val="19"/>
              <w:szCs w:val="19"/>
            </w:rPr>
            <w:t xml:space="preserve"> </w:t>
          </w:r>
          <w:r>
            <w:rPr>
              <w:spacing w:val="8"/>
              <w:sz w:val="19"/>
              <w:szCs w:val="19"/>
            </w:rPr>
            <w:t>型反转</w:t>
          </w:r>
          <w:r>
            <w:rPr>
              <w:spacing w:val="-84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10" w:history="1"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8</w:t>
            </w:r>
          </w:hyperlink>
        </w:p>
        <w:p>
          <w:pPr>
            <w:pStyle w:val="BodyText"/>
            <w:tabs>
              <w:tab w:val="right" w:leader="dot" w:pos="10376"/>
            </w:tabs>
            <w:spacing w:before="63" w:line="220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rFonts w:ascii="Times New Roman" w:eastAsia="Times New Roman" w:hAnsi="Times New Roman" w:cs="Times New Roman"/>
              <w:spacing w:val="7"/>
              <w:sz w:val="19"/>
              <w:szCs w:val="19"/>
            </w:rPr>
            <w:t>2</w:t>
          </w:r>
          <w:r>
            <w:rPr>
              <w:rFonts w:ascii="Times New Roman" w:eastAsia="Times New Roman" w:hAnsi="Times New Roman" w:cs="Times New Roman"/>
              <w:spacing w:val="-24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pacing w:val="7"/>
              <w:sz w:val="19"/>
              <w:szCs w:val="19"/>
            </w:rPr>
            <w:t>、</w:t>
          </w:r>
          <w:r>
            <w:rPr>
              <w:rFonts w:ascii="SimSun" w:eastAsia="SimSun" w:hAnsi="SimSun" w:cs="SimSun"/>
              <w:spacing w:val="65"/>
              <w:sz w:val="19"/>
              <w:szCs w:val="19"/>
            </w:rPr>
            <w:t xml:space="preserve"> </w:t>
          </w:r>
          <w:r>
            <w:rPr>
              <w:spacing w:val="7"/>
              <w:sz w:val="19"/>
              <w:szCs w:val="19"/>
            </w:rPr>
            <w:t>月度跟踪：降息预期再起，金价走强</w:t>
          </w:r>
          <w:r>
            <w:rPr>
              <w:spacing w:val="-81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11" w:history="1">
            <w:r>
              <w:rPr>
                <w:rFonts w:ascii="Times New Roman" w:eastAsia="Times New Roman" w:hAnsi="Times New Roman" w:cs="Times New Roman"/>
                <w:spacing w:val="4"/>
                <w:sz w:val="19"/>
                <w:szCs w:val="19"/>
              </w:rPr>
              <w:t>9</w:t>
            </w:r>
          </w:hyperlink>
        </w:p>
        <w:p>
          <w:pPr>
            <w:pStyle w:val="BodyText"/>
            <w:tabs>
              <w:tab w:val="right" w:leader="dot" w:pos="10376"/>
            </w:tabs>
            <w:spacing w:before="84" w:line="220" w:lineRule="auto"/>
            <w:ind w:left="400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rFonts w:ascii="Times New Roman" w:eastAsia="Times New Roman" w:hAnsi="Times New Roman" w:cs="Times New Roman"/>
              <w:spacing w:val="11"/>
              <w:sz w:val="19"/>
              <w:szCs w:val="19"/>
            </w:rPr>
            <w:t>2.1</w:t>
          </w:r>
          <w:r>
            <w:rPr>
              <w:rFonts w:ascii="Times New Roman" w:eastAsia="Times New Roman" w:hAnsi="Times New Roman" w:cs="Times New Roman"/>
              <w:spacing w:val="-24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pacing w:val="11"/>
              <w:sz w:val="19"/>
              <w:szCs w:val="19"/>
            </w:rPr>
            <w:t>、</w:t>
          </w:r>
          <w:r>
            <w:rPr>
              <w:rFonts w:ascii="SimSun" w:eastAsia="SimSun" w:hAnsi="SimSun" w:cs="SimSun"/>
              <w:spacing w:val="72"/>
              <w:sz w:val="19"/>
              <w:szCs w:val="19"/>
            </w:rPr>
            <w:t xml:space="preserve"> </w:t>
          </w:r>
          <w:r>
            <w:rPr>
              <w:spacing w:val="11"/>
              <w:sz w:val="19"/>
              <w:szCs w:val="19"/>
            </w:rPr>
            <w:t>黄金：降息预期再起，金价创2024年新高</w:t>
          </w:r>
          <w:r>
            <w:rPr>
              <w:sz w:val="19"/>
              <w:szCs w:val="19"/>
            </w:rPr>
            <w:tab/>
          </w:r>
          <w:hyperlink w:anchor="bookmark12" w:history="1">
            <w:r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</w:rPr>
              <w:t>9</w:t>
            </w:r>
          </w:hyperlink>
        </w:p>
        <w:p>
          <w:pPr>
            <w:pStyle w:val="BodyText"/>
            <w:tabs>
              <w:tab w:val="right" w:leader="dot" w:pos="10346"/>
            </w:tabs>
            <w:spacing w:before="103" w:line="220" w:lineRule="auto"/>
            <w:ind w:left="400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6"/>
              <w:sz w:val="19"/>
              <w:szCs w:val="19"/>
            </w:rPr>
            <w:t>2</w:t>
          </w:r>
          <w:r>
            <w:rPr>
              <w:spacing w:val="-49"/>
              <w:sz w:val="19"/>
              <w:szCs w:val="19"/>
            </w:rPr>
            <w:t xml:space="preserve"> </w:t>
          </w:r>
          <w:r>
            <w:rPr>
              <w:spacing w:val="6"/>
              <w:sz w:val="19"/>
              <w:szCs w:val="19"/>
            </w:rPr>
            <w:t>.2、铜：</w:t>
          </w:r>
          <w:r>
            <w:rPr>
              <w:spacing w:val="6"/>
              <w:sz w:val="19"/>
              <w:szCs w:val="19"/>
            </w:rPr>
            <w:t xml:space="preserve"> </w:t>
          </w:r>
          <w:r>
            <w:rPr>
              <w:spacing w:val="6"/>
              <w:sz w:val="19"/>
              <w:szCs w:val="19"/>
            </w:rPr>
            <w:t>冶炼费用继续下行，铜精矿紧缺持续兑现</w:t>
          </w:r>
          <w:r>
            <w:rPr>
              <w:spacing w:val="-73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r>
            <w:rPr>
              <w:spacing w:val="-13"/>
              <w:sz w:val="19"/>
              <w:szCs w:val="19"/>
            </w:rPr>
            <w:t xml:space="preserve"> </w:t>
          </w:r>
          <w:hyperlink w:anchor="bookmark13" w:history="1">
            <w:r>
              <w:rPr>
                <w:rFonts w:ascii="Times New Roman" w:eastAsia="Times New Roman" w:hAnsi="Times New Roman" w:cs="Times New Roman"/>
                <w:spacing w:val="-6"/>
                <w:sz w:val="19"/>
                <w:szCs w:val="19"/>
              </w:rPr>
              <w:t>12</w:t>
            </w:r>
          </w:hyperlink>
        </w:p>
        <w:p>
          <w:pPr>
            <w:pStyle w:val="BodyText"/>
            <w:tabs>
              <w:tab w:val="right" w:leader="dot" w:pos="10346"/>
            </w:tabs>
            <w:spacing w:before="74" w:line="220" w:lineRule="auto"/>
            <w:ind w:left="400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6"/>
              <w:sz w:val="19"/>
              <w:szCs w:val="19"/>
            </w:rPr>
            <w:t>2</w:t>
          </w:r>
          <w:r>
            <w:rPr>
              <w:spacing w:val="-44"/>
              <w:sz w:val="19"/>
              <w:szCs w:val="19"/>
            </w:rPr>
            <w:t xml:space="preserve"> </w:t>
          </w:r>
          <w:r>
            <w:rPr>
              <w:spacing w:val="6"/>
              <w:sz w:val="19"/>
              <w:szCs w:val="19"/>
            </w:rPr>
            <w:t>.3、锂：</w:t>
          </w:r>
          <w:r>
            <w:rPr>
              <w:spacing w:val="6"/>
              <w:sz w:val="19"/>
              <w:szCs w:val="19"/>
            </w:rPr>
            <w:t xml:space="preserve"> </w:t>
          </w:r>
          <w:r>
            <w:rPr>
              <w:spacing w:val="6"/>
              <w:sz w:val="19"/>
              <w:szCs w:val="19"/>
            </w:rPr>
            <w:t>下游需求稳增长，预计锂价将反复磨底</w:t>
          </w:r>
          <w:r>
            <w:rPr>
              <w:spacing w:val="-71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r>
            <w:rPr>
              <w:spacing w:val="-13"/>
              <w:sz w:val="19"/>
              <w:szCs w:val="19"/>
            </w:rPr>
            <w:t xml:space="preserve"> </w:t>
          </w:r>
          <w:hyperlink w:anchor="bookmark14" w:history="1">
            <w:r>
              <w:rPr>
                <w:rFonts w:ascii="Times New Roman" w:eastAsia="Times New Roman" w:hAnsi="Times New Roman" w:cs="Times New Roman"/>
                <w:spacing w:val="-6"/>
                <w:sz w:val="19"/>
                <w:szCs w:val="19"/>
              </w:rPr>
              <w:t>14</w:t>
            </w:r>
          </w:hyperlink>
        </w:p>
        <w:p>
          <w:pPr>
            <w:pStyle w:val="BodyText"/>
            <w:tabs>
              <w:tab w:val="right" w:leader="dot" w:pos="10346"/>
            </w:tabs>
            <w:spacing w:before="86" w:line="223" w:lineRule="auto"/>
            <w:ind w:left="400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3"/>
              <w:sz w:val="19"/>
              <w:szCs w:val="19"/>
            </w:rPr>
            <w:t>2.4、</w:t>
          </w:r>
          <w:r>
            <w:rPr>
              <w:spacing w:val="71"/>
              <w:sz w:val="19"/>
              <w:szCs w:val="19"/>
            </w:rPr>
            <w:t xml:space="preserve"> </w:t>
          </w:r>
          <w:r>
            <w:rPr>
              <w:spacing w:val="3"/>
              <w:sz w:val="19"/>
              <w:szCs w:val="19"/>
            </w:rPr>
            <w:t>铝：</w:t>
          </w:r>
          <w:r>
            <w:rPr>
              <w:spacing w:val="-41"/>
              <w:sz w:val="19"/>
              <w:szCs w:val="19"/>
            </w:rPr>
            <w:t xml:space="preserve"> </w:t>
          </w:r>
          <w:r>
            <w:rPr>
              <w:spacing w:val="3"/>
              <w:sz w:val="19"/>
              <w:szCs w:val="19"/>
            </w:rPr>
            <w:t>关注云南枯水期对电解铝产能运行影响</w:t>
          </w:r>
          <w:r>
            <w:rPr>
              <w:spacing w:val="-80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15" w:history="1">
            <w: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</w:rPr>
              <w:t>16</w:t>
            </w:r>
          </w:hyperlink>
        </w:p>
        <w:p>
          <w:pPr>
            <w:pStyle w:val="BodyText"/>
            <w:tabs>
              <w:tab w:val="right" w:leader="dot" w:pos="10376"/>
            </w:tabs>
            <w:spacing w:before="88" w:line="220" w:lineRule="auto"/>
            <w:ind w:left="400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color w:val="E87400"/>
              <w:spacing w:val="4"/>
              <w:sz w:val="19"/>
              <w:szCs w:val="19"/>
            </w:rPr>
            <w:t>2.5、</w:t>
          </w:r>
          <w:r>
            <w:rPr>
              <w:color w:val="E87400"/>
              <w:spacing w:val="85"/>
              <w:sz w:val="19"/>
              <w:szCs w:val="19"/>
            </w:rPr>
            <w:t xml:space="preserve"> </w:t>
          </w:r>
          <w:r>
            <w:rPr>
              <w:color w:val="E87400"/>
              <w:spacing w:val="4"/>
              <w:sz w:val="19"/>
              <w:szCs w:val="19"/>
            </w:rPr>
            <w:t>锡：</w:t>
          </w:r>
          <w:r>
            <w:rPr>
              <w:color w:val="E87400"/>
              <w:spacing w:val="-50"/>
              <w:sz w:val="19"/>
              <w:szCs w:val="19"/>
            </w:rPr>
            <w:t xml:space="preserve"> </w:t>
          </w:r>
          <w:r>
            <w:rPr>
              <w:color w:val="E87400"/>
              <w:spacing w:val="4"/>
              <w:sz w:val="19"/>
              <w:szCs w:val="19"/>
            </w:rPr>
            <w:t>缅甸矿端停产供给收紧，期待半导体复苏提振锡价</w:t>
          </w:r>
          <w:r>
            <w:rPr>
              <w:color w:val="E87400"/>
              <w:spacing w:val="-69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r>
            <w:rPr>
              <w:color w:val="E87400"/>
              <w:spacing w:val="-33"/>
              <w:sz w:val="19"/>
              <w:szCs w:val="19"/>
            </w:rPr>
            <w:t xml:space="preserve"> </w:t>
          </w:r>
          <w:hyperlink w:anchor="bookmark16" w:history="1">
            <w:r>
              <w:rPr>
                <w:rFonts w:ascii="Times New Roman" w:eastAsia="Times New Roman" w:hAnsi="Times New Roman" w:cs="Times New Roman"/>
                <w:color w:val="E87400"/>
                <w:spacing w:val="-6"/>
                <w:sz w:val="19"/>
                <w:szCs w:val="19"/>
              </w:rPr>
              <w:t>19</w:t>
            </w:r>
          </w:hyperlink>
        </w:p>
        <w:p>
          <w:pPr>
            <w:pStyle w:val="BodyText"/>
            <w:tabs>
              <w:tab w:val="right" w:leader="dot" w:pos="10375"/>
            </w:tabs>
            <w:spacing w:before="84" w:line="220" w:lineRule="auto"/>
            <w:ind w:left="400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rFonts w:ascii="Times New Roman" w:eastAsia="Times New Roman" w:hAnsi="Times New Roman" w:cs="Times New Roman"/>
              <w:spacing w:val="7"/>
              <w:sz w:val="19"/>
              <w:szCs w:val="19"/>
            </w:rPr>
            <w:t>2.6</w:t>
          </w:r>
          <w:r>
            <w:rPr>
              <w:rFonts w:ascii="Times New Roman" w:eastAsia="Times New Roman" w:hAnsi="Times New Roman" w:cs="Times New Roman"/>
              <w:spacing w:val="-21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pacing w:val="7"/>
              <w:sz w:val="19"/>
              <w:szCs w:val="19"/>
            </w:rPr>
            <w:t>、</w:t>
          </w:r>
          <w:r>
            <w:rPr>
              <w:rFonts w:ascii="SimSun" w:eastAsia="SimSun" w:hAnsi="SimSun" w:cs="SimSun"/>
              <w:spacing w:val="62"/>
              <w:sz w:val="19"/>
              <w:szCs w:val="19"/>
            </w:rPr>
            <w:t xml:space="preserve"> </w:t>
          </w:r>
          <w:r>
            <w:rPr>
              <w:spacing w:val="7"/>
              <w:sz w:val="19"/>
              <w:szCs w:val="19"/>
            </w:rPr>
            <w:t>铁矿石：若需求继续延迟兑现，铁矿价格或将震荡下行</w:t>
          </w:r>
          <w:r>
            <w:rPr>
              <w:spacing w:val="-74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r>
            <w:rPr>
              <w:spacing w:val="-43"/>
              <w:sz w:val="19"/>
              <w:szCs w:val="19"/>
            </w:rPr>
            <w:t xml:space="preserve"> </w:t>
          </w:r>
          <w:hyperlink w:anchor="bookmark17" w:history="1">
            <w:r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</w:rPr>
              <w:t>21</w:t>
            </w:r>
          </w:hyperlink>
        </w:p>
        <w:p>
          <w:pPr>
            <w:pStyle w:val="BodyText"/>
            <w:tabs>
              <w:tab w:val="right" w:leader="dot" w:pos="10385"/>
            </w:tabs>
            <w:spacing w:before="103" w:line="220" w:lineRule="auto"/>
            <w:ind w:left="400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rFonts w:ascii="Times New Roman" w:eastAsia="Times New Roman" w:hAnsi="Times New Roman" w:cs="Times New Roman"/>
              <w:spacing w:val="10"/>
              <w:sz w:val="19"/>
              <w:szCs w:val="19"/>
            </w:rPr>
            <w:t>2.7</w:t>
          </w:r>
          <w:r>
            <w:rPr>
              <w:rFonts w:ascii="Times New Roman" w:eastAsia="Times New Roman" w:hAnsi="Times New Roman" w:cs="Times New Roman"/>
              <w:spacing w:val="-27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pacing w:val="10"/>
              <w:sz w:val="19"/>
              <w:szCs w:val="19"/>
            </w:rPr>
            <w:t>、</w:t>
          </w:r>
          <w:r>
            <w:rPr>
              <w:rFonts w:ascii="SimSun" w:eastAsia="SimSun" w:hAnsi="SimSun" w:cs="SimSun"/>
              <w:spacing w:val="52"/>
              <w:sz w:val="19"/>
              <w:szCs w:val="19"/>
            </w:rPr>
            <w:t xml:space="preserve"> </w:t>
          </w:r>
          <w:r>
            <w:rPr>
              <w:spacing w:val="10"/>
              <w:sz w:val="19"/>
              <w:szCs w:val="19"/>
            </w:rPr>
            <w:t>钢材：制造业需求决定价格反弹空</w:t>
          </w:r>
          <w:r>
            <w:rPr>
              <w:spacing w:val="9"/>
              <w:sz w:val="19"/>
              <w:szCs w:val="19"/>
            </w:rPr>
            <w:t>间，3-4月或将迎来</w:t>
          </w:r>
          <w:r>
            <w:rPr>
              <w:rFonts w:ascii="Times New Roman" w:eastAsia="Times New Roman" w:hAnsi="Times New Roman" w:cs="Times New Roman"/>
              <w:spacing w:val="9"/>
              <w:sz w:val="19"/>
              <w:szCs w:val="19"/>
            </w:rPr>
            <w:t>V</w:t>
          </w:r>
          <w:r>
            <w:rPr>
              <w:rFonts w:ascii="Times New Roman" w:eastAsia="Times New Roman" w:hAnsi="Times New Roman" w:cs="Times New Roman"/>
              <w:spacing w:val="17"/>
              <w:sz w:val="19"/>
              <w:szCs w:val="19"/>
            </w:rPr>
            <w:t xml:space="preserve"> </w:t>
          </w:r>
          <w:r>
            <w:rPr>
              <w:spacing w:val="9"/>
              <w:sz w:val="19"/>
              <w:szCs w:val="19"/>
            </w:rPr>
            <w:t>型反转</w:t>
          </w:r>
          <w:r>
            <w:rPr>
              <w:spacing w:val="-74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r>
            <w:rPr>
              <w:spacing w:val="-53"/>
              <w:sz w:val="19"/>
              <w:szCs w:val="19"/>
            </w:rPr>
            <w:t xml:space="preserve"> </w:t>
          </w:r>
          <w:hyperlink w:anchor="bookmark18" w:history="1">
            <w:r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</w:rPr>
              <w:t>22</w:t>
            </w:r>
          </w:hyperlink>
        </w:p>
        <w:p>
          <w:pPr>
            <w:pStyle w:val="BodyText"/>
            <w:tabs>
              <w:tab w:val="right" w:leader="dot" w:pos="10365"/>
            </w:tabs>
            <w:spacing w:before="74" w:line="230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rFonts w:ascii="Times New Roman" w:eastAsia="Times New Roman" w:hAnsi="Times New Roman" w:cs="Times New Roman"/>
              <w:spacing w:val="5"/>
              <w:sz w:val="19"/>
              <w:szCs w:val="19"/>
            </w:rPr>
            <w:t>3</w:t>
          </w:r>
          <w:r>
            <w:rPr>
              <w:rFonts w:ascii="Times New Roman" w:eastAsia="Times New Roman" w:hAnsi="Times New Roman" w:cs="Times New Roman"/>
              <w:spacing w:val="-26"/>
              <w:sz w:val="19"/>
              <w:szCs w:val="19"/>
            </w:rPr>
            <w:t xml:space="preserve"> </w:t>
          </w:r>
          <w:r>
            <w:rPr>
              <w:rFonts w:ascii="SimSun" w:eastAsia="SimSun" w:hAnsi="SimSun" w:cs="SimSun"/>
              <w:spacing w:val="5"/>
              <w:sz w:val="19"/>
              <w:szCs w:val="19"/>
            </w:rPr>
            <w:t>、</w:t>
          </w:r>
          <w:r>
            <w:rPr>
              <w:rFonts w:ascii="SimSun" w:eastAsia="SimSun" w:hAnsi="SimSun" w:cs="SimSun"/>
              <w:spacing w:val="27"/>
              <w:w w:val="101"/>
              <w:sz w:val="19"/>
              <w:szCs w:val="19"/>
            </w:rPr>
            <w:t xml:space="preserve"> </w:t>
          </w:r>
          <w:r>
            <w:rPr>
              <w:spacing w:val="5"/>
              <w:sz w:val="19"/>
              <w:szCs w:val="19"/>
            </w:rPr>
            <w:t>风险提示</w:t>
          </w:r>
          <w:r>
            <w:rPr>
              <w:spacing w:val="-76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r>
            <w:rPr>
              <w:spacing w:val="-63"/>
              <w:sz w:val="19"/>
              <w:szCs w:val="19"/>
            </w:rPr>
            <w:t xml:space="preserve"> </w:t>
          </w:r>
          <w:hyperlink w:anchor="bookmark19" w:history="1">
            <w:r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</w:rPr>
              <w:t>25</w:t>
            </w:r>
          </w:hyperlink>
        </w:p>
      </w:sdtContent>
    </w:sdt>
    <w:p>
      <w:pPr>
        <w:spacing w:line="430" w:lineRule="auto"/>
        <w:rPr>
          <w:rFonts w:ascii="Arial"/>
          <w:sz w:val="21"/>
        </w:rPr>
      </w:pPr>
    </w:p>
    <w:sdt>
      <w:sdtPr>
        <w:rPr>
          <w:rFonts w:ascii="KaiTi" w:eastAsia="KaiTi" w:hAnsi="KaiTi" w:cs="KaiTi"/>
          <w:sz w:val="26"/>
          <w:szCs w:val="26"/>
        </w:rPr>
        <w:id w:val="1992050292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19"/>
          <w:szCs w:val="19"/>
        </w:rPr>
      </w:sdtEndPr>
      <w:sdtContent>
        <w:p>
          <w:pPr>
            <w:pStyle w:val="BodyText"/>
            <w:spacing w:before="86" w:line="227" w:lineRule="auto"/>
            <w:ind w:left="4673"/>
            <w:rPr>
              <w:sz w:val="26"/>
              <w:szCs w:val="26"/>
            </w:rPr>
          </w:pPr>
          <w:r>
            <w:rPr>
              <w:b/>
              <w:bCs/>
              <w:color w:val="000080"/>
              <w:spacing w:val="17"/>
              <w:sz w:val="26"/>
              <w:szCs w:val="26"/>
            </w:rPr>
            <w:t>图表目录</w:t>
          </w:r>
        </w:p>
        <w:p>
          <w:pPr>
            <w:pStyle w:val="BodyText"/>
            <w:tabs>
              <w:tab w:val="right" w:leader="dot" w:pos="10376"/>
            </w:tabs>
            <w:spacing w:before="185" w:line="220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16"/>
              <w:sz w:val="19"/>
              <w:szCs w:val="19"/>
            </w:rPr>
            <w:t>图</w:t>
          </w:r>
          <w:r>
            <w:rPr>
              <w:spacing w:val="16"/>
              <w:sz w:val="19"/>
              <w:szCs w:val="19"/>
            </w:rPr>
            <w:t xml:space="preserve"> </w:t>
          </w:r>
          <w:r>
            <w:rPr>
              <w:spacing w:val="16"/>
              <w:sz w:val="19"/>
              <w:szCs w:val="19"/>
            </w:rPr>
            <w:t>1</w:t>
          </w:r>
          <w:r>
            <w:rPr>
              <w:spacing w:val="16"/>
              <w:sz w:val="19"/>
              <w:szCs w:val="19"/>
            </w:rPr>
            <w:t xml:space="preserve"> </w:t>
          </w:r>
          <w:r>
            <w:rPr>
              <w:spacing w:val="16"/>
              <w:sz w:val="19"/>
              <w:szCs w:val="19"/>
            </w:rPr>
            <w:t>:</w:t>
          </w:r>
          <w:r>
            <w:rPr>
              <w:spacing w:val="71"/>
              <w:sz w:val="19"/>
              <w:szCs w:val="19"/>
            </w:rPr>
            <w:t xml:space="preserve"> </w:t>
          </w:r>
          <w:r>
            <w:rPr>
              <w:spacing w:val="16"/>
              <w:sz w:val="19"/>
              <w:szCs w:val="19"/>
            </w:rPr>
            <w:t>截至2024年3月4日，伦敦现货金价209</w:t>
          </w:r>
          <w:r>
            <w:rPr>
              <w:spacing w:val="15"/>
              <w:sz w:val="19"/>
              <w:szCs w:val="19"/>
            </w:rPr>
            <w:t>8美元/盎司</w:t>
          </w:r>
          <w:r>
            <w:rPr>
              <w:sz w:val="19"/>
              <w:szCs w:val="19"/>
            </w:rPr>
            <w:tab/>
          </w:r>
          <w:r>
            <w:rPr>
              <w:spacing w:val="-43"/>
              <w:sz w:val="19"/>
              <w:szCs w:val="19"/>
            </w:rPr>
            <w:t xml:space="preserve"> </w:t>
          </w:r>
          <w:hyperlink w:anchor="bookmark20" w:history="1"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9</w:t>
            </w:r>
          </w:hyperlink>
        </w:p>
        <w:p>
          <w:pPr>
            <w:pStyle w:val="BodyText"/>
            <w:tabs>
              <w:tab w:val="right" w:leader="dot" w:pos="10346"/>
            </w:tabs>
            <w:spacing w:before="73" w:line="220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18"/>
              <w:sz w:val="19"/>
              <w:szCs w:val="19"/>
            </w:rPr>
            <w:t>图</w:t>
          </w:r>
          <w:r>
            <w:rPr>
              <w:spacing w:val="-34"/>
              <w:sz w:val="19"/>
              <w:szCs w:val="19"/>
            </w:rPr>
            <w:t xml:space="preserve"> </w:t>
          </w:r>
          <w:r>
            <w:rPr>
              <w:spacing w:val="18"/>
              <w:sz w:val="19"/>
              <w:szCs w:val="19"/>
            </w:rPr>
            <w:t>2</w:t>
          </w:r>
          <w:r>
            <w:rPr>
              <w:spacing w:val="-7"/>
              <w:sz w:val="19"/>
              <w:szCs w:val="19"/>
            </w:rPr>
            <w:t xml:space="preserve"> </w:t>
          </w:r>
          <w:r>
            <w:rPr>
              <w:spacing w:val="18"/>
              <w:sz w:val="19"/>
              <w:szCs w:val="19"/>
            </w:rPr>
            <w:t>:</w:t>
          </w:r>
          <w:r>
            <w:rPr>
              <w:spacing w:val="75"/>
              <w:sz w:val="19"/>
              <w:szCs w:val="19"/>
            </w:rPr>
            <w:t xml:space="preserve"> </w:t>
          </w:r>
          <w:r>
            <w:rPr>
              <w:spacing w:val="18"/>
              <w:sz w:val="19"/>
              <w:szCs w:val="19"/>
            </w:rPr>
            <w:t>截至2024年3月5日，上海现货金</w:t>
          </w:r>
          <w:r>
            <w:rPr>
              <w:spacing w:val="17"/>
              <w:sz w:val="19"/>
              <w:szCs w:val="19"/>
            </w:rPr>
            <w:t>价497元/克</w:t>
          </w:r>
          <w:r>
            <w:rPr>
              <w:spacing w:val="-74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21" w:history="1">
            <w:r>
              <w:rPr>
                <w:rFonts w:ascii="Times New Roman" w:eastAsia="Times New Roman" w:hAnsi="Times New Roman" w:cs="Times New Roman"/>
                <w:spacing w:val="1"/>
                <w:sz w:val="19"/>
                <w:szCs w:val="19"/>
              </w:rPr>
              <w:t>9</w:t>
            </w:r>
          </w:hyperlink>
        </w:p>
        <w:p>
          <w:pPr>
            <w:pStyle w:val="BodyText"/>
            <w:tabs>
              <w:tab w:val="right" w:leader="dot" w:pos="10336"/>
            </w:tabs>
            <w:spacing w:before="84" w:line="220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14"/>
              <w:sz w:val="19"/>
              <w:szCs w:val="19"/>
            </w:rPr>
            <w:t>图</w:t>
          </w:r>
          <w:r>
            <w:rPr>
              <w:spacing w:val="-21"/>
              <w:sz w:val="19"/>
              <w:szCs w:val="19"/>
            </w:rPr>
            <w:t xml:space="preserve"> </w:t>
          </w:r>
          <w:r>
            <w:rPr>
              <w:spacing w:val="14"/>
              <w:sz w:val="19"/>
              <w:szCs w:val="19"/>
            </w:rPr>
            <w:t>3</w:t>
          </w:r>
          <w:r>
            <w:rPr>
              <w:spacing w:val="14"/>
              <w:sz w:val="19"/>
              <w:szCs w:val="19"/>
            </w:rPr>
            <w:t xml:space="preserve"> </w:t>
          </w:r>
          <w:r>
            <w:rPr>
              <w:spacing w:val="14"/>
              <w:sz w:val="19"/>
              <w:szCs w:val="19"/>
            </w:rPr>
            <w:t>:</w:t>
          </w:r>
          <w:r>
            <w:rPr>
              <w:spacing w:val="75"/>
              <w:sz w:val="19"/>
              <w:szCs w:val="19"/>
            </w:rPr>
            <w:t xml:space="preserve"> </w:t>
          </w:r>
          <w:r>
            <w:rPr>
              <w:spacing w:val="14"/>
              <w:sz w:val="19"/>
              <w:szCs w:val="19"/>
            </w:rPr>
            <w:t>截至2024年3月4日，黄金</w:t>
          </w:r>
          <w:r>
            <w:rPr>
              <w:spacing w:val="14"/>
              <w:sz w:val="19"/>
              <w:szCs w:val="19"/>
            </w:rPr>
            <w:t xml:space="preserve"> </w:t>
          </w:r>
          <w:r>
            <w:rPr>
              <w:rFonts w:ascii="Times New Roman" w:eastAsia="Times New Roman" w:hAnsi="Times New Roman" w:cs="Times New Roman"/>
              <w:sz w:val="19"/>
              <w:szCs w:val="19"/>
            </w:rPr>
            <w:t>ETF</w:t>
          </w:r>
          <w:r>
            <w:rPr>
              <w:rFonts w:ascii="Times New Roman" w:eastAsia="Times New Roman" w:hAnsi="Times New Roman" w:cs="Times New Roman"/>
              <w:spacing w:val="19"/>
              <w:w w:val="101"/>
              <w:sz w:val="19"/>
              <w:szCs w:val="19"/>
            </w:rPr>
            <w:t xml:space="preserve"> </w:t>
          </w:r>
          <w:r>
            <w:rPr>
              <w:spacing w:val="14"/>
              <w:sz w:val="19"/>
              <w:szCs w:val="19"/>
            </w:rPr>
            <w:t>持仓量达到821.47吨，月环比-4%</w:t>
          </w:r>
          <w:r>
            <w:rPr>
              <w:spacing w:val="-72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r>
            <w:rPr>
              <w:spacing w:val="-53"/>
              <w:sz w:val="19"/>
              <w:szCs w:val="19"/>
            </w:rPr>
            <w:t xml:space="preserve"> </w:t>
          </w:r>
          <w:hyperlink w:anchor="bookmark22" w:history="1"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9</w:t>
            </w:r>
          </w:hyperlink>
        </w:p>
        <w:p>
          <w:pPr>
            <w:pStyle w:val="BodyText"/>
            <w:tabs>
              <w:tab w:val="right" w:leader="dot" w:pos="10366"/>
            </w:tabs>
            <w:spacing w:before="104" w:line="220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16"/>
              <w:sz w:val="19"/>
              <w:szCs w:val="19"/>
            </w:rPr>
            <w:t>图</w:t>
          </w:r>
          <w:r>
            <w:rPr>
              <w:spacing w:val="16"/>
              <w:sz w:val="19"/>
              <w:szCs w:val="19"/>
            </w:rPr>
            <w:t xml:space="preserve"> </w:t>
          </w:r>
          <w:r>
            <w:rPr>
              <w:spacing w:val="16"/>
              <w:sz w:val="19"/>
              <w:szCs w:val="19"/>
            </w:rPr>
            <w:t>4</w:t>
          </w:r>
          <w:r>
            <w:rPr>
              <w:spacing w:val="16"/>
              <w:sz w:val="19"/>
              <w:szCs w:val="19"/>
            </w:rPr>
            <w:t xml:space="preserve"> </w:t>
          </w:r>
          <w:r>
            <w:rPr>
              <w:spacing w:val="16"/>
              <w:sz w:val="19"/>
              <w:szCs w:val="19"/>
            </w:rPr>
            <w:t>:</w:t>
          </w:r>
          <w:r>
            <w:rPr>
              <w:spacing w:val="16"/>
              <w:sz w:val="19"/>
              <w:szCs w:val="19"/>
            </w:rPr>
            <w:t xml:space="preserve"> </w:t>
          </w:r>
          <w:r>
            <w:rPr>
              <w:spacing w:val="16"/>
              <w:sz w:val="19"/>
              <w:szCs w:val="19"/>
            </w:rPr>
            <w:t>截至2024年3月4日当周，</w:t>
          </w:r>
          <w:r>
            <w:rPr>
              <w:rFonts w:ascii="Times New Roman" w:eastAsia="Times New Roman" w:hAnsi="Times New Roman" w:cs="Times New Roman"/>
              <w:sz w:val="19"/>
              <w:szCs w:val="19"/>
            </w:rPr>
            <w:t>Comex</w:t>
          </w:r>
          <w:r>
            <w:rPr>
              <w:rFonts w:ascii="Times New Roman" w:eastAsia="Times New Roman" w:hAnsi="Times New Roman" w:cs="Times New Roman"/>
              <w:spacing w:val="41"/>
              <w:w w:val="101"/>
              <w:sz w:val="19"/>
              <w:szCs w:val="19"/>
            </w:rPr>
            <w:t xml:space="preserve"> </w:t>
          </w:r>
          <w:r>
            <w:rPr>
              <w:spacing w:val="16"/>
              <w:sz w:val="19"/>
              <w:szCs w:val="19"/>
            </w:rPr>
            <w:t>黄金非商业持仓净</w:t>
          </w:r>
          <w:r>
            <w:rPr>
              <w:spacing w:val="15"/>
              <w:sz w:val="19"/>
              <w:szCs w:val="19"/>
            </w:rPr>
            <w:t>多头达14.2万张，月环比-4%</w:t>
          </w:r>
          <w:r>
            <w:rPr>
              <w:spacing w:val="-72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23" w:history="1">
            <w:r>
              <w:rPr>
                <w:rFonts w:ascii="Times New Roman" w:eastAsia="Times New Roman" w:hAnsi="Times New Roman" w:cs="Times New Roman"/>
                <w:spacing w:val="14"/>
                <w:sz w:val="19"/>
                <w:szCs w:val="19"/>
              </w:rPr>
              <w:t>9</w:t>
            </w:r>
          </w:hyperlink>
        </w:p>
        <w:p>
          <w:pPr>
            <w:pStyle w:val="BodyText"/>
            <w:tabs>
              <w:tab w:val="right" w:leader="dot" w:pos="10376"/>
            </w:tabs>
            <w:spacing w:before="71" w:line="227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2"/>
              <w:sz w:val="19"/>
              <w:szCs w:val="19"/>
            </w:rPr>
            <w:t>图</w:t>
          </w:r>
          <w:r>
            <w:rPr>
              <w:spacing w:val="-20"/>
              <w:sz w:val="19"/>
              <w:szCs w:val="19"/>
            </w:rPr>
            <w:t xml:space="preserve"> </w:t>
          </w:r>
          <w:r>
            <w:rPr>
              <w:spacing w:val="2"/>
              <w:sz w:val="19"/>
              <w:szCs w:val="19"/>
            </w:rPr>
            <w:t>5</w:t>
          </w:r>
          <w:r>
            <w:rPr>
              <w:spacing w:val="2"/>
              <w:sz w:val="19"/>
              <w:szCs w:val="19"/>
            </w:rPr>
            <w:t xml:space="preserve"> </w:t>
          </w:r>
          <w:r>
            <w:rPr>
              <w:spacing w:val="2"/>
              <w:sz w:val="19"/>
              <w:szCs w:val="19"/>
            </w:rPr>
            <w:t>:</w:t>
          </w:r>
          <w:r>
            <w:rPr>
              <w:spacing w:val="72"/>
              <w:sz w:val="19"/>
              <w:szCs w:val="19"/>
            </w:rPr>
            <w:t xml:space="preserve"> </w:t>
          </w:r>
          <w:r>
            <w:rPr>
              <w:spacing w:val="2"/>
              <w:sz w:val="19"/>
              <w:szCs w:val="19"/>
            </w:rPr>
            <w:t>美国通胀下行趋势不改</w:t>
          </w:r>
          <w:r>
            <w:rPr>
              <w:spacing w:val="-71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24" w:history="1">
            <w: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</w:rPr>
              <w:t>10</w:t>
            </w:r>
          </w:hyperlink>
        </w:p>
        <w:p>
          <w:pPr>
            <w:pStyle w:val="BodyText"/>
            <w:tabs>
              <w:tab w:val="right" w:leader="dot" w:pos="10366"/>
            </w:tabs>
            <w:spacing w:before="83" w:line="224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9"/>
              <w:sz w:val="19"/>
              <w:szCs w:val="19"/>
            </w:rPr>
            <w:t>图</w:t>
          </w:r>
          <w:r>
            <w:rPr>
              <w:spacing w:val="71"/>
              <w:sz w:val="19"/>
              <w:szCs w:val="19"/>
            </w:rPr>
            <w:t xml:space="preserve"> </w:t>
          </w:r>
          <w:r>
            <w:rPr>
              <w:spacing w:val="9"/>
              <w:sz w:val="19"/>
              <w:szCs w:val="19"/>
            </w:rPr>
            <w:t>6:</w:t>
          </w:r>
          <w:r>
            <w:rPr>
              <w:spacing w:val="9"/>
              <w:sz w:val="19"/>
              <w:szCs w:val="19"/>
            </w:rPr>
            <w:t xml:space="preserve"> </w:t>
          </w:r>
          <w:r>
            <w:rPr>
              <w:spacing w:val="9"/>
              <w:sz w:val="19"/>
              <w:szCs w:val="19"/>
            </w:rPr>
            <w:t>能源与住宅使得通胀粘性较强</w:t>
          </w:r>
          <w:r>
            <w:rPr>
              <w:sz w:val="19"/>
              <w:szCs w:val="19"/>
            </w:rPr>
            <w:tab/>
          </w:r>
          <w:hyperlink w:anchor="bookmark25" w:history="1">
            <w: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</w:rPr>
              <w:t>10</w:t>
            </w:r>
          </w:hyperlink>
        </w:p>
        <w:p>
          <w:pPr>
            <w:pStyle w:val="BodyText"/>
            <w:tabs>
              <w:tab w:val="right" w:leader="dot" w:pos="10376"/>
            </w:tabs>
            <w:spacing w:before="90" w:line="225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6"/>
              <w:sz w:val="19"/>
              <w:szCs w:val="19"/>
            </w:rPr>
            <w:t>图</w:t>
          </w:r>
          <w:r>
            <w:rPr>
              <w:spacing w:val="87"/>
              <w:sz w:val="19"/>
              <w:szCs w:val="19"/>
            </w:rPr>
            <w:t xml:space="preserve"> </w:t>
          </w:r>
          <w:r>
            <w:rPr>
              <w:spacing w:val="6"/>
              <w:sz w:val="19"/>
              <w:szCs w:val="19"/>
            </w:rPr>
            <w:t>7:</w:t>
          </w:r>
          <w:r>
            <w:rPr>
              <w:spacing w:val="32"/>
              <w:sz w:val="19"/>
              <w:szCs w:val="19"/>
            </w:rPr>
            <w:t xml:space="preserve"> </w:t>
          </w:r>
          <w:r>
            <w:rPr>
              <w:spacing w:val="6"/>
              <w:sz w:val="19"/>
              <w:szCs w:val="19"/>
            </w:rPr>
            <w:t>美国消费者信心指数有所下降</w:t>
          </w:r>
          <w:r>
            <w:rPr>
              <w:sz w:val="19"/>
              <w:szCs w:val="19"/>
            </w:rPr>
            <w:tab/>
          </w:r>
          <w:hyperlink w:anchor="bookmark26" w:history="1">
            <w: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</w:rPr>
              <w:t>10</w:t>
            </w:r>
          </w:hyperlink>
        </w:p>
        <w:p>
          <w:pPr>
            <w:pStyle w:val="BodyText"/>
            <w:tabs>
              <w:tab w:val="right" w:leader="dot" w:pos="10376"/>
            </w:tabs>
            <w:spacing w:before="89" w:line="225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8"/>
              <w:sz w:val="19"/>
              <w:szCs w:val="19"/>
            </w:rPr>
            <w:t>图</w:t>
          </w:r>
          <w:r>
            <w:rPr>
              <w:spacing w:val="8"/>
              <w:sz w:val="19"/>
              <w:szCs w:val="19"/>
            </w:rPr>
            <w:t xml:space="preserve"> </w:t>
          </w:r>
          <w:r>
            <w:rPr>
              <w:spacing w:val="8"/>
              <w:sz w:val="19"/>
              <w:szCs w:val="19"/>
            </w:rPr>
            <w:t>8</w:t>
          </w:r>
          <w:r>
            <w:rPr>
              <w:spacing w:val="8"/>
              <w:sz w:val="19"/>
              <w:szCs w:val="19"/>
            </w:rPr>
            <w:t xml:space="preserve"> </w:t>
          </w:r>
          <w:r>
            <w:rPr>
              <w:spacing w:val="8"/>
              <w:sz w:val="19"/>
              <w:szCs w:val="19"/>
            </w:rPr>
            <w:t>:</w:t>
          </w:r>
          <w:r>
            <w:rPr>
              <w:spacing w:val="81"/>
              <w:sz w:val="19"/>
              <w:szCs w:val="19"/>
            </w:rPr>
            <w:t xml:space="preserve"> </w:t>
          </w:r>
          <w:r>
            <w:rPr>
              <w:spacing w:val="8"/>
              <w:sz w:val="19"/>
              <w:szCs w:val="19"/>
            </w:rPr>
            <w:t>美</w:t>
          </w:r>
          <w:r>
            <w:rPr>
              <w:spacing w:val="8"/>
              <w:sz w:val="19"/>
              <w:szCs w:val="19"/>
            </w:rPr>
            <w:t xml:space="preserve"> </w:t>
          </w:r>
          <w:r>
            <w:rPr>
              <w:spacing w:val="8"/>
              <w:sz w:val="19"/>
              <w:szCs w:val="19"/>
            </w:rPr>
            <w:t>国</w:t>
          </w:r>
          <w:r>
            <w:rPr>
              <w:rFonts w:ascii="Times New Roman" w:eastAsia="Times New Roman" w:hAnsi="Times New Roman" w:cs="Times New Roman"/>
              <w:sz w:val="19"/>
              <w:szCs w:val="19"/>
            </w:rPr>
            <w:t>PMI</w:t>
          </w:r>
          <w:r>
            <w:rPr>
              <w:rFonts w:ascii="Times New Roman" w:eastAsia="Times New Roman" w:hAnsi="Times New Roman" w:cs="Times New Roman"/>
              <w:spacing w:val="18"/>
              <w:w w:val="101"/>
              <w:sz w:val="19"/>
              <w:szCs w:val="19"/>
            </w:rPr>
            <w:t xml:space="preserve"> </w:t>
          </w:r>
          <w:r>
            <w:rPr>
              <w:spacing w:val="8"/>
              <w:sz w:val="19"/>
              <w:szCs w:val="19"/>
            </w:rPr>
            <w:t>制造业指数止涨回落(2月非制造业</w:t>
          </w:r>
          <w:r>
            <w:rPr>
              <w:spacing w:val="8"/>
              <w:sz w:val="19"/>
              <w:szCs w:val="19"/>
            </w:rPr>
            <w:t xml:space="preserve"> </w:t>
          </w:r>
          <w:r>
            <w:rPr>
              <w:rFonts w:ascii="Times New Roman" w:eastAsia="Times New Roman" w:hAnsi="Times New Roman" w:cs="Times New Roman"/>
              <w:sz w:val="19"/>
              <w:szCs w:val="19"/>
            </w:rPr>
            <w:t>PMI</w:t>
          </w:r>
          <w:r>
            <w:rPr>
              <w:rFonts w:ascii="Times New Roman" w:eastAsia="Times New Roman" w:hAnsi="Times New Roman" w:cs="Times New Roman"/>
              <w:spacing w:val="18"/>
              <w:sz w:val="19"/>
              <w:szCs w:val="19"/>
            </w:rPr>
            <w:t xml:space="preserve"> </w:t>
          </w:r>
          <w:r>
            <w:rPr>
              <w:spacing w:val="8"/>
              <w:sz w:val="19"/>
              <w:szCs w:val="19"/>
            </w:rPr>
            <w:t>指数暂未发布)</w:t>
          </w:r>
          <w:r>
            <w:rPr>
              <w:sz w:val="19"/>
              <w:szCs w:val="19"/>
            </w:rPr>
            <w:tab/>
          </w:r>
          <w:hyperlink w:anchor="bookmark27" w:history="1">
            <w:r>
              <w:rPr>
                <w:rFonts w:ascii="Times New Roman" w:eastAsia="Times New Roman" w:hAnsi="Times New Roman" w:cs="Times New Roman"/>
                <w:spacing w:val="-8"/>
                <w:sz w:val="19"/>
                <w:szCs w:val="19"/>
              </w:rPr>
              <w:t>10</w:t>
            </w:r>
          </w:hyperlink>
        </w:p>
        <w:p>
          <w:pPr>
            <w:pStyle w:val="BodyText"/>
            <w:tabs>
              <w:tab w:val="right" w:leader="dot" w:pos="10376"/>
            </w:tabs>
            <w:spacing w:before="39" w:line="227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5"/>
              <w:sz w:val="19"/>
              <w:szCs w:val="19"/>
            </w:rPr>
            <w:t>图</w:t>
          </w:r>
          <w:r>
            <w:rPr>
              <w:spacing w:val="5"/>
              <w:sz w:val="19"/>
              <w:szCs w:val="19"/>
            </w:rPr>
            <w:t xml:space="preserve"> </w:t>
          </w:r>
          <w:r>
            <w:rPr>
              <w:spacing w:val="5"/>
              <w:sz w:val="19"/>
              <w:szCs w:val="19"/>
            </w:rPr>
            <w:t>9:</w:t>
          </w:r>
          <w:r>
            <w:rPr>
              <w:spacing w:val="4"/>
              <w:sz w:val="19"/>
              <w:szCs w:val="19"/>
            </w:rPr>
            <w:t xml:space="preserve">  </w:t>
          </w:r>
          <w:r>
            <w:rPr>
              <w:spacing w:val="5"/>
              <w:sz w:val="19"/>
              <w:szCs w:val="19"/>
            </w:rPr>
            <w:t>美国就业市场依旧强劲</w:t>
          </w:r>
          <w:r>
            <w:rPr>
              <w:spacing w:val="-79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28" w:history="1">
            <w: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</w:rPr>
              <w:t>11</w:t>
            </w:r>
          </w:hyperlink>
        </w:p>
        <w:p>
          <w:pPr>
            <w:pStyle w:val="BodyText"/>
            <w:tabs>
              <w:tab w:val="right" w:leader="dot" w:pos="10396"/>
            </w:tabs>
            <w:spacing w:before="105" w:line="224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13"/>
              <w:sz w:val="19"/>
              <w:szCs w:val="19"/>
            </w:rPr>
            <w:t>图</w:t>
          </w:r>
          <w:r>
            <w:rPr>
              <w:spacing w:val="-12"/>
              <w:sz w:val="19"/>
              <w:szCs w:val="19"/>
            </w:rPr>
            <w:t xml:space="preserve"> </w:t>
          </w:r>
          <w:r>
            <w:rPr>
              <w:spacing w:val="13"/>
              <w:sz w:val="19"/>
              <w:szCs w:val="19"/>
            </w:rPr>
            <w:t>1</w:t>
          </w:r>
          <w:r>
            <w:rPr>
              <w:spacing w:val="-39"/>
              <w:sz w:val="19"/>
              <w:szCs w:val="19"/>
            </w:rPr>
            <w:t xml:space="preserve"> </w:t>
          </w:r>
          <w:r>
            <w:rPr>
              <w:spacing w:val="13"/>
              <w:sz w:val="19"/>
              <w:szCs w:val="19"/>
            </w:rPr>
            <w:t>0</w:t>
          </w:r>
          <w:r>
            <w:rPr>
              <w:spacing w:val="-12"/>
              <w:sz w:val="19"/>
              <w:szCs w:val="19"/>
            </w:rPr>
            <w:t xml:space="preserve"> </w:t>
          </w:r>
          <w:r>
            <w:rPr>
              <w:spacing w:val="13"/>
              <w:sz w:val="19"/>
              <w:szCs w:val="19"/>
            </w:rPr>
            <w:t>:</w:t>
          </w:r>
          <w:r>
            <w:rPr>
              <w:spacing w:val="50"/>
              <w:sz w:val="19"/>
              <w:szCs w:val="19"/>
            </w:rPr>
            <w:t xml:space="preserve"> </w:t>
          </w:r>
          <w:r>
            <w:rPr>
              <w:spacing w:val="13"/>
              <w:sz w:val="19"/>
              <w:szCs w:val="19"/>
            </w:rPr>
            <w:t>市场预期首次降息时点为2024年6月</w:t>
          </w:r>
          <w:r>
            <w:rPr>
              <w:sz w:val="19"/>
              <w:szCs w:val="19"/>
            </w:rPr>
            <w:tab/>
          </w:r>
          <w:hyperlink w:anchor="bookmark29" w:history="1">
            <w: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</w:rPr>
              <w:t>11</w:t>
            </w:r>
          </w:hyperlink>
        </w:p>
        <w:p>
          <w:pPr>
            <w:pStyle w:val="BodyText"/>
            <w:tabs>
              <w:tab w:val="right" w:leader="dot" w:pos="10376"/>
            </w:tabs>
            <w:spacing w:before="78" w:line="223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4"/>
              <w:sz w:val="19"/>
              <w:szCs w:val="19"/>
            </w:rPr>
            <w:t>图</w:t>
          </w:r>
          <w:r>
            <w:rPr>
              <w:spacing w:val="-9"/>
              <w:sz w:val="19"/>
              <w:szCs w:val="19"/>
            </w:rPr>
            <w:t xml:space="preserve"> </w:t>
          </w:r>
          <w:r>
            <w:rPr>
              <w:spacing w:val="4"/>
              <w:sz w:val="19"/>
              <w:szCs w:val="19"/>
            </w:rPr>
            <w:t>1</w:t>
          </w:r>
          <w:r>
            <w:rPr>
              <w:spacing w:val="-27"/>
              <w:sz w:val="19"/>
              <w:szCs w:val="19"/>
            </w:rPr>
            <w:t xml:space="preserve"> </w:t>
          </w:r>
          <w:r>
            <w:rPr>
              <w:spacing w:val="4"/>
              <w:sz w:val="19"/>
              <w:szCs w:val="19"/>
            </w:rPr>
            <w:t>1</w:t>
          </w:r>
          <w:r>
            <w:rPr>
              <w:spacing w:val="4"/>
              <w:sz w:val="19"/>
              <w:szCs w:val="19"/>
            </w:rPr>
            <w:t xml:space="preserve"> </w:t>
          </w:r>
          <w:r>
            <w:rPr>
              <w:spacing w:val="4"/>
              <w:sz w:val="19"/>
              <w:szCs w:val="19"/>
            </w:rPr>
            <w:t>:</w:t>
          </w:r>
          <w:r>
            <w:rPr>
              <w:spacing w:val="-38"/>
              <w:sz w:val="19"/>
              <w:szCs w:val="19"/>
            </w:rPr>
            <w:t xml:space="preserve"> </w:t>
          </w:r>
          <w:r>
            <w:rPr>
              <w:spacing w:val="4"/>
              <w:sz w:val="19"/>
              <w:szCs w:val="19"/>
            </w:rPr>
            <w:t>2</w:t>
          </w:r>
          <w:r>
            <w:rPr>
              <w:spacing w:val="-38"/>
              <w:sz w:val="19"/>
              <w:szCs w:val="19"/>
            </w:rPr>
            <w:t xml:space="preserve"> </w:t>
          </w:r>
          <w:r>
            <w:rPr>
              <w:spacing w:val="4"/>
              <w:sz w:val="19"/>
              <w:szCs w:val="19"/>
            </w:rPr>
            <w:t>0</w:t>
          </w:r>
          <w:r>
            <w:rPr>
              <w:spacing w:val="-37"/>
              <w:sz w:val="19"/>
              <w:szCs w:val="19"/>
            </w:rPr>
            <w:t xml:space="preserve"> </w:t>
          </w:r>
          <w:r>
            <w:rPr>
              <w:spacing w:val="4"/>
              <w:sz w:val="19"/>
              <w:szCs w:val="19"/>
            </w:rPr>
            <w:t>2</w:t>
          </w:r>
          <w:r>
            <w:rPr>
              <w:spacing w:val="-42"/>
              <w:sz w:val="19"/>
              <w:szCs w:val="19"/>
            </w:rPr>
            <w:t xml:space="preserve"> </w:t>
          </w:r>
          <w:r>
            <w:rPr>
              <w:spacing w:val="4"/>
              <w:sz w:val="19"/>
              <w:szCs w:val="19"/>
            </w:rPr>
            <w:t>4</w:t>
          </w:r>
          <w:r>
            <w:rPr>
              <w:spacing w:val="-35"/>
              <w:sz w:val="19"/>
              <w:szCs w:val="19"/>
            </w:rPr>
            <w:t xml:space="preserve"> </w:t>
          </w:r>
          <w:r>
            <w:rPr>
              <w:spacing w:val="4"/>
              <w:sz w:val="19"/>
              <w:szCs w:val="19"/>
            </w:rPr>
            <w:t>年</w:t>
          </w:r>
          <w:r>
            <w:rPr>
              <w:spacing w:val="-38"/>
              <w:sz w:val="19"/>
              <w:szCs w:val="19"/>
            </w:rPr>
            <w:t xml:space="preserve"> </w:t>
          </w:r>
          <w:r>
            <w:rPr>
              <w:spacing w:val="4"/>
              <w:sz w:val="19"/>
              <w:szCs w:val="19"/>
            </w:rPr>
            <w:t>2月国内铜价处于同期高位(元/吨)</w:t>
          </w:r>
          <w:r>
            <w:rPr>
              <w:sz w:val="19"/>
              <w:szCs w:val="19"/>
            </w:rPr>
            <w:tab/>
          </w:r>
          <w:hyperlink w:anchor="bookmark30" w:history="1">
            <w: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</w:rPr>
              <w:t>12</w:t>
            </w:r>
          </w:hyperlink>
        </w:p>
        <w:p>
          <w:pPr>
            <w:pStyle w:val="BodyText"/>
            <w:tabs>
              <w:tab w:val="right" w:leader="dot" w:pos="10366"/>
            </w:tabs>
            <w:spacing w:before="93" w:line="225" w:lineRule="auto"/>
            <w:rPr>
              <w:rFonts w:ascii="Times New Roman" w:eastAsia="Times New Roman" w:hAnsi="Times New Roman" w:cs="Times New Roman"/>
              <w:sz w:val="19"/>
              <w:szCs w:val="19"/>
            </w:rPr>
            <w:sectPr>
              <w:footerReference w:type="default" r:id="rId11"/>
              <w:pgSz w:w="11910" w:h="16840"/>
              <w:pgMar w:top="156" w:right="660" w:bottom="1129" w:left="699" w:header="0" w:footer="860" w:gutter="0"/>
              <w:pgNumType w:start="5"/>
              <w:cols w:space="708"/>
            </w:sectPr>
          </w:pPr>
          <w:r>
            <w:rPr>
              <w:spacing w:val="20"/>
              <w:sz w:val="19"/>
              <w:szCs w:val="19"/>
            </w:rPr>
            <w:t>图12:</w:t>
          </w:r>
          <w:r>
            <w:rPr>
              <w:spacing w:val="79"/>
              <w:w w:val="101"/>
              <w:sz w:val="19"/>
              <w:szCs w:val="19"/>
            </w:rPr>
            <w:t xml:space="preserve"> </w:t>
          </w:r>
          <w:r>
            <w:rPr>
              <w:spacing w:val="20"/>
              <w:sz w:val="19"/>
              <w:szCs w:val="19"/>
            </w:rPr>
            <w:t>2024年2月</w:t>
          </w:r>
          <w:r>
            <w:rPr>
              <w:spacing w:val="-10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>L</w:t>
          </w:r>
          <w:r>
            <w:rPr>
              <w:spacing w:val="-11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>M</w:t>
          </w:r>
          <w:r>
            <w:rPr>
              <w:spacing w:val="-8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>E</w:t>
          </w:r>
          <w:r>
            <w:rPr>
              <w:spacing w:val="20"/>
              <w:sz w:val="19"/>
              <w:szCs w:val="19"/>
            </w:rPr>
            <w:t>铜价处于近五年低</w:t>
          </w:r>
          <w:r>
            <w:rPr>
              <w:spacing w:val="19"/>
              <w:sz w:val="19"/>
              <w:szCs w:val="19"/>
            </w:rPr>
            <w:t>位(美元/吨)</w:t>
          </w:r>
          <w:r>
            <w:rPr>
              <w:sz w:val="19"/>
              <w:szCs w:val="19"/>
            </w:rPr>
            <w:tab/>
          </w:r>
          <w:hyperlink w:anchor="bookmark31" w:history="1">
            <w:r>
              <w:rPr>
                <w:rFonts w:ascii="Times New Roman" w:eastAsia="Times New Roman" w:hAnsi="Times New Roman" w:cs="Times New Roman"/>
                <w:spacing w:val="-8"/>
                <w:sz w:val="19"/>
                <w:szCs w:val="19"/>
              </w:rPr>
              <w:t>12</w:t>
            </w:r>
          </w:hyperlink>
        </w:p>
      </w:sdtContent>
    </w:sdt>
    <w:sdt>
      <w:sdtPr>
        <w:rPr>
          <w:rFonts w:ascii="KaiTi" w:eastAsia="KaiTi" w:hAnsi="KaiTi" w:cs="KaiTi"/>
          <w:sz w:val="26"/>
          <w:szCs w:val="26"/>
        </w:rPr>
        <w:id w:val="1220359185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19"/>
          <w:szCs w:val="19"/>
        </w:rPr>
      </w:sdtEndPr>
      <w:sdtContent>
        <w:p>
          <w:pPr>
            <w:pStyle w:val="BodyText"/>
            <w:tabs>
              <w:tab w:val="right" w:leader="dot" w:pos="10376"/>
            </w:tabs>
            <w:spacing w:before="78" w:line="225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5"/>
              <w:sz w:val="19"/>
              <w:szCs w:val="19"/>
            </w:rPr>
            <w:t>图</w:t>
          </w:r>
          <w:r>
            <w:rPr>
              <w:spacing w:val="-22"/>
              <w:sz w:val="19"/>
              <w:szCs w:val="19"/>
            </w:rPr>
            <w:t xml:space="preserve"> </w:t>
          </w:r>
          <w:r>
            <w:rPr>
              <w:spacing w:val="5"/>
              <w:sz w:val="19"/>
              <w:szCs w:val="19"/>
            </w:rPr>
            <w:t>1</w:t>
          </w:r>
          <w:r>
            <w:rPr>
              <w:spacing w:val="-37"/>
              <w:sz w:val="19"/>
              <w:szCs w:val="19"/>
            </w:rPr>
            <w:t xml:space="preserve"> </w:t>
          </w:r>
          <w:r>
            <w:rPr>
              <w:spacing w:val="5"/>
              <w:sz w:val="19"/>
              <w:szCs w:val="19"/>
            </w:rPr>
            <w:t>3</w:t>
          </w:r>
          <w:r>
            <w:rPr>
              <w:spacing w:val="5"/>
              <w:sz w:val="19"/>
              <w:szCs w:val="19"/>
            </w:rPr>
            <w:t xml:space="preserve"> </w:t>
          </w:r>
          <w:r>
            <w:rPr>
              <w:spacing w:val="5"/>
              <w:sz w:val="19"/>
              <w:szCs w:val="19"/>
            </w:rPr>
            <w:t>:</w:t>
          </w:r>
          <w:r>
            <w:rPr>
              <w:spacing w:val="-39"/>
              <w:sz w:val="19"/>
              <w:szCs w:val="19"/>
            </w:rPr>
            <w:t xml:space="preserve"> </w:t>
          </w:r>
          <w:r>
            <w:rPr>
              <w:spacing w:val="5"/>
              <w:sz w:val="19"/>
              <w:szCs w:val="19"/>
            </w:rPr>
            <w:t>2</w:t>
          </w:r>
          <w:r>
            <w:rPr>
              <w:spacing w:val="-39"/>
              <w:sz w:val="19"/>
              <w:szCs w:val="19"/>
            </w:rPr>
            <w:t xml:space="preserve"> </w:t>
          </w:r>
          <w:r>
            <w:rPr>
              <w:spacing w:val="5"/>
              <w:sz w:val="19"/>
              <w:szCs w:val="19"/>
            </w:rPr>
            <w:t>0</w:t>
          </w:r>
          <w:r>
            <w:rPr>
              <w:spacing w:val="-39"/>
              <w:sz w:val="19"/>
              <w:szCs w:val="19"/>
            </w:rPr>
            <w:t xml:space="preserve"> </w:t>
          </w:r>
          <w:r>
            <w:rPr>
              <w:spacing w:val="5"/>
              <w:sz w:val="19"/>
              <w:szCs w:val="19"/>
            </w:rPr>
            <w:t>2</w:t>
          </w:r>
          <w:r>
            <w:rPr>
              <w:spacing w:val="-42"/>
              <w:sz w:val="19"/>
              <w:szCs w:val="19"/>
            </w:rPr>
            <w:t xml:space="preserve"> </w:t>
          </w:r>
          <w:r>
            <w:rPr>
              <w:spacing w:val="5"/>
              <w:sz w:val="19"/>
              <w:szCs w:val="19"/>
            </w:rPr>
            <w:t>4</w:t>
          </w:r>
          <w:r>
            <w:rPr>
              <w:spacing w:val="-37"/>
              <w:sz w:val="19"/>
              <w:szCs w:val="19"/>
            </w:rPr>
            <w:t xml:space="preserve"> </w:t>
          </w:r>
          <w:r>
            <w:rPr>
              <w:spacing w:val="5"/>
              <w:sz w:val="19"/>
              <w:szCs w:val="19"/>
            </w:rPr>
            <w:t>年</w:t>
          </w:r>
          <w:r>
            <w:rPr>
              <w:spacing w:val="-39"/>
              <w:sz w:val="19"/>
              <w:szCs w:val="19"/>
            </w:rPr>
            <w:t xml:space="preserve"> </w:t>
          </w:r>
          <w:r>
            <w:rPr>
              <w:spacing w:val="5"/>
              <w:sz w:val="19"/>
              <w:szCs w:val="19"/>
            </w:rPr>
            <w:t>2月国内</w:t>
          </w:r>
          <w:r>
            <w:rPr>
              <w:rFonts w:ascii="Times New Roman" w:eastAsia="Times New Roman" w:hAnsi="Times New Roman" w:cs="Times New Roman"/>
              <w:sz w:val="19"/>
              <w:szCs w:val="19"/>
            </w:rPr>
            <w:t>TC</w:t>
          </w:r>
          <w:r>
            <w:rPr>
              <w:rFonts w:ascii="Times New Roman" w:eastAsia="Times New Roman" w:hAnsi="Times New Roman" w:cs="Times New Roman"/>
              <w:spacing w:val="5"/>
              <w:sz w:val="19"/>
              <w:szCs w:val="19"/>
            </w:rPr>
            <w:t xml:space="preserve">  </w:t>
          </w:r>
          <w:r>
            <w:rPr>
              <w:spacing w:val="5"/>
              <w:sz w:val="19"/>
              <w:szCs w:val="19"/>
            </w:rPr>
            <w:t>费用继续下行(美元/吨)</w:t>
          </w:r>
          <w:r>
            <w:rPr>
              <w:sz w:val="19"/>
              <w:szCs w:val="19"/>
            </w:rPr>
            <w:tab/>
          </w:r>
          <w:hyperlink w:anchor="bookmark13" w:history="1">
            <w:r>
              <w:rPr>
                <w:rFonts w:ascii="Times New Roman" w:eastAsia="Times New Roman" w:hAnsi="Times New Roman" w:cs="Times New Roman"/>
                <w:spacing w:val="-8"/>
                <w:sz w:val="19"/>
                <w:szCs w:val="19"/>
              </w:rPr>
              <w:t>12</w:t>
            </w:r>
          </w:hyperlink>
        </w:p>
        <w:p>
          <w:pPr>
            <w:pStyle w:val="BodyText"/>
            <w:tabs>
              <w:tab w:val="right" w:leader="dot" w:pos="10346"/>
            </w:tabs>
            <w:spacing w:before="66" w:line="224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6"/>
              <w:sz w:val="19"/>
              <w:szCs w:val="19"/>
            </w:rPr>
            <w:t>图</w:t>
          </w:r>
          <w:r>
            <w:rPr>
              <w:spacing w:val="-24"/>
              <w:sz w:val="19"/>
              <w:szCs w:val="19"/>
            </w:rPr>
            <w:t xml:space="preserve"> </w:t>
          </w:r>
          <w:r>
            <w:rPr>
              <w:spacing w:val="6"/>
              <w:sz w:val="19"/>
              <w:szCs w:val="19"/>
            </w:rPr>
            <w:t>1</w:t>
          </w:r>
          <w:r>
            <w:rPr>
              <w:spacing w:val="-43"/>
              <w:sz w:val="19"/>
              <w:szCs w:val="19"/>
            </w:rPr>
            <w:t xml:space="preserve"> </w:t>
          </w:r>
          <w:r>
            <w:rPr>
              <w:spacing w:val="6"/>
              <w:sz w:val="19"/>
              <w:szCs w:val="19"/>
            </w:rPr>
            <w:t>4</w:t>
          </w:r>
          <w:r>
            <w:rPr>
              <w:spacing w:val="-14"/>
              <w:sz w:val="19"/>
              <w:szCs w:val="19"/>
            </w:rPr>
            <w:t xml:space="preserve"> </w:t>
          </w:r>
          <w:r>
            <w:rPr>
              <w:spacing w:val="6"/>
              <w:sz w:val="19"/>
              <w:szCs w:val="19"/>
            </w:rPr>
            <w:t>:</w:t>
          </w:r>
          <w:r>
            <w:rPr>
              <w:spacing w:val="-40"/>
              <w:sz w:val="19"/>
              <w:szCs w:val="19"/>
            </w:rPr>
            <w:t xml:space="preserve"> </w:t>
          </w:r>
          <w:r>
            <w:rPr>
              <w:spacing w:val="6"/>
              <w:sz w:val="19"/>
              <w:szCs w:val="19"/>
            </w:rPr>
            <w:t>2</w:t>
          </w:r>
          <w:r>
            <w:rPr>
              <w:spacing w:val="-40"/>
              <w:sz w:val="19"/>
              <w:szCs w:val="19"/>
            </w:rPr>
            <w:t xml:space="preserve"> </w:t>
          </w:r>
          <w:r>
            <w:rPr>
              <w:spacing w:val="6"/>
              <w:sz w:val="19"/>
              <w:szCs w:val="19"/>
            </w:rPr>
            <w:t>0</w:t>
          </w:r>
          <w:r>
            <w:rPr>
              <w:spacing w:val="-40"/>
              <w:sz w:val="19"/>
              <w:szCs w:val="19"/>
            </w:rPr>
            <w:t xml:space="preserve"> </w:t>
          </w:r>
          <w:r>
            <w:rPr>
              <w:spacing w:val="6"/>
              <w:sz w:val="19"/>
              <w:szCs w:val="19"/>
            </w:rPr>
            <w:t>2</w:t>
          </w:r>
          <w:r>
            <w:rPr>
              <w:spacing w:val="-43"/>
              <w:sz w:val="19"/>
              <w:szCs w:val="19"/>
            </w:rPr>
            <w:t xml:space="preserve"> </w:t>
          </w:r>
          <w:r>
            <w:rPr>
              <w:spacing w:val="6"/>
              <w:sz w:val="19"/>
              <w:szCs w:val="19"/>
            </w:rPr>
            <w:t>4</w:t>
          </w:r>
          <w:r>
            <w:rPr>
              <w:spacing w:val="-38"/>
              <w:sz w:val="19"/>
              <w:szCs w:val="19"/>
            </w:rPr>
            <w:t xml:space="preserve"> </w:t>
          </w:r>
          <w:r>
            <w:rPr>
              <w:spacing w:val="6"/>
              <w:sz w:val="19"/>
              <w:szCs w:val="19"/>
            </w:rPr>
            <w:t>年</w:t>
          </w:r>
          <w:r>
            <w:rPr>
              <w:spacing w:val="-40"/>
              <w:sz w:val="19"/>
              <w:szCs w:val="19"/>
            </w:rPr>
            <w:t xml:space="preserve"> </w:t>
          </w:r>
          <w:r>
            <w:rPr>
              <w:spacing w:val="6"/>
              <w:sz w:val="19"/>
              <w:szCs w:val="19"/>
            </w:rPr>
            <w:t>2月国内硫酸价格环比下滑(元/吨)</w:t>
          </w:r>
          <w:r>
            <w:rPr>
              <w:sz w:val="19"/>
              <w:szCs w:val="19"/>
            </w:rPr>
            <w:tab/>
          </w:r>
          <w:hyperlink w:anchor="bookmark32" w:history="1">
            <w: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</w:rPr>
              <w:t>12</w:t>
            </w:r>
          </w:hyperlink>
        </w:p>
        <w:p>
          <w:pPr>
            <w:pStyle w:val="BodyText"/>
            <w:tabs>
              <w:tab w:val="right" w:leader="dot" w:pos="10356"/>
            </w:tabs>
            <w:spacing w:before="79" w:line="223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22"/>
              <w:sz w:val="19"/>
              <w:szCs w:val="19"/>
            </w:rPr>
            <w:t>图15:</w:t>
          </w:r>
          <w:r>
            <w:rPr>
              <w:spacing w:val="73"/>
              <w:sz w:val="19"/>
              <w:szCs w:val="19"/>
            </w:rPr>
            <w:t xml:space="preserve"> </w:t>
          </w:r>
          <w:r>
            <w:rPr>
              <w:spacing w:val="22"/>
              <w:sz w:val="19"/>
              <w:szCs w:val="19"/>
            </w:rPr>
            <w:t>2023年12月全球精炼铜产量环比增加2.49%(万吨)</w:t>
          </w:r>
          <w:r>
            <w:rPr>
              <w:spacing w:val="52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r>
            <w:rPr>
              <w:spacing w:val="-23"/>
              <w:sz w:val="19"/>
              <w:szCs w:val="19"/>
            </w:rPr>
            <w:t xml:space="preserve"> </w:t>
          </w:r>
          <w:hyperlink w:anchor="bookmark33" w:history="1">
            <w:r>
              <w:rPr>
                <w:rFonts w:ascii="Times New Roman" w:eastAsia="Times New Roman" w:hAnsi="Times New Roman" w:cs="Times New Roman"/>
                <w:spacing w:val="-6"/>
                <w:sz w:val="19"/>
                <w:szCs w:val="19"/>
              </w:rPr>
              <w:t>13</w:t>
            </w:r>
          </w:hyperlink>
        </w:p>
        <w:p>
          <w:pPr>
            <w:pStyle w:val="BodyText"/>
            <w:tabs>
              <w:tab w:val="right" w:leader="dot" w:pos="10366"/>
            </w:tabs>
            <w:spacing w:before="91" w:line="223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9"/>
              <w:sz w:val="19"/>
              <w:szCs w:val="19"/>
            </w:rPr>
            <w:t>图</w:t>
          </w:r>
          <w:r>
            <w:rPr>
              <w:spacing w:val="-32"/>
              <w:sz w:val="19"/>
              <w:szCs w:val="19"/>
            </w:rPr>
            <w:t xml:space="preserve"> </w:t>
          </w:r>
          <w:r>
            <w:rPr>
              <w:spacing w:val="9"/>
              <w:sz w:val="19"/>
              <w:szCs w:val="19"/>
            </w:rPr>
            <w:t>1</w:t>
          </w:r>
          <w:r>
            <w:rPr>
              <w:spacing w:val="-41"/>
              <w:sz w:val="19"/>
              <w:szCs w:val="19"/>
            </w:rPr>
            <w:t xml:space="preserve"> </w:t>
          </w:r>
          <w:r>
            <w:rPr>
              <w:spacing w:val="9"/>
              <w:sz w:val="19"/>
              <w:szCs w:val="19"/>
            </w:rPr>
            <w:t>6</w:t>
          </w:r>
          <w:r>
            <w:rPr>
              <w:spacing w:val="-16"/>
              <w:sz w:val="19"/>
              <w:szCs w:val="19"/>
            </w:rPr>
            <w:t xml:space="preserve"> </w:t>
          </w:r>
          <w:r>
            <w:rPr>
              <w:spacing w:val="9"/>
              <w:sz w:val="19"/>
              <w:szCs w:val="19"/>
            </w:rPr>
            <w:t>:</w:t>
          </w:r>
          <w:r>
            <w:rPr>
              <w:spacing w:val="-42"/>
              <w:sz w:val="19"/>
              <w:szCs w:val="19"/>
            </w:rPr>
            <w:t xml:space="preserve"> </w:t>
          </w:r>
          <w:r>
            <w:rPr>
              <w:spacing w:val="9"/>
              <w:sz w:val="19"/>
              <w:szCs w:val="19"/>
            </w:rPr>
            <w:t>2</w:t>
          </w:r>
          <w:r>
            <w:rPr>
              <w:spacing w:val="-43"/>
              <w:sz w:val="19"/>
              <w:szCs w:val="19"/>
            </w:rPr>
            <w:t xml:space="preserve"> </w:t>
          </w:r>
          <w:r>
            <w:rPr>
              <w:spacing w:val="9"/>
              <w:sz w:val="19"/>
              <w:szCs w:val="19"/>
            </w:rPr>
            <w:t>0</w:t>
          </w:r>
          <w:r>
            <w:rPr>
              <w:spacing w:val="-42"/>
              <w:sz w:val="19"/>
              <w:szCs w:val="19"/>
            </w:rPr>
            <w:t xml:space="preserve"> </w:t>
          </w:r>
          <w:r>
            <w:rPr>
              <w:spacing w:val="9"/>
              <w:sz w:val="19"/>
              <w:szCs w:val="19"/>
            </w:rPr>
            <w:t>2</w:t>
          </w:r>
          <w:r>
            <w:rPr>
              <w:spacing w:val="-41"/>
              <w:sz w:val="19"/>
              <w:szCs w:val="19"/>
            </w:rPr>
            <w:t xml:space="preserve"> </w:t>
          </w:r>
          <w:r>
            <w:rPr>
              <w:spacing w:val="9"/>
              <w:sz w:val="19"/>
              <w:szCs w:val="19"/>
            </w:rPr>
            <w:t>3</w:t>
          </w:r>
          <w:r>
            <w:rPr>
              <w:spacing w:val="-40"/>
              <w:sz w:val="19"/>
              <w:szCs w:val="19"/>
            </w:rPr>
            <w:t xml:space="preserve"> </w:t>
          </w:r>
          <w:r>
            <w:rPr>
              <w:spacing w:val="9"/>
              <w:sz w:val="19"/>
              <w:szCs w:val="19"/>
            </w:rPr>
            <w:t>年</w:t>
          </w:r>
          <w:r>
            <w:rPr>
              <w:spacing w:val="-32"/>
              <w:sz w:val="19"/>
              <w:szCs w:val="19"/>
            </w:rPr>
            <w:t xml:space="preserve"> </w:t>
          </w:r>
          <w:r>
            <w:rPr>
              <w:spacing w:val="9"/>
              <w:sz w:val="19"/>
              <w:szCs w:val="19"/>
            </w:rPr>
            <w:t>1</w:t>
          </w:r>
          <w:r>
            <w:rPr>
              <w:spacing w:val="-42"/>
              <w:sz w:val="19"/>
              <w:szCs w:val="19"/>
            </w:rPr>
            <w:t xml:space="preserve"> </w:t>
          </w:r>
          <w:r>
            <w:rPr>
              <w:spacing w:val="9"/>
              <w:sz w:val="19"/>
              <w:szCs w:val="19"/>
            </w:rPr>
            <w:t>2月全球原生铜产量</w:t>
          </w:r>
          <w:r>
            <w:rPr>
              <w:spacing w:val="8"/>
              <w:sz w:val="19"/>
              <w:szCs w:val="19"/>
            </w:rPr>
            <w:t>环比增加2.78%(万吨)</w:t>
          </w:r>
          <w:r>
            <w:rPr>
              <w:sz w:val="19"/>
              <w:szCs w:val="19"/>
            </w:rPr>
            <w:tab/>
          </w:r>
          <w:r>
            <w:rPr>
              <w:spacing w:val="-13"/>
              <w:sz w:val="19"/>
              <w:szCs w:val="19"/>
            </w:rPr>
            <w:t xml:space="preserve"> </w:t>
          </w:r>
          <w:hyperlink w:anchor="bookmark34" w:history="1">
            <w:r>
              <w:rPr>
                <w:rFonts w:ascii="Times New Roman" w:eastAsia="Times New Roman" w:hAnsi="Times New Roman" w:cs="Times New Roman"/>
                <w:spacing w:val="-6"/>
                <w:sz w:val="19"/>
                <w:szCs w:val="19"/>
              </w:rPr>
              <w:t>13</w:t>
            </w:r>
          </w:hyperlink>
        </w:p>
        <w:p>
          <w:pPr>
            <w:pStyle w:val="BodyText"/>
            <w:tabs>
              <w:tab w:val="right" w:leader="dot" w:pos="10366"/>
            </w:tabs>
            <w:spacing w:before="103" w:line="225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22"/>
              <w:sz w:val="19"/>
              <w:szCs w:val="19"/>
            </w:rPr>
            <w:t>图17:</w:t>
          </w:r>
          <w:r>
            <w:rPr>
              <w:spacing w:val="77"/>
              <w:sz w:val="19"/>
              <w:szCs w:val="19"/>
            </w:rPr>
            <w:t xml:space="preserve"> </w:t>
          </w:r>
          <w:r>
            <w:rPr>
              <w:spacing w:val="22"/>
              <w:sz w:val="19"/>
              <w:szCs w:val="19"/>
            </w:rPr>
            <w:t>2023年12月国内精炼铜供给环比增长2.54%(万</w:t>
          </w:r>
          <w:r>
            <w:rPr>
              <w:spacing w:val="21"/>
              <w:sz w:val="19"/>
              <w:szCs w:val="19"/>
            </w:rPr>
            <w:t>吨)</w:t>
          </w:r>
          <w:r>
            <w:rPr>
              <w:sz w:val="19"/>
              <w:szCs w:val="19"/>
            </w:rPr>
            <w:tab/>
          </w:r>
          <w:r>
            <w:rPr>
              <w:spacing w:val="-13"/>
              <w:sz w:val="19"/>
              <w:szCs w:val="19"/>
            </w:rPr>
            <w:t xml:space="preserve"> </w:t>
          </w:r>
          <w:hyperlink w:anchor="bookmark35" w:history="1">
            <w:r>
              <w:rPr>
                <w:rFonts w:ascii="Times New Roman" w:eastAsia="Times New Roman" w:hAnsi="Times New Roman" w:cs="Times New Roman"/>
                <w:spacing w:val="-6"/>
                <w:sz w:val="19"/>
                <w:szCs w:val="19"/>
              </w:rPr>
              <w:t>13</w:t>
            </w:r>
          </w:hyperlink>
        </w:p>
        <w:p>
          <w:pPr>
            <w:pStyle w:val="BodyText"/>
            <w:tabs>
              <w:tab w:val="right" w:leader="dot" w:pos="10366"/>
            </w:tabs>
            <w:spacing w:before="68" w:line="225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16"/>
              <w:sz w:val="19"/>
              <w:szCs w:val="19"/>
            </w:rPr>
            <w:t>图18:</w:t>
          </w:r>
          <w:r>
            <w:rPr>
              <w:spacing w:val="90"/>
              <w:sz w:val="19"/>
              <w:szCs w:val="19"/>
            </w:rPr>
            <w:t xml:space="preserve"> </w:t>
          </w:r>
          <w:r>
            <w:rPr>
              <w:spacing w:val="16"/>
              <w:sz w:val="19"/>
              <w:szCs w:val="19"/>
            </w:rPr>
            <w:t>2023年12月国内精炼铜进口量环比减少</w:t>
          </w:r>
          <w:r>
            <w:rPr>
              <w:spacing w:val="45"/>
              <w:sz w:val="19"/>
              <w:szCs w:val="19"/>
            </w:rPr>
            <w:t xml:space="preserve"> </w:t>
          </w:r>
          <w:r>
            <w:rPr>
              <w:spacing w:val="16"/>
              <w:sz w:val="19"/>
              <w:szCs w:val="19"/>
            </w:rPr>
            <w:t>15.35%(万吨)</w:t>
          </w:r>
          <w:r>
            <w:rPr>
              <w:sz w:val="19"/>
              <w:szCs w:val="19"/>
            </w:rPr>
            <w:tab/>
          </w:r>
          <w:hyperlink w:anchor="bookmark36" w:history="1">
            <w: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</w:rPr>
              <w:t>13</w:t>
            </w:r>
          </w:hyperlink>
        </w:p>
        <w:p>
          <w:pPr>
            <w:pStyle w:val="BodyText"/>
            <w:tabs>
              <w:tab w:val="right" w:leader="dot" w:pos="10376"/>
            </w:tabs>
            <w:spacing w:before="74" w:line="221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8"/>
              <w:sz w:val="19"/>
              <w:szCs w:val="19"/>
            </w:rPr>
            <w:t>图</w:t>
          </w:r>
          <w:r>
            <w:rPr>
              <w:spacing w:val="-28"/>
              <w:sz w:val="19"/>
              <w:szCs w:val="19"/>
            </w:rPr>
            <w:t xml:space="preserve"> </w:t>
          </w:r>
          <w:r>
            <w:rPr>
              <w:spacing w:val="8"/>
              <w:sz w:val="19"/>
              <w:szCs w:val="19"/>
            </w:rPr>
            <w:t>1</w:t>
          </w:r>
          <w:r>
            <w:rPr>
              <w:spacing w:val="-42"/>
              <w:sz w:val="19"/>
              <w:szCs w:val="19"/>
            </w:rPr>
            <w:t xml:space="preserve"> </w:t>
          </w:r>
          <w:r>
            <w:rPr>
              <w:spacing w:val="8"/>
              <w:sz w:val="19"/>
              <w:szCs w:val="19"/>
            </w:rPr>
            <w:t>9</w:t>
          </w:r>
          <w:r>
            <w:rPr>
              <w:spacing w:val="-12"/>
              <w:sz w:val="19"/>
              <w:szCs w:val="19"/>
            </w:rPr>
            <w:t xml:space="preserve"> </w:t>
          </w:r>
          <w:r>
            <w:rPr>
              <w:spacing w:val="8"/>
              <w:sz w:val="19"/>
              <w:szCs w:val="19"/>
            </w:rPr>
            <w:t>:</w:t>
          </w:r>
          <w:r>
            <w:rPr>
              <w:spacing w:val="-39"/>
              <w:sz w:val="19"/>
              <w:szCs w:val="19"/>
            </w:rPr>
            <w:t xml:space="preserve"> </w:t>
          </w:r>
          <w:r>
            <w:rPr>
              <w:spacing w:val="8"/>
              <w:sz w:val="19"/>
              <w:szCs w:val="19"/>
            </w:rPr>
            <w:t>2</w:t>
          </w:r>
          <w:r>
            <w:rPr>
              <w:spacing w:val="-39"/>
              <w:sz w:val="19"/>
              <w:szCs w:val="19"/>
            </w:rPr>
            <w:t xml:space="preserve"> </w:t>
          </w:r>
          <w:r>
            <w:rPr>
              <w:spacing w:val="8"/>
              <w:sz w:val="19"/>
              <w:szCs w:val="19"/>
            </w:rPr>
            <w:t>0</w:t>
          </w:r>
          <w:r>
            <w:rPr>
              <w:spacing w:val="-39"/>
              <w:sz w:val="19"/>
              <w:szCs w:val="19"/>
            </w:rPr>
            <w:t xml:space="preserve"> </w:t>
          </w:r>
          <w:r>
            <w:rPr>
              <w:spacing w:val="8"/>
              <w:sz w:val="19"/>
              <w:szCs w:val="19"/>
            </w:rPr>
            <w:t>2</w:t>
          </w:r>
          <w:r>
            <w:rPr>
              <w:spacing w:val="-43"/>
              <w:sz w:val="19"/>
              <w:szCs w:val="19"/>
            </w:rPr>
            <w:t xml:space="preserve"> </w:t>
          </w:r>
          <w:r>
            <w:rPr>
              <w:spacing w:val="8"/>
              <w:sz w:val="19"/>
              <w:szCs w:val="19"/>
            </w:rPr>
            <w:t>4</w:t>
          </w:r>
          <w:r>
            <w:rPr>
              <w:spacing w:val="-36"/>
              <w:sz w:val="19"/>
              <w:szCs w:val="19"/>
            </w:rPr>
            <w:t xml:space="preserve"> </w:t>
          </w:r>
          <w:r>
            <w:rPr>
              <w:spacing w:val="8"/>
              <w:sz w:val="19"/>
              <w:szCs w:val="19"/>
            </w:rPr>
            <w:t>年</w:t>
          </w:r>
          <w:r>
            <w:rPr>
              <w:spacing w:val="-39"/>
              <w:sz w:val="19"/>
              <w:szCs w:val="19"/>
            </w:rPr>
            <w:t xml:space="preserve"> </w:t>
          </w:r>
          <w:r>
            <w:rPr>
              <w:spacing w:val="8"/>
              <w:sz w:val="19"/>
              <w:szCs w:val="19"/>
            </w:rPr>
            <w:t>2月国内阴极铜季节性补库上升(万吨)</w:t>
          </w:r>
          <w:r>
            <w:rPr>
              <w:sz w:val="19"/>
              <w:szCs w:val="19"/>
            </w:rPr>
            <w:tab/>
          </w:r>
          <w:hyperlink w:anchor="bookmark37" w:history="1">
            <w:r>
              <w:rPr>
                <w:rFonts w:ascii="Times New Roman" w:eastAsia="Times New Roman" w:hAnsi="Times New Roman" w:cs="Times New Roman"/>
                <w:spacing w:val="-8"/>
                <w:sz w:val="19"/>
                <w:szCs w:val="19"/>
              </w:rPr>
              <w:t>13</w:t>
            </w:r>
          </w:hyperlink>
        </w:p>
        <w:p>
          <w:pPr>
            <w:pStyle w:val="BodyText"/>
            <w:tabs>
              <w:tab w:val="right" w:leader="dot" w:pos="10356"/>
            </w:tabs>
            <w:spacing w:before="82" w:line="221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6"/>
              <w:sz w:val="19"/>
              <w:szCs w:val="19"/>
            </w:rPr>
            <w:t>图</w:t>
          </w:r>
          <w:r>
            <w:rPr>
              <w:spacing w:val="-40"/>
              <w:sz w:val="19"/>
              <w:szCs w:val="19"/>
            </w:rPr>
            <w:t xml:space="preserve"> </w:t>
          </w:r>
          <w:r>
            <w:rPr>
              <w:spacing w:val="6"/>
              <w:sz w:val="19"/>
              <w:szCs w:val="19"/>
            </w:rPr>
            <w:t>2</w:t>
          </w:r>
          <w:r>
            <w:rPr>
              <w:spacing w:val="-40"/>
              <w:sz w:val="19"/>
              <w:szCs w:val="19"/>
            </w:rPr>
            <w:t xml:space="preserve"> </w:t>
          </w:r>
          <w:r>
            <w:rPr>
              <w:spacing w:val="6"/>
              <w:sz w:val="19"/>
              <w:szCs w:val="19"/>
            </w:rPr>
            <w:t>0</w:t>
          </w:r>
          <w:r>
            <w:rPr>
              <w:spacing w:val="-13"/>
              <w:sz w:val="19"/>
              <w:szCs w:val="19"/>
            </w:rPr>
            <w:t xml:space="preserve"> </w:t>
          </w:r>
          <w:r>
            <w:rPr>
              <w:spacing w:val="6"/>
              <w:sz w:val="19"/>
              <w:szCs w:val="19"/>
            </w:rPr>
            <w:t>:</w:t>
          </w:r>
          <w:r>
            <w:rPr>
              <w:spacing w:val="-40"/>
              <w:sz w:val="19"/>
              <w:szCs w:val="19"/>
            </w:rPr>
            <w:t xml:space="preserve"> </w:t>
          </w:r>
          <w:r>
            <w:rPr>
              <w:spacing w:val="6"/>
              <w:sz w:val="19"/>
              <w:szCs w:val="19"/>
            </w:rPr>
            <w:t>2</w:t>
          </w:r>
          <w:r>
            <w:rPr>
              <w:spacing w:val="-40"/>
              <w:sz w:val="19"/>
              <w:szCs w:val="19"/>
            </w:rPr>
            <w:t xml:space="preserve"> </w:t>
          </w:r>
          <w:r>
            <w:rPr>
              <w:spacing w:val="6"/>
              <w:sz w:val="19"/>
              <w:szCs w:val="19"/>
            </w:rPr>
            <w:t>0</w:t>
          </w:r>
          <w:r>
            <w:rPr>
              <w:spacing w:val="-40"/>
              <w:sz w:val="19"/>
              <w:szCs w:val="19"/>
            </w:rPr>
            <w:t xml:space="preserve"> </w:t>
          </w:r>
          <w:r>
            <w:rPr>
              <w:spacing w:val="6"/>
              <w:sz w:val="19"/>
              <w:szCs w:val="19"/>
            </w:rPr>
            <w:t>2</w:t>
          </w:r>
          <w:r>
            <w:rPr>
              <w:spacing w:val="-44"/>
              <w:sz w:val="19"/>
              <w:szCs w:val="19"/>
            </w:rPr>
            <w:t xml:space="preserve"> </w:t>
          </w:r>
          <w:r>
            <w:rPr>
              <w:spacing w:val="6"/>
              <w:sz w:val="19"/>
              <w:szCs w:val="19"/>
            </w:rPr>
            <w:t>4</w:t>
          </w:r>
          <w:r>
            <w:rPr>
              <w:spacing w:val="-37"/>
              <w:sz w:val="19"/>
              <w:szCs w:val="19"/>
            </w:rPr>
            <w:t xml:space="preserve"> </w:t>
          </w:r>
          <w:r>
            <w:rPr>
              <w:spacing w:val="6"/>
              <w:sz w:val="19"/>
              <w:szCs w:val="19"/>
            </w:rPr>
            <w:t>年</w:t>
          </w:r>
          <w:r>
            <w:rPr>
              <w:spacing w:val="-40"/>
              <w:sz w:val="19"/>
              <w:szCs w:val="19"/>
            </w:rPr>
            <w:t xml:space="preserve"> </w:t>
          </w:r>
          <w:r>
            <w:rPr>
              <w:spacing w:val="6"/>
              <w:sz w:val="19"/>
              <w:szCs w:val="19"/>
            </w:rPr>
            <w:t>2月</w:t>
          </w:r>
          <w:r>
            <w:rPr>
              <w:spacing w:val="6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>L</w:t>
          </w:r>
          <w:r>
            <w:rPr>
              <w:spacing w:val="6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>M</w:t>
          </w:r>
          <w:r>
            <w:rPr>
              <w:spacing w:val="-8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>E</w:t>
          </w:r>
          <w:r>
            <w:rPr>
              <w:spacing w:val="6"/>
              <w:sz w:val="19"/>
              <w:szCs w:val="19"/>
            </w:rPr>
            <w:t>铜库存持续下滑(</w:t>
          </w:r>
          <w:r>
            <w:rPr>
              <w:spacing w:val="5"/>
              <w:sz w:val="19"/>
              <w:szCs w:val="19"/>
            </w:rPr>
            <w:t>万吨)</w:t>
          </w:r>
          <w:r>
            <w:rPr>
              <w:sz w:val="19"/>
              <w:szCs w:val="19"/>
            </w:rPr>
            <w:tab/>
          </w:r>
          <w:r>
            <w:rPr>
              <w:spacing w:val="-23"/>
              <w:sz w:val="19"/>
              <w:szCs w:val="19"/>
            </w:rPr>
            <w:t xml:space="preserve"> </w:t>
          </w:r>
          <w:hyperlink w:anchor="bookmark38" w:history="1">
            <w:r>
              <w:rPr>
                <w:rFonts w:ascii="Times New Roman" w:eastAsia="Times New Roman" w:hAnsi="Times New Roman" w:cs="Times New Roman"/>
                <w:spacing w:val="-6"/>
                <w:sz w:val="19"/>
                <w:szCs w:val="19"/>
              </w:rPr>
              <w:t>13</w:t>
            </w:r>
          </w:hyperlink>
        </w:p>
        <w:p>
          <w:pPr>
            <w:pStyle w:val="BodyText"/>
            <w:tabs>
              <w:tab w:val="right" w:leader="dot" w:pos="10366"/>
            </w:tabs>
            <w:spacing w:before="83" w:line="220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11"/>
              <w:sz w:val="19"/>
              <w:szCs w:val="19"/>
            </w:rPr>
            <w:t>图</w:t>
          </w:r>
          <w:r>
            <w:rPr>
              <w:spacing w:val="-35"/>
              <w:sz w:val="19"/>
              <w:szCs w:val="19"/>
            </w:rPr>
            <w:t xml:space="preserve"> </w:t>
          </w:r>
          <w:r>
            <w:rPr>
              <w:spacing w:val="11"/>
              <w:sz w:val="19"/>
              <w:szCs w:val="19"/>
            </w:rPr>
            <w:t>2</w:t>
          </w:r>
          <w:r>
            <w:rPr>
              <w:spacing w:val="-25"/>
              <w:sz w:val="19"/>
              <w:szCs w:val="19"/>
            </w:rPr>
            <w:t xml:space="preserve"> </w:t>
          </w:r>
          <w:r>
            <w:rPr>
              <w:spacing w:val="11"/>
              <w:sz w:val="19"/>
              <w:szCs w:val="19"/>
            </w:rPr>
            <w:t>1</w:t>
          </w:r>
          <w:r>
            <w:rPr>
              <w:spacing w:val="11"/>
              <w:sz w:val="19"/>
              <w:szCs w:val="19"/>
            </w:rPr>
            <w:t xml:space="preserve"> </w:t>
          </w:r>
          <w:r>
            <w:rPr>
              <w:spacing w:val="11"/>
              <w:sz w:val="19"/>
              <w:szCs w:val="19"/>
            </w:rPr>
            <w:t>:</w:t>
          </w:r>
          <w:r>
            <w:rPr>
              <w:spacing w:val="53"/>
              <w:sz w:val="19"/>
              <w:szCs w:val="19"/>
            </w:rPr>
            <w:t xml:space="preserve"> </w:t>
          </w:r>
          <w:r>
            <w:rPr>
              <w:spacing w:val="11"/>
              <w:sz w:val="19"/>
              <w:szCs w:val="19"/>
            </w:rPr>
            <w:t>截至2024年3月4日，锂精矿报价</w:t>
          </w:r>
          <w:r>
            <w:rPr>
              <w:spacing w:val="41"/>
              <w:sz w:val="19"/>
              <w:szCs w:val="19"/>
            </w:rPr>
            <w:t xml:space="preserve"> </w:t>
          </w:r>
          <w:r>
            <w:rPr>
              <w:spacing w:val="11"/>
              <w:sz w:val="19"/>
              <w:szCs w:val="19"/>
            </w:rPr>
            <w:t>960美元/吨</w:t>
          </w:r>
          <w:r>
            <w:rPr>
              <w:spacing w:val="-69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39" w:history="1">
            <w: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</w:rPr>
              <w:t>14</w:t>
            </w:r>
          </w:hyperlink>
        </w:p>
      </w:sdtContent>
    </w:sdt>
    <w:p>
      <w:pPr>
        <w:spacing w:line="220" w:lineRule="auto"/>
        <w:rPr>
          <w:rFonts w:ascii="Times New Roman" w:eastAsia="Times New Roman" w:hAnsi="Times New Roman" w:cs="Times New Roman"/>
          <w:sz w:val="19"/>
          <w:szCs w:val="19"/>
        </w:rPr>
        <w:sectPr>
          <w:footerReference w:type="default" r:id="rId12"/>
          <w:type w:val="nextPage"/>
          <w:pgSz w:w="11910" w:h="16840"/>
          <w:pgMar w:top="156" w:right="660" w:bottom="1129" w:left="699" w:header="0" w:footer="860" w:gutter="0"/>
          <w:pgNumType w:start="6"/>
          <w:cols w:space="708"/>
          <w:titlePg w:val="0"/>
        </w:sectPr>
      </w:pPr>
    </w:p>
    <w:p>
      <w:pPr>
        <w:pStyle w:val="BodyText"/>
        <w:spacing w:before="154" w:line="238" w:lineRule="auto"/>
        <w:ind w:left="180"/>
        <w:rPr>
          <w:sz w:val="59"/>
          <w:szCs w:val="59"/>
        </w:rPr>
      </w:pPr>
      <w:r>
        <w:rPr>
          <w:position w:val="-18"/>
          <w:sz w:val="59"/>
          <w:szCs w:val="59"/>
        </w:rPr>
        <w:drawing>
          <wp:inline distT="0" distB="0" distL="0" distR="0">
            <wp:extent cx="571449" cy="488901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449" cy="488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pacing w:val="45"/>
          <w:sz w:val="59"/>
          <w:szCs w:val="59"/>
        </w:rPr>
        <w:t>开源证券</w:t>
      </w:r>
    </w:p>
    <w:p>
      <w:pPr>
        <w:pStyle w:val="BodyText"/>
        <w:spacing w:before="63" w:line="227" w:lineRule="auto"/>
        <w:ind w:left="9552"/>
        <w:rPr>
          <w:sz w:val="19"/>
          <w:szCs w:val="19"/>
        </w:rPr>
      </w:pPr>
      <w:r>
        <w:rPr>
          <w:b/>
          <w:bCs/>
          <w:spacing w:val="9"/>
          <w:sz w:val="19"/>
          <w:szCs w:val="19"/>
        </w:rPr>
        <w:t>行业周报</w:t>
      </w:r>
    </w:p>
    <w:sdt>
      <w:sdtPr>
        <w:rPr>
          <w:rFonts w:ascii="KaiTi" w:eastAsia="KaiTi" w:hAnsi="KaiTi" w:cs="KaiTi"/>
          <w:sz w:val="19"/>
          <w:szCs w:val="19"/>
        </w:rPr>
        <w:id w:val="704468209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19"/>
          <w:szCs w:val="19"/>
        </w:rPr>
      </w:sdtEndPr>
      <w:sdtContent>
        <w:p>
          <w:pPr>
            <w:pStyle w:val="BodyText"/>
            <w:tabs>
              <w:tab w:val="right" w:leader="dot" w:pos="10336"/>
            </w:tabs>
            <w:spacing w:before="118" w:line="225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29"/>
              <w:sz w:val="19"/>
              <w:szCs w:val="19"/>
            </w:rPr>
            <w:t>图22:2023年12月中国锂精矿进口约73万吨(实物</w:t>
          </w:r>
          <w:r>
            <w:rPr>
              <w:spacing w:val="28"/>
              <w:sz w:val="19"/>
              <w:szCs w:val="19"/>
            </w:rPr>
            <w:t>量)</w:t>
          </w:r>
          <w:r>
            <w:rPr>
              <w:sz w:val="19"/>
              <w:szCs w:val="19"/>
            </w:rPr>
            <w:tab/>
          </w:r>
          <w:hyperlink w:anchor="bookmark40" w:history="1">
            <w: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</w:rPr>
              <w:t>14</w:t>
            </w:r>
          </w:hyperlink>
        </w:p>
        <w:p>
          <w:pPr>
            <w:pStyle w:val="BodyText"/>
            <w:tabs>
              <w:tab w:val="right" w:leader="dot" w:pos="10336"/>
            </w:tabs>
            <w:spacing w:before="83" w:line="220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22"/>
              <w:sz w:val="19"/>
              <w:szCs w:val="19"/>
            </w:rPr>
            <w:t>图23:</w:t>
          </w:r>
          <w:r>
            <w:rPr>
              <w:spacing w:val="85"/>
              <w:sz w:val="19"/>
              <w:szCs w:val="19"/>
            </w:rPr>
            <w:t xml:space="preserve"> </w:t>
          </w:r>
          <w:r>
            <w:rPr>
              <w:spacing w:val="22"/>
              <w:sz w:val="19"/>
              <w:szCs w:val="19"/>
            </w:rPr>
            <w:t>截至2024年3月4日，电碳报价10.4万</w:t>
          </w:r>
          <w:r>
            <w:rPr>
              <w:spacing w:val="21"/>
              <w:sz w:val="19"/>
              <w:szCs w:val="19"/>
            </w:rPr>
            <w:t>元/吨</w:t>
          </w:r>
          <w:r>
            <w:rPr>
              <w:spacing w:val="-69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r>
            <w:rPr>
              <w:spacing w:val="-33"/>
              <w:sz w:val="19"/>
              <w:szCs w:val="19"/>
            </w:rPr>
            <w:t xml:space="preserve"> </w:t>
          </w:r>
          <w:hyperlink w:anchor="bookmark41" w:history="1">
            <w:r>
              <w:rPr>
                <w:rFonts w:ascii="Times New Roman" w:eastAsia="Times New Roman" w:hAnsi="Times New Roman" w:cs="Times New Roman"/>
                <w:spacing w:val="-6"/>
                <w:sz w:val="19"/>
                <w:szCs w:val="19"/>
              </w:rPr>
              <w:t>14</w:t>
            </w:r>
          </w:hyperlink>
        </w:p>
        <w:p>
          <w:pPr>
            <w:pStyle w:val="BodyText"/>
            <w:tabs>
              <w:tab w:val="right" w:leader="dot" w:pos="10366"/>
            </w:tabs>
            <w:spacing w:before="99" w:line="225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5"/>
              <w:sz w:val="19"/>
              <w:szCs w:val="19"/>
            </w:rPr>
            <w:t>图</w:t>
          </w:r>
          <w:r>
            <w:rPr>
              <w:spacing w:val="-30"/>
              <w:sz w:val="19"/>
              <w:szCs w:val="19"/>
            </w:rPr>
            <w:t xml:space="preserve"> </w:t>
          </w:r>
          <w:r>
            <w:rPr>
              <w:spacing w:val="5"/>
              <w:sz w:val="19"/>
              <w:szCs w:val="19"/>
            </w:rPr>
            <w:t>2</w:t>
          </w:r>
          <w:r>
            <w:rPr>
              <w:spacing w:val="-48"/>
              <w:sz w:val="19"/>
              <w:szCs w:val="19"/>
            </w:rPr>
            <w:t xml:space="preserve"> </w:t>
          </w:r>
          <w:r>
            <w:rPr>
              <w:spacing w:val="5"/>
              <w:sz w:val="19"/>
              <w:szCs w:val="19"/>
            </w:rPr>
            <w:t>4</w:t>
          </w:r>
          <w:r>
            <w:rPr>
              <w:spacing w:val="-18"/>
              <w:sz w:val="19"/>
              <w:szCs w:val="19"/>
            </w:rPr>
            <w:t xml:space="preserve"> </w:t>
          </w:r>
          <w:r>
            <w:rPr>
              <w:spacing w:val="5"/>
              <w:sz w:val="19"/>
              <w:szCs w:val="19"/>
            </w:rPr>
            <w:t>:</w:t>
          </w:r>
          <w:r>
            <w:rPr>
              <w:spacing w:val="-44"/>
              <w:sz w:val="19"/>
              <w:szCs w:val="19"/>
            </w:rPr>
            <w:t xml:space="preserve"> </w:t>
          </w:r>
          <w:r>
            <w:rPr>
              <w:spacing w:val="5"/>
              <w:sz w:val="19"/>
              <w:szCs w:val="19"/>
            </w:rPr>
            <w:t>2</w:t>
          </w:r>
          <w:r>
            <w:rPr>
              <w:spacing w:val="-45"/>
              <w:sz w:val="19"/>
              <w:szCs w:val="19"/>
            </w:rPr>
            <w:t xml:space="preserve"> </w:t>
          </w:r>
          <w:r>
            <w:rPr>
              <w:spacing w:val="5"/>
              <w:sz w:val="19"/>
              <w:szCs w:val="19"/>
            </w:rPr>
            <w:t>0</w:t>
          </w:r>
          <w:r>
            <w:rPr>
              <w:spacing w:val="-44"/>
              <w:sz w:val="19"/>
              <w:szCs w:val="19"/>
            </w:rPr>
            <w:t xml:space="preserve"> </w:t>
          </w:r>
          <w:r>
            <w:rPr>
              <w:spacing w:val="5"/>
              <w:sz w:val="19"/>
              <w:szCs w:val="19"/>
            </w:rPr>
            <w:t>2</w:t>
          </w:r>
          <w:r>
            <w:rPr>
              <w:spacing w:val="-43"/>
              <w:sz w:val="19"/>
              <w:szCs w:val="19"/>
            </w:rPr>
            <w:t xml:space="preserve"> </w:t>
          </w:r>
          <w:r>
            <w:rPr>
              <w:spacing w:val="5"/>
              <w:sz w:val="19"/>
              <w:szCs w:val="19"/>
            </w:rPr>
            <w:t>3</w:t>
          </w:r>
          <w:r>
            <w:rPr>
              <w:spacing w:val="-42"/>
              <w:sz w:val="19"/>
              <w:szCs w:val="19"/>
            </w:rPr>
            <w:t xml:space="preserve"> </w:t>
          </w:r>
          <w:r>
            <w:rPr>
              <w:spacing w:val="5"/>
              <w:sz w:val="19"/>
              <w:szCs w:val="19"/>
            </w:rPr>
            <w:t>年</w:t>
          </w:r>
          <w:r>
            <w:rPr>
              <w:spacing w:val="-34"/>
              <w:sz w:val="19"/>
              <w:szCs w:val="19"/>
            </w:rPr>
            <w:t xml:space="preserve"> </w:t>
          </w:r>
          <w:r>
            <w:rPr>
              <w:spacing w:val="5"/>
              <w:sz w:val="19"/>
              <w:szCs w:val="19"/>
            </w:rPr>
            <w:t>1</w:t>
          </w:r>
          <w:r>
            <w:rPr>
              <w:spacing w:val="-44"/>
              <w:sz w:val="19"/>
              <w:szCs w:val="19"/>
            </w:rPr>
            <w:t xml:space="preserve"> </w:t>
          </w:r>
          <w:r>
            <w:rPr>
              <w:spacing w:val="5"/>
              <w:sz w:val="19"/>
              <w:szCs w:val="19"/>
            </w:rPr>
            <w:t>2月中国碳酸锂进口约2万吨</w:t>
          </w:r>
          <w:r>
            <w:rPr>
              <w:spacing w:val="-69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42" w:history="1">
            <w:r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</w:rPr>
              <w:t>14</w:t>
            </w:r>
          </w:hyperlink>
        </w:p>
        <w:p>
          <w:pPr>
            <w:pStyle w:val="BodyText"/>
            <w:tabs>
              <w:tab w:val="right" w:leader="dot" w:pos="10356"/>
            </w:tabs>
            <w:spacing w:before="92" w:line="220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15"/>
              <w:sz w:val="19"/>
              <w:szCs w:val="19"/>
            </w:rPr>
            <w:t>图</w:t>
          </w:r>
          <w:r>
            <w:rPr>
              <w:spacing w:val="-12"/>
              <w:sz w:val="19"/>
              <w:szCs w:val="19"/>
            </w:rPr>
            <w:t xml:space="preserve"> </w:t>
          </w:r>
          <w:r>
            <w:rPr>
              <w:spacing w:val="15"/>
              <w:sz w:val="19"/>
              <w:szCs w:val="19"/>
            </w:rPr>
            <w:t>2</w:t>
          </w:r>
          <w:r>
            <w:rPr>
              <w:spacing w:val="-34"/>
              <w:sz w:val="19"/>
              <w:szCs w:val="19"/>
            </w:rPr>
            <w:t xml:space="preserve"> </w:t>
          </w:r>
          <w:r>
            <w:rPr>
              <w:spacing w:val="15"/>
              <w:sz w:val="19"/>
              <w:szCs w:val="19"/>
            </w:rPr>
            <w:t>5</w:t>
          </w:r>
          <w:r>
            <w:rPr>
              <w:spacing w:val="15"/>
              <w:sz w:val="19"/>
              <w:szCs w:val="19"/>
            </w:rPr>
            <w:t xml:space="preserve"> </w:t>
          </w:r>
          <w:r>
            <w:rPr>
              <w:spacing w:val="15"/>
              <w:sz w:val="19"/>
              <w:szCs w:val="19"/>
            </w:rPr>
            <w:t>:</w:t>
          </w:r>
          <w:r>
            <w:rPr>
              <w:spacing w:val="15"/>
              <w:sz w:val="19"/>
              <w:szCs w:val="19"/>
            </w:rPr>
            <w:t xml:space="preserve"> </w:t>
          </w:r>
          <w:r>
            <w:rPr>
              <w:spacing w:val="15"/>
              <w:sz w:val="19"/>
              <w:szCs w:val="19"/>
            </w:rPr>
            <w:t>截至2024年3月4日，电氢报价9</w:t>
          </w:r>
          <w:r>
            <w:rPr>
              <w:spacing w:val="-56"/>
              <w:sz w:val="19"/>
              <w:szCs w:val="19"/>
            </w:rPr>
            <w:t xml:space="preserve"> </w:t>
          </w:r>
          <w:r>
            <w:rPr>
              <w:spacing w:val="15"/>
              <w:sz w:val="19"/>
              <w:szCs w:val="19"/>
            </w:rPr>
            <w:t>.7万元/吨</w:t>
          </w:r>
          <w:r>
            <w:rPr>
              <w:spacing w:val="-69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43" w:history="1">
            <w: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</w:rPr>
              <w:t>14</w:t>
            </w:r>
          </w:hyperlink>
        </w:p>
        <w:p>
          <w:pPr>
            <w:pStyle w:val="BodyText"/>
            <w:tabs>
              <w:tab w:val="right" w:leader="dot" w:pos="10356"/>
            </w:tabs>
            <w:spacing w:before="89" w:line="225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-1"/>
              <w:sz w:val="19"/>
              <w:szCs w:val="19"/>
            </w:rPr>
            <w:t>图</w:t>
          </w:r>
          <w:r>
            <w:rPr>
              <w:spacing w:val="-39"/>
              <w:sz w:val="19"/>
              <w:szCs w:val="19"/>
            </w:rPr>
            <w:t xml:space="preserve"> </w:t>
          </w:r>
          <w:r>
            <w:rPr>
              <w:spacing w:val="-1"/>
              <w:sz w:val="19"/>
              <w:szCs w:val="19"/>
            </w:rPr>
            <w:t>2</w:t>
          </w:r>
          <w:r>
            <w:rPr>
              <w:spacing w:val="-44"/>
              <w:sz w:val="19"/>
              <w:szCs w:val="19"/>
            </w:rPr>
            <w:t xml:space="preserve"> </w:t>
          </w:r>
          <w:r>
            <w:rPr>
              <w:spacing w:val="-1"/>
              <w:sz w:val="19"/>
              <w:szCs w:val="19"/>
            </w:rPr>
            <w:t>6</w:t>
          </w:r>
          <w:r>
            <w:rPr>
              <w:spacing w:val="-18"/>
              <w:sz w:val="19"/>
              <w:szCs w:val="19"/>
            </w:rPr>
            <w:t xml:space="preserve"> </w:t>
          </w:r>
          <w:r>
            <w:rPr>
              <w:spacing w:val="-1"/>
              <w:sz w:val="19"/>
              <w:szCs w:val="19"/>
            </w:rPr>
            <w:t>:</w:t>
          </w:r>
          <w:r>
            <w:rPr>
              <w:spacing w:val="-44"/>
              <w:sz w:val="19"/>
              <w:szCs w:val="19"/>
            </w:rPr>
            <w:t xml:space="preserve"> </w:t>
          </w:r>
          <w:r>
            <w:rPr>
              <w:spacing w:val="-1"/>
              <w:sz w:val="19"/>
              <w:szCs w:val="19"/>
            </w:rPr>
            <w:t>2</w:t>
          </w:r>
          <w:r>
            <w:rPr>
              <w:spacing w:val="-44"/>
              <w:sz w:val="19"/>
              <w:szCs w:val="19"/>
            </w:rPr>
            <w:t xml:space="preserve"> </w:t>
          </w:r>
          <w:r>
            <w:rPr>
              <w:spacing w:val="-1"/>
              <w:sz w:val="19"/>
              <w:szCs w:val="19"/>
            </w:rPr>
            <w:t>0</w:t>
          </w:r>
          <w:r>
            <w:rPr>
              <w:spacing w:val="-45"/>
              <w:sz w:val="19"/>
              <w:szCs w:val="19"/>
            </w:rPr>
            <w:t xml:space="preserve"> </w:t>
          </w:r>
          <w:r>
            <w:rPr>
              <w:spacing w:val="-1"/>
              <w:sz w:val="19"/>
              <w:szCs w:val="19"/>
            </w:rPr>
            <w:t>2</w:t>
          </w:r>
          <w:r>
            <w:rPr>
              <w:spacing w:val="-43"/>
              <w:sz w:val="19"/>
              <w:szCs w:val="19"/>
            </w:rPr>
            <w:t xml:space="preserve"> </w:t>
          </w:r>
          <w:r>
            <w:rPr>
              <w:spacing w:val="-1"/>
              <w:sz w:val="19"/>
              <w:szCs w:val="19"/>
            </w:rPr>
            <w:t>3</w:t>
          </w:r>
          <w:r>
            <w:rPr>
              <w:spacing w:val="-42"/>
              <w:sz w:val="19"/>
              <w:szCs w:val="19"/>
            </w:rPr>
            <w:t xml:space="preserve"> </w:t>
          </w:r>
          <w:r>
            <w:rPr>
              <w:spacing w:val="-1"/>
              <w:sz w:val="19"/>
              <w:szCs w:val="19"/>
            </w:rPr>
            <w:t>年</w:t>
          </w:r>
          <w:r>
            <w:rPr>
              <w:spacing w:val="-33"/>
              <w:sz w:val="19"/>
              <w:szCs w:val="19"/>
            </w:rPr>
            <w:t xml:space="preserve"> </w:t>
          </w:r>
          <w:r>
            <w:rPr>
              <w:spacing w:val="-1"/>
              <w:sz w:val="19"/>
              <w:szCs w:val="19"/>
            </w:rPr>
            <w:t>1</w:t>
          </w:r>
          <w:r>
            <w:rPr>
              <w:spacing w:val="-45"/>
              <w:sz w:val="19"/>
              <w:szCs w:val="19"/>
            </w:rPr>
            <w:t xml:space="preserve"> </w:t>
          </w:r>
          <w:r>
            <w:rPr>
              <w:spacing w:val="-1"/>
              <w:sz w:val="19"/>
              <w:szCs w:val="19"/>
            </w:rPr>
            <w:t>2</w:t>
          </w:r>
          <w:r>
            <w:rPr>
              <w:spacing w:val="-46"/>
              <w:sz w:val="19"/>
              <w:szCs w:val="19"/>
            </w:rPr>
            <w:t xml:space="preserve"> </w:t>
          </w:r>
          <w:r>
            <w:rPr>
              <w:spacing w:val="-1"/>
              <w:sz w:val="19"/>
              <w:szCs w:val="19"/>
            </w:rPr>
            <w:t>月中国氢氧化锂出口约</w:t>
          </w:r>
          <w:r>
            <w:rPr>
              <w:spacing w:val="38"/>
              <w:sz w:val="19"/>
              <w:szCs w:val="19"/>
            </w:rPr>
            <w:t xml:space="preserve"> </w:t>
          </w:r>
          <w:r>
            <w:rPr>
              <w:spacing w:val="-1"/>
              <w:sz w:val="19"/>
              <w:szCs w:val="19"/>
            </w:rPr>
            <w:t>1.23万吨</w:t>
          </w:r>
          <w:r>
            <w:rPr>
              <w:spacing w:val="-79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r>
            <w:rPr>
              <w:spacing w:val="-13"/>
              <w:sz w:val="19"/>
              <w:szCs w:val="19"/>
            </w:rPr>
            <w:t xml:space="preserve"> </w:t>
          </w:r>
          <w:hyperlink w:anchor="bookmark44" w:history="1">
            <w:r>
              <w:rPr>
                <w:rFonts w:ascii="Times New Roman" w:eastAsia="Times New Roman" w:hAnsi="Times New Roman" w:cs="Times New Roman"/>
                <w:spacing w:val="-6"/>
                <w:sz w:val="19"/>
                <w:szCs w:val="19"/>
              </w:rPr>
              <w:t>14</w:t>
            </w:r>
          </w:hyperlink>
        </w:p>
        <w:p>
          <w:pPr>
            <w:pStyle w:val="BodyText"/>
            <w:tabs>
              <w:tab w:val="right" w:leader="dot" w:pos="10336"/>
            </w:tabs>
            <w:spacing w:before="67" w:line="224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13"/>
              <w:sz w:val="19"/>
              <w:szCs w:val="19"/>
            </w:rPr>
            <w:t>图27:</w:t>
          </w:r>
          <w:r>
            <w:rPr>
              <w:spacing w:val="92"/>
              <w:sz w:val="19"/>
              <w:szCs w:val="19"/>
            </w:rPr>
            <w:t xml:space="preserve"> </w:t>
          </w:r>
          <w:r>
            <w:rPr>
              <w:spacing w:val="13"/>
              <w:sz w:val="19"/>
              <w:szCs w:val="19"/>
            </w:rPr>
            <w:t>国内碳酸锂供需均衡</w:t>
          </w:r>
          <w:r>
            <w:rPr>
              <w:spacing w:val="-67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45" w:history="1">
            <w:r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</w:rPr>
              <w:t>15</w:t>
            </w:r>
          </w:hyperlink>
        </w:p>
        <w:p>
          <w:pPr>
            <w:pStyle w:val="BodyText"/>
            <w:tabs>
              <w:tab w:val="right" w:leader="dot" w:pos="10346"/>
            </w:tabs>
            <w:spacing w:before="79" w:line="224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13"/>
              <w:sz w:val="19"/>
              <w:szCs w:val="19"/>
            </w:rPr>
            <w:t>图28:</w:t>
          </w:r>
          <w:r>
            <w:rPr>
              <w:spacing w:val="99"/>
              <w:sz w:val="19"/>
              <w:szCs w:val="19"/>
            </w:rPr>
            <w:t xml:space="preserve"> </w:t>
          </w:r>
          <w:r>
            <w:rPr>
              <w:spacing w:val="13"/>
              <w:sz w:val="19"/>
              <w:szCs w:val="19"/>
            </w:rPr>
            <w:t>国内氢氧化锂供需均衡</w:t>
          </w:r>
          <w:r>
            <w:rPr>
              <w:spacing w:val="-67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46" w:history="1">
            <w:r>
              <w:rPr>
                <w:rFonts w:ascii="Times New Roman" w:eastAsia="Times New Roman" w:hAnsi="Times New Roman" w:cs="Times New Roman"/>
                <w:spacing w:val="-3"/>
                <w:sz w:val="19"/>
                <w:szCs w:val="19"/>
              </w:rPr>
              <w:t>15</w:t>
            </w:r>
          </w:hyperlink>
        </w:p>
        <w:p>
          <w:pPr>
            <w:pStyle w:val="BodyText"/>
            <w:tabs>
              <w:tab w:val="right" w:leader="dot" w:pos="10366"/>
            </w:tabs>
            <w:spacing w:before="79" w:line="223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7"/>
              <w:sz w:val="19"/>
              <w:szCs w:val="19"/>
            </w:rPr>
            <w:t>图</w:t>
          </w:r>
          <w:r>
            <w:rPr>
              <w:spacing w:val="-31"/>
              <w:sz w:val="19"/>
              <w:szCs w:val="19"/>
            </w:rPr>
            <w:t xml:space="preserve"> </w:t>
          </w:r>
          <w:r>
            <w:rPr>
              <w:spacing w:val="7"/>
              <w:sz w:val="19"/>
              <w:szCs w:val="19"/>
            </w:rPr>
            <w:t>2</w:t>
          </w:r>
          <w:r>
            <w:rPr>
              <w:spacing w:val="-42"/>
              <w:sz w:val="19"/>
              <w:szCs w:val="19"/>
            </w:rPr>
            <w:t xml:space="preserve"> </w:t>
          </w:r>
          <w:r>
            <w:rPr>
              <w:spacing w:val="7"/>
              <w:sz w:val="19"/>
              <w:szCs w:val="19"/>
            </w:rPr>
            <w:t>9</w:t>
          </w:r>
          <w:r>
            <w:rPr>
              <w:spacing w:val="7"/>
              <w:sz w:val="19"/>
              <w:szCs w:val="19"/>
            </w:rPr>
            <w:t xml:space="preserve"> </w:t>
          </w:r>
          <w:r>
            <w:rPr>
              <w:spacing w:val="7"/>
              <w:sz w:val="19"/>
              <w:szCs w:val="19"/>
            </w:rPr>
            <w:t>:</w:t>
          </w:r>
          <w:r>
            <w:rPr>
              <w:spacing w:val="-38"/>
              <w:sz w:val="19"/>
              <w:szCs w:val="19"/>
            </w:rPr>
            <w:t xml:space="preserve"> </w:t>
          </w:r>
          <w:r>
            <w:rPr>
              <w:spacing w:val="7"/>
              <w:sz w:val="19"/>
              <w:szCs w:val="19"/>
            </w:rPr>
            <w:t>2</w:t>
          </w:r>
          <w:r>
            <w:rPr>
              <w:spacing w:val="-38"/>
              <w:sz w:val="19"/>
              <w:szCs w:val="19"/>
            </w:rPr>
            <w:t xml:space="preserve"> </w:t>
          </w:r>
          <w:r>
            <w:rPr>
              <w:spacing w:val="7"/>
              <w:sz w:val="19"/>
              <w:szCs w:val="19"/>
            </w:rPr>
            <w:t>0</w:t>
          </w:r>
          <w:r>
            <w:rPr>
              <w:spacing w:val="-38"/>
              <w:sz w:val="19"/>
              <w:szCs w:val="19"/>
            </w:rPr>
            <w:t xml:space="preserve"> </w:t>
          </w:r>
          <w:r>
            <w:rPr>
              <w:spacing w:val="7"/>
              <w:sz w:val="19"/>
              <w:szCs w:val="19"/>
            </w:rPr>
            <w:t>2</w:t>
          </w:r>
          <w:r>
            <w:rPr>
              <w:spacing w:val="-42"/>
              <w:sz w:val="19"/>
              <w:szCs w:val="19"/>
            </w:rPr>
            <w:t xml:space="preserve"> </w:t>
          </w:r>
          <w:r>
            <w:rPr>
              <w:spacing w:val="7"/>
              <w:sz w:val="19"/>
              <w:szCs w:val="19"/>
            </w:rPr>
            <w:t>4</w:t>
          </w:r>
          <w:r>
            <w:rPr>
              <w:spacing w:val="-35"/>
              <w:sz w:val="19"/>
              <w:szCs w:val="19"/>
            </w:rPr>
            <w:t xml:space="preserve"> </w:t>
          </w:r>
          <w:r>
            <w:rPr>
              <w:spacing w:val="7"/>
              <w:sz w:val="19"/>
              <w:szCs w:val="19"/>
            </w:rPr>
            <w:t>年</w:t>
          </w:r>
          <w:r>
            <w:rPr>
              <w:spacing w:val="-27"/>
              <w:sz w:val="19"/>
              <w:szCs w:val="19"/>
            </w:rPr>
            <w:t xml:space="preserve"> </w:t>
          </w:r>
          <w:r>
            <w:rPr>
              <w:spacing w:val="7"/>
              <w:sz w:val="19"/>
              <w:szCs w:val="19"/>
            </w:rPr>
            <w:t>1月三元材料排产环比+3.92%(万吨)</w:t>
          </w:r>
          <w:r>
            <w:rPr>
              <w:sz w:val="19"/>
              <w:szCs w:val="19"/>
            </w:rPr>
            <w:tab/>
          </w:r>
          <w:hyperlink w:anchor="bookmark47" w:history="1">
            <w: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</w:rPr>
              <w:t>15</w:t>
            </w:r>
          </w:hyperlink>
        </w:p>
        <w:p>
          <w:pPr>
            <w:pStyle w:val="BodyText"/>
            <w:tabs>
              <w:tab w:val="right" w:leader="dot" w:pos="10366"/>
            </w:tabs>
            <w:spacing w:before="81" w:line="223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8"/>
              <w:sz w:val="19"/>
              <w:szCs w:val="19"/>
            </w:rPr>
            <w:t>图</w:t>
          </w:r>
          <w:r>
            <w:rPr>
              <w:spacing w:val="-38"/>
              <w:sz w:val="19"/>
              <w:szCs w:val="19"/>
            </w:rPr>
            <w:t xml:space="preserve"> </w:t>
          </w:r>
          <w:r>
            <w:rPr>
              <w:spacing w:val="8"/>
              <w:sz w:val="19"/>
              <w:szCs w:val="19"/>
            </w:rPr>
            <w:t>3</w:t>
          </w:r>
          <w:r>
            <w:rPr>
              <w:spacing w:val="-39"/>
              <w:sz w:val="19"/>
              <w:szCs w:val="19"/>
            </w:rPr>
            <w:t xml:space="preserve"> </w:t>
          </w:r>
          <w:r>
            <w:rPr>
              <w:spacing w:val="8"/>
              <w:sz w:val="19"/>
              <w:szCs w:val="19"/>
            </w:rPr>
            <w:t>0</w:t>
          </w:r>
          <w:r>
            <w:rPr>
              <w:spacing w:val="-13"/>
              <w:sz w:val="19"/>
              <w:szCs w:val="19"/>
            </w:rPr>
            <w:t xml:space="preserve"> </w:t>
          </w:r>
          <w:r>
            <w:rPr>
              <w:spacing w:val="8"/>
              <w:sz w:val="19"/>
              <w:szCs w:val="19"/>
            </w:rPr>
            <w:t>:</w:t>
          </w:r>
          <w:r>
            <w:rPr>
              <w:spacing w:val="-39"/>
              <w:sz w:val="19"/>
              <w:szCs w:val="19"/>
            </w:rPr>
            <w:t xml:space="preserve"> </w:t>
          </w:r>
          <w:r>
            <w:rPr>
              <w:spacing w:val="8"/>
              <w:sz w:val="19"/>
              <w:szCs w:val="19"/>
            </w:rPr>
            <w:t>2</w:t>
          </w:r>
          <w:r>
            <w:rPr>
              <w:spacing w:val="-39"/>
              <w:sz w:val="19"/>
              <w:szCs w:val="19"/>
            </w:rPr>
            <w:t xml:space="preserve"> </w:t>
          </w:r>
          <w:r>
            <w:rPr>
              <w:spacing w:val="8"/>
              <w:sz w:val="19"/>
              <w:szCs w:val="19"/>
            </w:rPr>
            <w:t>0</w:t>
          </w:r>
          <w:r>
            <w:rPr>
              <w:spacing w:val="-39"/>
              <w:sz w:val="19"/>
              <w:szCs w:val="19"/>
            </w:rPr>
            <w:t xml:space="preserve"> </w:t>
          </w:r>
          <w:r>
            <w:rPr>
              <w:spacing w:val="8"/>
              <w:sz w:val="19"/>
              <w:szCs w:val="19"/>
            </w:rPr>
            <w:t>2</w:t>
          </w:r>
          <w:r>
            <w:rPr>
              <w:spacing w:val="-43"/>
              <w:sz w:val="19"/>
              <w:szCs w:val="19"/>
            </w:rPr>
            <w:t xml:space="preserve"> </w:t>
          </w:r>
          <w:r>
            <w:rPr>
              <w:spacing w:val="8"/>
              <w:sz w:val="19"/>
              <w:szCs w:val="19"/>
            </w:rPr>
            <w:t>4</w:t>
          </w:r>
          <w:r>
            <w:rPr>
              <w:spacing w:val="-37"/>
              <w:sz w:val="19"/>
              <w:szCs w:val="19"/>
            </w:rPr>
            <w:t xml:space="preserve"> </w:t>
          </w:r>
          <w:r>
            <w:rPr>
              <w:spacing w:val="8"/>
              <w:sz w:val="19"/>
              <w:szCs w:val="19"/>
            </w:rPr>
            <w:t>年</w:t>
          </w:r>
          <w:r>
            <w:rPr>
              <w:spacing w:val="-28"/>
              <w:sz w:val="19"/>
              <w:szCs w:val="19"/>
            </w:rPr>
            <w:t xml:space="preserve"> </w:t>
          </w:r>
          <w:r>
            <w:rPr>
              <w:spacing w:val="8"/>
              <w:sz w:val="19"/>
              <w:szCs w:val="19"/>
            </w:rPr>
            <w:t>1月磷酸铁锂排产环比+0</w:t>
          </w:r>
          <w:r>
            <w:rPr>
              <w:spacing w:val="7"/>
              <w:sz w:val="19"/>
              <w:szCs w:val="19"/>
            </w:rPr>
            <w:t>.69%(万吨)</w:t>
          </w:r>
          <w:r>
            <w:rPr>
              <w:sz w:val="19"/>
              <w:szCs w:val="19"/>
            </w:rPr>
            <w:tab/>
          </w:r>
          <w:hyperlink w:anchor="bookmark48" w:history="1">
            <w: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</w:rPr>
              <w:t>15</w:t>
            </w:r>
          </w:hyperlink>
        </w:p>
        <w:p>
          <w:pPr>
            <w:pStyle w:val="BodyText"/>
            <w:tabs>
              <w:tab w:val="right" w:leader="dot" w:pos="10356"/>
            </w:tabs>
            <w:spacing w:before="78" w:line="221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color w:val="AB5500"/>
              <w:spacing w:val="6"/>
              <w:sz w:val="19"/>
              <w:szCs w:val="19"/>
            </w:rPr>
            <w:t>图</w:t>
          </w:r>
          <w:r>
            <w:rPr>
              <w:color w:val="AB5500"/>
              <w:spacing w:val="-41"/>
              <w:sz w:val="19"/>
              <w:szCs w:val="19"/>
            </w:rPr>
            <w:t xml:space="preserve"> </w:t>
          </w:r>
          <w:r>
            <w:rPr>
              <w:color w:val="AB5500"/>
              <w:spacing w:val="6"/>
              <w:sz w:val="19"/>
              <w:szCs w:val="19"/>
            </w:rPr>
            <w:t>3</w:t>
          </w:r>
          <w:r>
            <w:rPr>
              <w:color w:val="AB5500"/>
              <w:spacing w:val="-32"/>
              <w:sz w:val="19"/>
              <w:szCs w:val="19"/>
            </w:rPr>
            <w:t xml:space="preserve"> </w:t>
          </w:r>
          <w:r>
            <w:rPr>
              <w:color w:val="AB5500"/>
              <w:spacing w:val="6"/>
              <w:sz w:val="19"/>
              <w:szCs w:val="19"/>
            </w:rPr>
            <w:t>1</w:t>
          </w:r>
          <w:r>
            <w:rPr>
              <w:color w:val="AB5500"/>
              <w:spacing w:val="-17"/>
              <w:sz w:val="19"/>
              <w:szCs w:val="19"/>
            </w:rPr>
            <w:t xml:space="preserve"> </w:t>
          </w:r>
          <w:r>
            <w:rPr>
              <w:color w:val="AB5500"/>
              <w:spacing w:val="6"/>
              <w:sz w:val="19"/>
              <w:szCs w:val="19"/>
            </w:rPr>
            <w:t>:</w:t>
          </w:r>
          <w:r>
            <w:rPr>
              <w:color w:val="AB5500"/>
              <w:spacing w:val="-43"/>
              <w:sz w:val="19"/>
              <w:szCs w:val="19"/>
            </w:rPr>
            <w:t xml:space="preserve"> </w:t>
          </w:r>
          <w:r>
            <w:rPr>
              <w:color w:val="AB5500"/>
              <w:spacing w:val="6"/>
              <w:sz w:val="19"/>
              <w:szCs w:val="19"/>
            </w:rPr>
            <w:t>2</w:t>
          </w:r>
          <w:r>
            <w:rPr>
              <w:color w:val="AB5500"/>
              <w:spacing w:val="-44"/>
              <w:sz w:val="19"/>
              <w:szCs w:val="19"/>
            </w:rPr>
            <w:t xml:space="preserve"> </w:t>
          </w:r>
          <w:r>
            <w:rPr>
              <w:color w:val="AB5500"/>
              <w:spacing w:val="6"/>
              <w:sz w:val="19"/>
              <w:szCs w:val="19"/>
            </w:rPr>
            <w:t>0</w:t>
          </w:r>
          <w:r>
            <w:rPr>
              <w:color w:val="AB5500"/>
              <w:spacing w:val="-43"/>
              <w:sz w:val="19"/>
              <w:szCs w:val="19"/>
            </w:rPr>
            <w:t xml:space="preserve"> </w:t>
          </w:r>
          <w:r>
            <w:rPr>
              <w:color w:val="AB5500"/>
              <w:spacing w:val="6"/>
              <w:sz w:val="19"/>
              <w:szCs w:val="19"/>
            </w:rPr>
            <w:t>2</w:t>
          </w:r>
          <w:r>
            <w:rPr>
              <w:color w:val="AB5500"/>
              <w:spacing w:val="-42"/>
              <w:sz w:val="19"/>
              <w:szCs w:val="19"/>
            </w:rPr>
            <w:t xml:space="preserve"> </w:t>
          </w:r>
          <w:r>
            <w:rPr>
              <w:color w:val="AB5500"/>
              <w:spacing w:val="6"/>
              <w:sz w:val="19"/>
              <w:szCs w:val="19"/>
            </w:rPr>
            <w:t>3</w:t>
          </w:r>
          <w:r>
            <w:rPr>
              <w:color w:val="AB5500"/>
              <w:spacing w:val="-41"/>
              <w:sz w:val="19"/>
              <w:szCs w:val="19"/>
            </w:rPr>
            <w:t xml:space="preserve"> </w:t>
          </w:r>
          <w:r>
            <w:rPr>
              <w:color w:val="AB5500"/>
              <w:spacing w:val="6"/>
              <w:sz w:val="19"/>
              <w:szCs w:val="19"/>
            </w:rPr>
            <w:t>年</w:t>
          </w:r>
          <w:r>
            <w:rPr>
              <w:color w:val="AB5500"/>
              <w:spacing w:val="-33"/>
              <w:sz w:val="19"/>
              <w:szCs w:val="19"/>
            </w:rPr>
            <w:t xml:space="preserve"> </w:t>
          </w:r>
          <w:r>
            <w:rPr>
              <w:color w:val="AB5500"/>
              <w:spacing w:val="6"/>
              <w:sz w:val="19"/>
              <w:szCs w:val="19"/>
            </w:rPr>
            <w:t>1</w:t>
          </w:r>
          <w:r>
            <w:rPr>
              <w:color w:val="AB5500"/>
              <w:spacing w:val="-43"/>
              <w:sz w:val="19"/>
              <w:szCs w:val="19"/>
            </w:rPr>
            <w:t xml:space="preserve"> </w:t>
          </w:r>
          <w:r>
            <w:rPr>
              <w:color w:val="AB5500"/>
              <w:spacing w:val="6"/>
              <w:sz w:val="19"/>
              <w:szCs w:val="19"/>
            </w:rPr>
            <w:t>2月下游进入补库阶段(吨)</w:t>
          </w:r>
          <w:r>
            <w:rPr>
              <w:sz w:val="19"/>
              <w:szCs w:val="19"/>
            </w:rPr>
            <w:tab/>
          </w:r>
          <w:hyperlink w:anchor="bookmark49" w:history="1">
            <w:r>
              <w:rPr>
                <w:rFonts w:ascii="Times New Roman" w:eastAsia="Times New Roman" w:hAnsi="Times New Roman" w:cs="Times New Roman"/>
                <w:color w:val="AB5500"/>
                <w:spacing w:val="-4"/>
                <w:sz w:val="19"/>
                <w:szCs w:val="19"/>
              </w:rPr>
              <w:t>15</w:t>
            </w:r>
          </w:hyperlink>
        </w:p>
        <w:p>
          <w:pPr>
            <w:pStyle w:val="BodyText"/>
            <w:tabs>
              <w:tab w:val="right" w:leader="dot" w:pos="10346"/>
            </w:tabs>
            <w:spacing w:before="75" w:line="223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8"/>
              <w:sz w:val="19"/>
              <w:szCs w:val="19"/>
            </w:rPr>
            <w:t>图</w:t>
          </w:r>
          <w:r>
            <w:rPr>
              <w:spacing w:val="-37"/>
              <w:sz w:val="19"/>
              <w:szCs w:val="19"/>
            </w:rPr>
            <w:t xml:space="preserve"> </w:t>
          </w:r>
          <w:r>
            <w:rPr>
              <w:spacing w:val="8"/>
              <w:sz w:val="19"/>
              <w:szCs w:val="19"/>
            </w:rPr>
            <w:t>3</w:t>
          </w:r>
          <w:r>
            <w:rPr>
              <w:spacing w:val="-39"/>
              <w:sz w:val="19"/>
              <w:szCs w:val="19"/>
            </w:rPr>
            <w:t xml:space="preserve"> </w:t>
          </w:r>
          <w:r>
            <w:rPr>
              <w:spacing w:val="8"/>
              <w:sz w:val="19"/>
              <w:szCs w:val="19"/>
            </w:rPr>
            <w:t>2</w:t>
          </w:r>
          <w:r>
            <w:rPr>
              <w:spacing w:val="-13"/>
              <w:sz w:val="19"/>
              <w:szCs w:val="19"/>
            </w:rPr>
            <w:t xml:space="preserve"> </w:t>
          </w:r>
          <w:r>
            <w:rPr>
              <w:spacing w:val="8"/>
              <w:sz w:val="19"/>
              <w:szCs w:val="19"/>
            </w:rPr>
            <w:t>:</w:t>
          </w:r>
          <w:r>
            <w:rPr>
              <w:spacing w:val="-39"/>
              <w:sz w:val="19"/>
              <w:szCs w:val="19"/>
            </w:rPr>
            <w:t xml:space="preserve"> </w:t>
          </w:r>
          <w:r>
            <w:rPr>
              <w:spacing w:val="8"/>
              <w:sz w:val="19"/>
              <w:szCs w:val="19"/>
            </w:rPr>
            <w:t>2</w:t>
          </w:r>
          <w:r>
            <w:rPr>
              <w:spacing w:val="-39"/>
              <w:sz w:val="19"/>
              <w:szCs w:val="19"/>
            </w:rPr>
            <w:t xml:space="preserve"> </w:t>
          </w:r>
          <w:r>
            <w:rPr>
              <w:spacing w:val="8"/>
              <w:sz w:val="19"/>
              <w:szCs w:val="19"/>
            </w:rPr>
            <w:t>0</w:t>
          </w:r>
          <w:r>
            <w:rPr>
              <w:spacing w:val="-40"/>
              <w:sz w:val="19"/>
              <w:szCs w:val="19"/>
            </w:rPr>
            <w:t xml:space="preserve"> </w:t>
          </w:r>
          <w:r>
            <w:rPr>
              <w:spacing w:val="8"/>
              <w:sz w:val="19"/>
              <w:szCs w:val="19"/>
            </w:rPr>
            <w:t>2</w:t>
          </w:r>
          <w:r>
            <w:rPr>
              <w:spacing w:val="-42"/>
              <w:sz w:val="19"/>
              <w:szCs w:val="19"/>
            </w:rPr>
            <w:t xml:space="preserve"> </w:t>
          </w:r>
          <w:r>
            <w:rPr>
              <w:spacing w:val="8"/>
              <w:sz w:val="19"/>
              <w:szCs w:val="19"/>
            </w:rPr>
            <w:t>4</w:t>
          </w:r>
          <w:r>
            <w:rPr>
              <w:spacing w:val="-37"/>
              <w:sz w:val="19"/>
              <w:szCs w:val="19"/>
            </w:rPr>
            <w:t xml:space="preserve"> </w:t>
          </w:r>
          <w:r>
            <w:rPr>
              <w:spacing w:val="8"/>
              <w:sz w:val="19"/>
              <w:szCs w:val="19"/>
            </w:rPr>
            <w:t>年</w:t>
          </w:r>
          <w:r>
            <w:rPr>
              <w:spacing w:val="-28"/>
              <w:sz w:val="19"/>
              <w:szCs w:val="19"/>
            </w:rPr>
            <w:t xml:space="preserve"> </w:t>
          </w:r>
          <w:r>
            <w:rPr>
              <w:spacing w:val="8"/>
              <w:sz w:val="19"/>
              <w:szCs w:val="19"/>
            </w:rPr>
            <w:t>1月中国新能源车销量同比+78.8</w:t>
          </w:r>
          <w:r>
            <w:rPr>
              <w:spacing w:val="7"/>
              <w:sz w:val="19"/>
              <w:szCs w:val="19"/>
            </w:rPr>
            <w:t>%(万辆)</w:t>
          </w:r>
          <w:r>
            <w:rPr>
              <w:sz w:val="19"/>
              <w:szCs w:val="19"/>
            </w:rPr>
            <w:tab/>
          </w:r>
          <w:hyperlink w:anchor="bookmark50" w:history="1">
            <w: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</w:rPr>
              <w:t>15</w:t>
            </w:r>
          </w:hyperlink>
        </w:p>
        <w:p>
          <w:pPr>
            <w:pStyle w:val="BodyText"/>
            <w:tabs>
              <w:tab w:val="right" w:leader="dot" w:pos="10346"/>
            </w:tabs>
            <w:spacing w:before="100" w:line="223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21"/>
              <w:sz w:val="19"/>
              <w:szCs w:val="19"/>
            </w:rPr>
            <w:t>图33:</w:t>
          </w:r>
          <w:r>
            <w:rPr>
              <w:spacing w:val="77"/>
              <w:sz w:val="19"/>
              <w:szCs w:val="19"/>
            </w:rPr>
            <w:t xml:space="preserve"> </w:t>
          </w:r>
          <w:r>
            <w:rPr>
              <w:spacing w:val="21"/>
              <w:sz w:val="19"/>
              <w:szCs w:val="19"/>
            </w:rPr>
            <w:t>2024年1月欧洲新能源车销量同比+2</w:t>
          </w:r>
          <w:r>
            <w:rPr>
              <w:spacing w:val="20"/>
              <w:sz w:val="19"/>
              <w:szCs w:val="19"/>
            </w:rPr>
            <w:t>5.4%(万辆)</w:t>
          </w:r>
          <w:r>
            <w:rPr>
              <w:spacing w:val="49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51" w:history="1">
            <w: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</w:rPr>
              <w:t>16</w:t>
            </w:r>
          </w:hyperlink>
        </w:p>
        <w:p>
          <w:pPr>
            <w:pStyle w:val="BodyText"/>
            <w:tabs>
              <w:tab w:val="right" w:leader="dot" w:pos="10336"/>
            </w:tabs>
            <w:spacing w:before="81" w:line="223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19"/>
              <w:sz w:val="19"/>
              <w:szCs w:val="19"/>
            </w:rPr>
            <w:t>图34:</w:t>
          </w:r>
          <w:r>
            <w:rPr>
              <w:spacing w:val="76"/>
              <w:sz w:val="19"/>
              <w:szCs w:val="19"/>
            </w:rPr>
            <w:t xml:space="preserve"> </w:t>
          </w:r>
          <w:r>
            <w:rPr>
              <w:spacing w:val="19"/>
              <w:sz w:val="19"/>
              <w:szCs w:val="19"/>
            </w:rPr>
            <w:t>2023年12月全球新能源车销量同比+23.1%(万辆)</w:t>
          </w:r>
          <w:r>
            <w:rPr>
              <w:sz w:val="19"/>
              <w:szCs w:val="19"/>
            </w:rPr>
            <w:tab/>
          </w:r>
          <w:hyperlink w:anchor="bookmark52" w:history="1">
            <w:r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</w:rPr>
              <w:t>16</w:t>
            </w:r>
          </w:hyperlink>
        </w:p>
        <w:p>
          <w:pPr>
            <w:pStyle w:val="BodyText"/>
            <w:tabs>
              <w:tab w:val="right" w:leader="dot" w:pos="10356"/>
            </w:tabs>
            <w:spacing w:before="103" w:line="225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-1"/>
              <w:sz w:val="19"/>
              <w:szCs w:val="19"/>
            </w:rPr>
            <w:t>图</w:t>
          </w:r>
          <w:r>
            <w:rPr>
              <w:spacing w:val="-23"/>
              <w:sz w:val="19"/>
              <w:szCs w:val="19"/>
            </w:rPr>
            <w:t xml:space="preserve"> </w:t>
          </w:r>
          <w:r>
            <w:rPr>
              <w:spacing w:val="-1"/>
              <w:sz w:val="19"/>
              <w:szCs w:val="19"/>
            </w:rPr>
            <w:t>3</w:t>
          </w:r>
          <w:r>
            <w:rPr>
              <w:spacing w:val="-40"/>
              <w:sz w:val="19"/>
              <w:szCs w:val="19"/>
            </w:rPr>
            <w:t xml:space="preserve"> </w:t>
          </w:r>
          <w:r>
            <w:rPr>
              <w:spacing w:val="-1"/>
              <w:sz w:val="19"/>
              <w:szCs w:val="19"/>
            </w:rPr>
            <w:t>5</w:t>
          </w:r>
          <w:r>
            <w:rPr>
              <w:spacing w:val="-1"/>
              <w:sz w:val="19"/>
              <w:szCs w:val="19"/>
            </w:rPr>
            <w:t xml:space="preserve"> </w:t>
          </w:r>
          <w:r>
            <w:rPr>
              <w:spacing w:val="-1"/>
              <w:sz w:val="19"/>
              <w:szCs w:val="19"/>
            </w:rPr>
            <w:t>:</w:t>
          </w:r>
          <w:r>
            <w:rPr>
              <w:spacing w:val="63"/>
              <w:sz w:val="19"/>
              <w:szCs w:val="19"/>
            </w:rPr>
            <w:t xml:space="preserve"> </w:t>
          </w:r>
          <w:r>
            <w:rPr>
              <w:spacing w:val="-1"/>
              <w:sz w:val="19"/>
              <w:szCs w:val="19"/>
            </w:rPr>
            <w:t>电解铝内外价差走扩</w:t>
          </w:r>
          <w:r>
            <w:rPr>
              <w:spacing w:val="-77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r>
            <w:rPr>
              <w:spacing w:val="-53"/>
              <w:sz w:val="19"/>
              <w:szCs w:val="19"/>
            </w:rPr>
            <w:t xml:space="preserve"> </w:t>
          </w:r>
          <w:hyperlink w:anchor="bookmark53" w:history="1">
            <w:r>
              <w:rPr>
                <w:rFonts w:ascii="Times New Roman" w:eastAsia="Times New Roman" w:hAnsi="Times New Roman" w:cs="Times New Roman"/>
                <w:spacing w:val="-6"/>
                <w:sz w:val="19"/>
                <w:szCs w:val="19"/>
              </w:rPr>
              <w:t>16</w:t>
            </w:r>
          </w:hyperlink>
        </w:p>
        <w:p>
          <w:pPr>
            <w:pStyle w:val="BodyText"/>
            <w:tabs>
              <w:tab w:val="right" w:leader="dot" w:pos="10346"/>
            </w:tabs>
            <w:spacing w:before="78" w:line="225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9"/>
              <w:sz w:val="19"/>
              <w:szCs w:val="19"/>
            </w:rPr>
            <w:t>图</w:t>
          </w:r>
          <w:r>
            <w:rPr>
              <w:spacing w:val="-34"/>
              <w:sz w:val="19"/>
              <w:szCs w:val="19"/>
            </w:rPr>
            <w:t xml:space="preserve"> </w:t>
          </w:r>
          <w:r>
            <w:rPr>
              <w:spacing w:val="9"/>
              <w:sz w:val="19"/>
              <w:szCs w:val="19"/>
            </w:rPr>
            <w:t>3</w:t>
          </w:r>
          <w:r>
            <w:rPr>
              <w:spacing w:val="-37"/>
              <w:sz w:val="19"/>
              <w:szCs w:val="19"/>
            </w:rPr>
            <w:t xml:space="preserve"> </w:t>
          </w:r>
          <w:r>
            <w:rPr>
              <w:spacing w:val="9"/>
              <w:sz w:val="19"/>
              <w:szCs w:val="19"/>
            </w:rPr>
            <w:t>6</w:t>
          </w:r>
          <w:r>
            <w:rPr>
              <w:spacing w:val="-12"/>
              <w:sz w:val="19"/>
              <w:szCs w:val="19"/>
            </w:rPr>
            <w:t xml:space="preserve"> </w:t>
          </w:r>
          <w:r>
            <w:rPr>
              <w:spacing w:val="9"/>
              <w:sz w:val="19"/>
              <w:szCs w:val="19"/>
            </w:rPr>
            <w:t>:</w:t>
          </w:r>
          <w:r>
            <w:rPr>
              <w:spacing w:val="-38"/>
              <w:sz w:val="19"/>
              <w:szCs w:val="19"/>
            </w:rPr>
            <w:t xml:space="preserve"> </w:t>
          </w:r>
          <w:r>
            <w:rPr>
              <w:spacing w:val="9"/>
              <w:sz w:val="19"/>
              <w:szCs w:val="19"/>
            </w:rPr>
            <w:t>2</w:t>
          </w:r>
          <w:r>
            <w:rPr>
              <w:spacing w:val="-38"/>
              <w:sz w:val="19"/>
              <w:szCs w:val="19"/>
            </w:rPr>
            <w:t xml:space="preserve"> </w:t>
          </w:r>
          <w:r>
            <w:rPr>
              <w:spacing w:val="9"/>
              <w:sz w:val="19"/>
              <w:szCs w:val="19"/>
            </w:rPr>
            <w:t>0</w:t>
          </w:r>
          <w:r>
            <w:rPr>
              <w:spacing w:val="-38"/>
              <w:sz w:val="19"/>
              <w:szCs w:val="19"/>
            </w:rPr>
            <w:t xml:space="preserve"> </w:t>
          </w:r>
          <w:r>
            <w:rPr>
              <w:spacing w:val="9"/>
              <w:sz w:val="19"/>
              <w:szCs w:val="19"/>
            </w:rPr>
            <w:t>2</w:t>
          </w:r>
          <w:r>
            <w:rPr>
              <w:spacing w:val="-42"/>
              <w:sz w:val="19"/>
              <w:szCs w:val="19"/>
            </w:rPr>
            <w:t xml:space="preserve"> </w:t>
          </w:r>
          <w:r>
            <w:rPr>
              <w:spacing w:val="9"/>
              <w:sz w:val="19"/>
              <w:szCs w:val="19"/>
            </w:rPr>
            <w:t>4</w:t>
          </w:r>
          <w:r>
            <w:rPr>
              <w:spacing w:val="-35"/>
              <w:sz w:val="19"/>
              <w:szCs w:val="19"/>
            </w:rPr>
            <w:t xml:space="preserve"> </w:t>
          </w:r>
          <w:r>
            <w:rPr>
              <w:spacing w:val="9"/>
              <w:sz w:val="19"/>
              <w:szCs w:val="19"/>
            </w:rPr>
            <w:t>年</w:t>
          </w:r>
          <w:r>
            <w:rPr>
              <w:spacing w:val="-27"/>
              <w:sz w:val="19"/>
              <w:szCs w:val="19"/>
            </w:rPr>
            <w:t xml:space="preserve"> </w:t>
          </w:r>
          <w:r>
            <w:rPr>
              <w:spacing w:val="9"/>
              <w:sz w:val="19"/>
              <w:szCs w:val="19"/>
            </w:rPr>
            <w:t>1月中国电解铝供给过剩13.2万吨(万吨)</w:t>
          </w:r>
          <w:r>
            <w:rPr>
              <w:sz w:val="19"/>
              <w:szCs w:val="19"/>
            </w:rPr>
            <w:tab/>
          </w:r>
          <w:r>
            <w:rPr>
              <w:spacing w:val="-13"/>
              <w:sz w:val="19"/>
              <w:szCs w:val="19"/>
            </w:rPr>
            <w:t xml:space="preserve"> </w:t>
          </w:r>
          <w:hyperlink w:anchor="bookmark54" w:history="1">
            <w:r>
              <w:rPr>
                <w:rFonts w:ascii="Times New Roman" w:eastAsia="Times New Roman" w:hAnsi="Times New Roman" w:cs="Times New Roman"/>
                <w:spacing w:val="-6"/>
                <w:sz w:val="19"/>
                <w:szCs w:val="19"/>
              </w:rPr>
              <w:t>16</w:t>
            </w:r>
          </w:hyperlink>
        </w:p>
        <w:p>
          <w:pPr>
            <w:pStyle w:val="BodyText"/>
            <w:tabs>
              <w:tab w:val="right" w:leader="dot" w:pos="10356"/>
            </w:tabs>
            <w:spacing w:before="58" w:line="224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17"/>
              <w:sz w:val="19"/>
              <w:szCs w:val="19"/>
            </w:rPr>
            <w:t>图37:</w:t>
          </w:r>
          <w:r>
            <w:rPr>
              <w:spacing w:val="11"/>
              <w:sz w:val="19"/>
              <w:szCs w:val="19"/>
            </w:rPr>
            <w:t xml:space="preserve">  </w:t>
          </w:r>
          <w:r>
            <w:rPr>
              <w:spacing w:val="17"/>
              <w:sz w:val="19"/>
              <w:szCs w:val="19"/>
            </w:rPr>
            <w:t>目前云南仍处于枯水期(单位：毫米)</w:t>
          </w:r>
          <w:r>
            <w:rPr>
              <w:sz w:val="19"/>
              <w:szCs w:val="19"/>
            </w:rPr>
            <w:tab/>
          </w:r>
          <w:r>
            <w:rPr>
              <w:spacing w:val="-23"/>
              <w:sz w:val="19"/>
              <w:szCs w:val="19"/>
            </w:rPr>
            <w:t xml:space="preserve"> </w:t>
          </w:r>
          <w:hyperlink w:anchor="bookmark55" w:history="1">
            <w:r>
              <w:rPr>
                <w:rFonts w:ascii="Times New Roman" w:eastAsia="Times New Roman" w:hAnsi="Times New Roman" w:cs="Times New Roman"/>
                <w:spacing w:val="-6"/>
                <w:sz w:val="19"/>
                <w:szCs w:val="19"/>
              </w:rPr>
              <w:t>17</w:t>
            </w:r>
          </w:hyperlink>
        </w:p>
        <w:p>
          <w:pPr>
            <w:pStyle w:val="BodyText"/>
            <w:tabs>
              <w:tab w:val="right" w:leader="dot" w:pos="10336"/>
            </w:tabs>
            <w:spacing w:before="75" w:line="220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19"/>
              <w:sz w:val="19"/>
              <w:szCs w:val="19"/>
            </w:rPr>
            <w:t>图38:</w:t>
          </w:r>
          <w:r>
            <w:rPr>
              <w:spacing w:val="76"/>
              <w:sz w:val="19"/>
              <w:szCs w:val="19"/>
            </w:rPr>
            <w:t xml:space="preserve"> </w:t>
          </w:r>
          <w:r>
            <w:rPr>
              <w:spacing w:val="19"/>
              <w:sz w:val="19"/>
              <w:szCs w:val="19"/>
            </w:rPr>
            <w:t>2023年12月云南省水电178.4亿度，月度环比-13%(亿度)</w:t>
          </w:r>
          <w:r>
            <w:rPr>
              <w:sz w:val="19"/>
              <w:szCs w:val="19"/>
            </w:rPr>
            <w:tab/>
          </w:r>
          <w:hyperlink w:anchor="bookmark56" w:history="1">
            <w:r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</w:rPr>
              <w:t>17</w:t>
            </w:r>
          </w:hyperlink>
        </w:p>
        <w:p>
          <w:pPr>
            <w:pStyle w:val="BodyText"/>
            <w:tabs>
              <w:tab w:val="right" w:leader="dot" w:pos="10346"/>
            </w:tabs>
            <w:spacing w:before="94" w:line="221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3"/>
              <w:sz w:val="19"/>
              <w:szCs w:val="19"/>
            </w:rPr>
            <w:t>图</w:t>
          </w:r>
          <w:r>
            <w:rPr>
              <w:spacing w:val="3"/>
              <w:sz w:val="19"/>
              <w:szCs w:val="19"/>
            </w:rPr>
            <w:t xml:space="preserve"> </w:t>
          </w:r>
          <w:r>
            <w:rPr>
              <w:spacing w:val="3"/>
              <w:sz w:val="19"/>
              <w:szCs w:val="19"/>
            </w:rPr>
            <w:t>39:</w:t>
          </w:r>
          <w:r>
            <w:rPr>
              <w:spacing w:val="3"/>
              <w:sz w:val="19"/>
              <w:szCs w:val="19"/>
            </w:rPr>
            <w:t xml:space="preserve">  </w:t>
          </w:r>
          <w:r>
            <w:rPr>
              <w:rFonts w:ascii="Times New Roman" w:eastAsia="Times New Roman" w:hAnsi="Times New Roman" w:cs="Times New Roman"/>
              <w:sz w:val="19"/>
              <w:szCs w:val="19"/>
            </w:rPr>
            <w:t>SHFE</w:t>
          </w:r>
          <w:r>
            <w:rPr>
              <w:rFonts w:ascii="Times New Roman" w:eastAsia="Times New Roman" w:hAnsi="Times New Roman" w:cs="Times New Roman"/>
              <w:spacing w:val="33"/>
              <w:w w:val="101"/>
              <w:sz w:val="19"/>
              <w:szCs w:val="19"/>
            </w:rPr>
            <w:t xml:space="preserve"> </w:t>
          </w:r>
          <w:r>
            <w:rPr>
              <w:spacing w:val="3"/>
              <w:sz w:val="19"/>
              <w:szCs w:val="19"/>
            </w:rPr>
            <w:t>铝库存处于低位</w:t>
          </w:r>
          <w:r>
            <w:rPr>
              <w:spacing w:val="-74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57" w:history="1">
            <w: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</w:rPr>
              <w:t>17</w:t>
            </w:r>
          </w:hyperlink>
        </w:p>
        <w:p>
          <w:pPr>
            <w:pStyle w:val="BodyText"/>
            <w:tabs>
              <w:tab w:val="right" w:leader="dot" w:pos="10366"/>
            </w:tabs>
            <w:spacing w:before="92" w:line="221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-2"/>
              <w:sz w:val="19"/>
              <w:szCs w:val="19"/>
            </w:rPr>
            <w:t>图</w:t>
          </w:r>
          <w:r>
            <w:rPr>
              <w:spacing w:val="-33"/>
              <w:sz w:val="19"/>
              <w:szCs w:val="19"/>
            </w:rPr>
            <w:t xml:space="preserve"> </w:t>
          </w:r>
          <w:r>
            <w:rPr>
              <w:spacing w:val="-2"/>
              <w:sz w:val="19"/>
              <w:szCs w:val="19"/>
            </w:rPr>
            <w:t>4</w:t>
          </w:r>
          <w:r>
            <w:rPr>
              <w:spacing w:val="-39"/>
              <w:sz w:val="19"/>
              <w:szCs w:val="19"/>
            </w:rPr>
            <w:t xml:space="preserve"> </w:t>
          </w:r>
          <w:r>
            <w:rPr>
              <w:spacing w:val="-2"/>
              <w:sz w:val="19"/>
              <w:szCs w:val="19"/>
            </w:rPr>
            <w:t>0</w:t>
          </w:r>
          <w:r>
            <w:rPr>
              <w:spacing w:val="-2"/>
              <w:sz w:val="19"/>
              <w:szCs w:val="19"/>
            </w:rPr>
            <w:t xml:space="preserve"> </w:t>
          </w:r>
          <w:r>
            <w:rPr>
              <w:spacing w:val="-2"/>
              <w:sz w:val="19"/>
              <w:szCs w:val="19"/>
            </w:rPr>
            <w:t>:</w:t>
          </w:r>
          <w:r>
            <w:rPr>
              <w:spacing w:val="50"/>
              <w:sz w:val="19"/>
              <w:szCs w:val="19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2"/>
              <w:sz w:val="19"/>
              <w:szCs w:val="19"/>
            </w:rPr>
            <w:t>LME</w:t>
          </w:r>
          <w:r>
            <w:rPr>
              <w:rFonts w:ascii="Times New Roman" w:eastAsia="Times New Roman" w:hAnsi="Times New Roman" w:cs="Times New Roman"/>
              <w:spacing w:val="26"/>
              <w:w w:val="101"/>
              <w:sz w:val="19"/>
              <w:szCs w:val="19"/>
            </w:rPr>
            <w:t xml:space="preserve"> </w:t>
          </w:r>
          <w:r>
            <w:rPr>
              <w:spacing w:val="-2"/>
              <w:sz w:val="19"/>
              <w:szCs w:val="19"/>
            </w:rPr>
            <w:t>铝库存处于低位</w:t>
          </w:r>
          <w:r>
            <w:rPr>
              <w:spacing w:val="-74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58" w:history="1">
            <w:r>
              <w:rPr>
                <w:rFonts w:ascii="Times New Roman" w:eastAsia="Times New Roman" w:hAnsi="Times New Roman" w:cs="Times New Roman"/>
                <w:spacing w:val="-8"/>
                <w:sz w:val="19"/>
                <w:szCs w:val="19"/>
              </w:rPr>
              <w:t>17</w:t>
            </w:r>
          </w:hyperlink>
        </w:p>
        <w:p>
          <w:pPr>
            <w:pStyle w:val="BodyText"/>
            <w:tabs>
              <w:tab w:val="right" w:leader="dot" w:pos="10336"/>
            </w:tabs>
            <w:spacing w:before="78" w:line="225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2"/>
              <w:sz w:val="19"/>
              <w:szCs w:val="19"/>
            </w:rPr>
            <w:t>图</w:t>
          </w:r>
          <w:r>
            <w:rPr>
              <w:spacing w:val="-38"/>
              <w:sz w:val="19"/>
              <w:szCs w:val="19"/>
            </w:rPr>
            <w:t xml:space="preserve"> </w:t>
          </w:r>
          <w:r>
            <w:rPr>
              <w:spacing w:val="2"/>
              <w:sz w:val="19"/>
              <w:szCs w:val="19"/>
            </w:rPr>
            <w:t>4</w:t>
          </w:r>
          <w:r>
            <w:rPr>
              <w:spacing w:val="-28"/>
              <w:sz w:val="19"/>
              <w:szCs w:val="19"/>
            </w:rPr>
            <w:t xml:space="preserve"> </w:t>
          </w:r>
          <w:r>
            <w:rPr>
              <w:spacing w:val="2"/>
              <w:sz w:val="19"/>
              <w:szCs w:val="19"/>
            </w:rPr>
            <w:t>1</w:t>
          </w:r>
          <w:r>
            <w:rPr>
              <w:spacing w:val="2"/>
              <w:sz w:val="19"/>
              <w:szCs w:val="19"/>
            </w:rPr>
            <w:t xml:space="preserve"> </w:t>
          </w:r>
          <w:r>
            <w:rPr>
              <w:spacing w:val="2"/>
              <w:sz w:val="19"/>
              <w:szCs w:val="19"/>
            </w:rPr>
            <w:t>:</w:t>
          </w:r>
          <w:r>
            <w:rPr>
              <w:spacing w:val="50"/>
              <w:sz w:val="19"/>
              <w:szCs w:val="19"/>
            </w:rPr>
            <w:t xml:space="preserve"> </w:t>
          </w:r>
          <w:r>
            <w:rPr>
              <w:spacing w:val="2"/>
              <w:sz w:val="19"/>
              <w:szCs w:val="19"/>
            </w:rPr>
            <w:t>铝土矿几内亚进口价格维持高位</w:t>
          </w:r>
          <w:r>
            <w:rPr>
              <w:spacing w:val="-73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59" w:history="1">
            <w: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</w:rPr>
              <w:t>17</w:t>
            </w:r>
          </w:hyperlink>
        </w:p>
        <w:p>
          <w:pPr>
            <w:pStyle w:val="BodyText"/>
            <w:tabs>
              <w:tab w:val="right" w:leader="dot" w:pos="10366"/>
            </w:tabs>
            <w:spacing w:before="73" w:line="221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6"/>
              <w:sz w:val="19"/>
              <w:szCs w:val="19"/>
            </w:rPr>
            <w:t>图</w:t>
          </w:r>
          <w:r>
            <w:rPr>
              <w:spacing w:val="6"/>
              <w:sz w:val="19"/>
              <w:szCs w:val="19"/>
            </w:rPr>
            <w:t xml:space="preserve"> </w:t>
          </w:r>
          <w:r>
            <w:rPr>
              <w:spacing w:val="6"/>
              <w:sz w:val="19"/>
              <w:szCs w:val="19"/>
            </w:rPr>
            <w:t>42:</w:t>
          </w:r>
          <w:r>
            <w:rPr>
              <w:spacing w:val="6"/>
              <w:sz w:val="19"/>
              <w:szCs w:val="19"/>
            </w:rPr>
            <w:t xml:space="preserve">  </w:t>
          </w:r>
          <w:r>
            <w:rPr>
              <w:spacing w:val="6"/>
              <w:sz w:val="19"/>
              <w:szCs w:val="19"/>
            </w:rPr>
            <w:t>中国港口铝土矿库存水平处于低位</w:t>
          </w:r>
          <w:r>
            <w:rPr>
              <w:spacing w:val="-69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60" w:history="1">
            <w:r>
              <w:rPr>
                <w:rFonts w:ascii="Times New Roman" w:eastAsia="Times New Roman" w:hAnsi="Times New Roman" w:cs="Times New Roman"/>
                <w:spacing w:val="-8"/>
                <w:sz w:val="19"/>
                <w:szCs w:val="19"/>
              </w:rPr>
              <w:t>17</w:t>
            </w:r>
          </w:hyperlink>
        </w:p>
        <w:p>
          <w:pPr>
            <w:pStyle w:val="BodyText"/>
            <w:tabs>
              <w:tab w:val="right" w:leader="dot" w:pos="10346"/>
            </w:tabs>
            <w:spacing w:before="88" w:line="225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z w:val="19"/>
              <w:szCs w:val="19"/>
            </w:rPr>
            <w:t>图</w:t>
          </w:r>
          <w:r>
            <w:rPr>
              <w:spacing w:val="-34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>4</w:t>
          </w:r>
          <w:r>
            <w:rPr>
              <w:spacing w:val="-38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>3</w:t>
          </w:r>
          <w:r>
            <w:rPr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>:</w:t>
          </w:r>
          <w:r>
            <w:rPr>
              <w:spacing w:val="-39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>2</w:t>
          </w:r>
          <w:r>
            <w:rPr>
              <w:spacing w:val="-39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>0</w:t>
          </w:r>
          <w:r>
            <w:rPr>
              <w:spacing w:val="-39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>2</w:t>
          </w:r>
          <w:r>
            <w:rPr>
              <w:spacing w:val="-43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>4</w:t>
          </w:r>
          <w:r>
            <w:rPr>
              <w:spacing w:val="-37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>年</w:t>
          </w:r>
          <w:r>
            <w:rPr>
              <w:spacing w:val="-28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>1月氧化铝单吨理论利润约</w:t>
          </w:r>
          <w:r>
            <w:rPr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>791元/吨</w:t>
          </w:r>
          <w:r>
            <w:rPr>
              <w:spacing w:val="-69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61" w:history="1">
            <w:r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</w:rPr>
              <w:t>18</w:t>
            </w:r>
          </w:hyperlink>
        </w:p>
        <w:p>
          <w:pPr>
            <w:pStyle w:val="BodyText"/>
            <w:tabs>
              <w:tab w:val="right" w:leader="dot" w:pos="10346"/>
            </w:tabs>
            <w:spacing w:before="73" w:line="220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11"/>
              <w:sz w:val="19"/>
              <w:szCs w:val="19"/>
            </w:rPr>
            <w:t>图</w:t>
          </w:r>
          <w:r>
            <w:rPr>
              <w:spacing w:val="-43"/>
              <w:sz w:val="19"/>
              <w:szCs w:val="19"/>
            </w:rPr>
            <w:t xml:space="preserve"> </w:t>
          </w:r>
          <w:r>
            <w:rPr>
              <w:spacing w:val="11"/>
              <w:sz w:val="19"/>
              <w:szCs w:val="19"/>
            </w:rPr>
            <w:t>4</w:t>
          </w:r>
          <w:r>
            <w:rPr>
              <w:spacing w:val="-43"/>
              <w:sz w:val="19"/>
              <w:szCs w:val="19"/>
            </w:rPr>
            <w:t xml:space="preserve"> </w:t>
          </w:r>
          <w:r>
            <w:rPr>
              <w:spacing w:val="11"/>
              <w:sz w:val="19"/>
              <w:szCs w:val="19"/>
            </w:rPr>
            <w:t>4</w:t>
          </w:r>
          <w:r>
            <w:rPr>
              <w:spacing w:val="-12"/>
              <w:sz w:val="19"/>
              <w:szCs w:val="19"/>
            </w:rPr>
            <w:t xml:space="preserve"> </w:t>
          </w:r>
          <w:r>
            <w:rPr>
              <w:spacing w:val="11"/>
              <w:sz w:val="19"/>
              <w:szCs w:val="19"/>
            </w:rPr>
            <w:t>:</w:t>
          </w:r>
          <w:r>
            <w:rPr>
              <w:spacing w:val="-39"/>
              <w:sz w:val="19"/>
              <w:szCs w:val="19"/>
            </w:rPr>
            <w:t xml:space="preserve"> </w:t>
          </w:r>
          <w:r>
            <w:rPr>
              <w:spacing w:val="11"/>
              <w:sz w:val="19"/>
              <w:szCs w:val="19"/>
            </w:rPr>
            <w:t>2</w:t>
          </w:r>
          <w:r>
            <w:rPr>
              <w:spacing w:val="-39"/>
              <w:sz w:val="19"/>
              <w:szCs w:val="19"/>
            </w:rPr>
            <w:t xml:space="preserve"> </w:t>
          </w:r>
          <w:r>
            <w:rPr>
              <w:spacing w:val="11"/>
              <w:sz w:val="19"/>
              <w:szCs w:val="19"/>
            </w:rPr>
            <w:t>0</w:t>
          </w:r>
          <w:r>
            <w:rPr>
              <w:spacing w:val="-40"/>
              <w:sz w:val="19"/>
              <w:szCs w:val="19"/>
            </w:rPr>
            <w:t xml:space="preserve"> </w:t>
          </w:r>
          <w:r>
            <w:rPr>
              <w:spacing w:val="11"/>
              <w:sz w:val="19"/>
              <w:szCs w:val="19"/>
            </w:rPr>
            <w:t>2</w:t>
          </w:r>
          <w:r>
            <w:rPr>
              <w:spacing w:val="-42"/>
              <w:sz w:val="19"/>
              <w:szCs w:val="19"/>
            </w:rPr>
            <w:t xml:space="preserve"> </w:t>
          </w:r>
          <w:r>
            <w:rPr>
              <w:spacing w:val="11"/>
              <w:sz w:val="19"/>
              <w:szCs w:val="19"/>
            </w:rPr>
            <w:t>4</w:t>
          </w:r>
          <w:r>
            <w:rPr>
              <w:spacing w:val="-37"/>
              <w:sz w:val="19"/>
              <w:szCs w:val="19"/>
            </w:rPr>
            <w:t xml:space="preserve"> </w:t>
          </w:r>
          <w:r>
            <w:rPr>
              <w:spacing w:val="11"/>
              <w:sz w:val="19"/>
              <w:szCs w:val="19"/>
            </w:rPr>
            <w:t>年</w:t>
          </w:r>
          <w:r>
            <w:rPr>
              <w:spacing w:val="-28"/>
              <w:sz w:val="19"/>
              <w:szCs w:val="19"/>
            </w:rPr>
            <w:t xml:space="preserve"> </w:t>
          </w:r>
          <w:r>
            <w:rPr>
              <w:spacing w:val="11"/>
              <w:sz w:val="19"/>
              <w:szCs w:val="19"/>
            </w:rPr>
            <w:t>1月中国氧化铝产量672.</w:t>
          </w:r>
          <w:r>
            <w:rPr>
              <w:spacing w:val="10"/>
              <w:sz w:val="19"/>
              <w:szCs w:val="19"/>
            </w:rPr>
            <w:t>5万吨，同比+3%(单位：万吨)</w:t>
          </w:r>
          <w:r>
            <w:rPr>
              <w:sz w:val="19"/>
              <w:szCs w:val="19"/>
            </w:rPr>
            <w:tab/>
          </w:r>
          <w:hyperlink w:anchor="bookmark62" w:history="1">
            <w: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</w:rPr>
              <w:t>18</w:t>
            </w:r>
          </w:hyperlink>
        </w:p>
        <w:p>
          <w:pPr>
            <w:pStyle w:val="BodyText"/>
            <w:tabs>
              <w:tab w:val="right" w:leader="dot" w:pos="10346"/>
            </w:tabs>
            <w:spacing w:before="89" w:line="225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5"/>
              <w:sz w:val="19"/>
              <w:szCs w:val="19"/>
            </w:rPr>
            <w:t>图</w:t>
          </w:r>
          <w:r>
            <w:rPr>
              <w:spacing w:val="-35"/>
              <w:sz w:val="19"/>
              <w:szCs w:val="19"/>
            </w:rPr>
            <w:t xml:space="preserve"> </w:t>
          </w:r>
          <w:r>
            <w:rPr>
              <w:spacing w:val="5"/>
              <w:sz w:val="19"/>
              <w:szCs w:val="19"/>
            </w:rPr>
            <w:t>4</w:t>
          </w:r>
          <w:r>
            <w:rPr>
              <w:spacing w:val="-42"/>
              <w:sz w:val="19"/>
              <w:szCs w:val="19"/>
            </w:rPr>
            <w:t xml:space="preserve"> </w:t>
          </w:r>
          <w:r>
            <w:rPr>
              <w:spacing w:val="5"/>
              <w:sz w:val="19"/>
              <w:szCs w:val="19"/>
            </w:rPr>
            <w:t>5</w:t>
          </w:r>
          <w:r>
            <w:rPr>
              <w:spacing w:val="5"/>
              <w:sz w:val="19"/>
              <w:szCs w:val="19"/>
            </w:rPr>
            <w:t xml:space="preserve"> </w:t>
          </w:r>
          <w:r>
            <w:rPr>
              <w:spacing w:val="5"/>
              <w:sz w:val="19"/>
              <w:szCs w:val="19"/>
            </w:rPr>
            <w:t>:</w:t>
          </w:r>
          <w:r>
            <w:rPr>
              <w:spacing w:val="-39"/>
              <w:sz w:val="19"/>
              <w:szCs w:val="19"/>
            </w:rPr>
            <w:t xml:space="preserve"> </w:t>
          </w:r>
          <w:r>
            <w:rPr>
              <w:spacing w:val="5"/>
              <w:sz w:val="19"/>
              <w:szCs w:val="19"/>
            </w:rPr>
            <w:t>2</w:t>
          </w:r>
          <w:r>
            <w:rPr>
              <w:spacing w:val="-39"/>
              <w:sz w:val="19"/>
              <w:szCs w:val="19"/>
            </w:rPr>
            <w:t xml:space="preserve"> </w:t>
          </w:r>
          <w:r>
            <w:rPr>
              <w:spacing w:val="5"/>
              <w:sz w:val="19"/>
              <w:szCs w:val="19"/>
            </w:rPr>
            <w:t>0</w:t>
          </w:r>
          <w:r>
            <w:rPr>
              <w:spacing w:val="-39"/>
              <w:sz w:val="19"/>
              <w:szCs w:val="19"/>
            </w:rPr>
            <w:t xml:space="preserve"> </w:t>
          </w:r>
          <w:r>
            <w:rPr>
              <w:spacing w:val="5"/>
              <w:sz w:val="19"/>
              <w:szCs w:val="19"/>
            </w:rPr>
            <w:t>2</w:t>
          </w:r>
          <w:r>
            <w:rPr>
              <w:spacing w:val="-43"/>
              <w:sz w:val="19"/>
              <w:szCs w:val="19"/>
            </w:rPr>
            <w:t xml:space="preserve"> </w:t>
          </w:r>
          <w:r>
            <w:rPr>
              <w:spacing w:val="5"/>
              <w:sz w:val="19"/>
              <w:szCs w:val="19"/>
            </w:rPr>
            <w:t>4</w:t>
          </w:r>
          <w:r>
            <w:rPr>
              <w:spacing w:val="-37"/>
              <w:sz w:val="19"/>
              <w:szCs w:val="19"/>
            </w:rPr>
            <w:t xml:space="preserve"> </w:t>
          </w:r>
          <w:r>
            <w:rPr>
              <w:spacing w:val="5"/>
              <w:sz w:val="19"/>
              <w:szCs w:val="19"/>
            </w:rPr>
            <w:t>年</w:t>
          </w:r>
          <w:r>
            <w:rPr>
              <w:spacing w:val="-28"/>
              <w:sz w:val="19"/>
              <w:szCs w:val="19"/>
            </w:rPr>
            <w:t xml:space="preserve"> </w:t>
          </w:r>
          <w:r>
            <w:rPr>
              <w:spacing w:val="5"/>
              <w:sz w:val="19"/>
              <w:szCs w:val="19"/>
            </w:rPr>
            <w:t>1月电解铝单吨理论利润约2619元/吨</w:t>
          </w:r>
          <w:r>
            <w:rPr>
              <w:spacing w:val="-69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r>
            <w:rPr>
              <w:spacing w:val="-23"/>
              <w:sz w:val="19"/>
              <w:szCs w:val="19"/>
            </w:rPr>
            <w:t xml:space="preserve"> </w:t>
          </w:r>
          <w:hyperlink w:anchor="bookmark63" w:history="1">
            <w:r>
              <w:rPr>
                <w:rFonts w:ascii="Times New Roman" w:eastAsia="Times New Roman" w:hAnsi="Times New Roman" w:cs="Times New Roman"/>
                <w:spacing w:val="-6"/>
                <w:sz w:val="19"/>
                <w:szCs w:val="19"/>
              </w:rPr>
              <w:t>18</w:t>
            </w:r>
          </w:hyperlink>
        </w:p>
        <w:p>
          <w:pPr>
            <w:pStyle w:val="BodyText"/>
            <w:tabs>
              <w:tab w:val="right" w:leader="dot" w:pos="10346"/>
            </w:tabs>
            <w:spacing w:before="86" w:line="223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9"/>
              <w:sz w:val="19"/>
              <w:szCs w:val="19"/>
            </w:rPr>
            <w:t>图</w:t>
          </w:r>
          <w:r>
            <w:rPr>
              <w:spacing w:val="-25"/>
              <w:sz w:val="19"/>
              <w:szCs w:val="19"/>
            </w:rPr>
            <w:t xml:space="preserve"> </w:t>
          </w:r>
          <w:r>
            <w:rPr>
              <w:spacing w:val="9"/>
              <w:sz w:val="19"/>
              <w:szCs w:val="19"/>
            </w:rPr>
            <w:t>4</w:t>
          </w:r>
          <w:r>
            <w:rPr>
              <w:spacing w:val="-38"/>
              <w:sz w:val="19"/>
              <w:szCs w:val="19"/>
            </w:rPr>
            <w:t xml:space="preserve"> </w:t>
          </w:r>
          <w:r>
            <w:rPr>
              <w:spacing w:val="9"/>
              <w:sz w:val="19"/>
              <w:szCs w:val="19"/>
            </w:rPr>
            <w:t>6</w:t>
          </w:r>
          <w:r>
            <w:rPr>
              <w:spacing w:val="-13"/>
              <w:sz w:val="19"/>
              <w:szCs w:val="19"/>
            </w:rPr>
            <w:t xml:space="preserve"> </w:t>
          </w:r>
          <w:r>
            <w:rPr>
              <w:spacing w:val="9"/>
              <w:sz w:val="19"/>
              <w:szCs w:val="19"/>
            </w:rPr>
            <w:t>:</w:t>
          </w:r>
          <w:r>
            <w:rPr>
              <w:spacing w:val="-39"/>
              <w:sz w:val="19"/>
              <w:szCs w:val="19"/>
            </w:rPr>
            <w:t xml:space="preserve"> </w:t>
          </w:r>
          <w:r>
            <w:rPr>
              <w:spacing w:val="9"/>
              <w:sz w:val="19"/>
              <w:szCs w:val="19"/>
            </w:rPr>
            <w:t>2</w:t>
          </w:r>
          <w:r>
            <w:rPr>
              <w:spacing w:val="-39"/>
              <w:sz w:val="19"/>
              <w:szCs w:val="19"/>
            </w:rPr>
            <w:t xml:space="preserve"> </w:t>
          </w:r>
          <w:r>
            <w:rPr>
              <w:spacing w:val="9"/>
              <w:sz w:val="19"/>
              <w:szCs w:val="19"/>
            </w:rPr>
            <w:t>0</w:t>
          </w:r>
          <w:r>
            <w:rPr>
              <w:spacing w:val="-40"/>
              <w:sz w:val="19"/>
              <w:szCs w:val="19"/>
            </w:rPr>
            <w:t xml:space="preserve"> </w:t>
          </w:r>
          <w:r>
            <w:rPr>
              <w:spacing w:val="9"/>
              <w:sz w:val="19"/>
              <w:szCs w:val="19"/>
            </w:rPr>
            <w:t>2</w:t>
          </w:r>
          <w:r>
            <w:rPr>
              <w:spacing w:val="-42"/>
              <w:sz w:val="19"/>
              <w:szCs w:val="19"/>
            </w:rPr>
            <w:t xml:space="preserve"> </w:t>
          </w:r>
          <w:r>
            <w:rPr>
              <w:spacing w:val="9"/>
              <w:sz w:val="19"/>
              <w:szCs w:val="19"/>
            </w:rPr>
            <w:t>4</w:t>
          </w:r>
          <w:r>
            <w:rPr>
              <w:spacing w:val="-37"/>
              <w:sz w:val="19"/>
              <w:szCs w:val="19"/>
            </w:rPr>
            <w:t xml:space="preserve"> </w:t>
          </w:r>
          <w:r>
            <w:rPr>
              <w:spacing w:val="9"/>
              <w:sz w:val="19"/>
              <w:szCs w:val="19"/>
            </w:rPr>
            <w:t>年</w:t>
          </w:r>
          <w:r>
            <w:rPr>
              <w:spacing w:val="-28"/>
              <w:sz w:val="19"/>
              <w:szCs w:val="19"/>
            </w:rPr>
            <w:t xml:space="preserve"> </w:t>
          </w:r>
          <w:r>
            <w:rPr>
              <w:spacing w:val="9"/>
              <w:sz w:val="19"/>
              <w:szCs w:val="19"/>
            </w:rPr>
            <w:t>1月大部分铝产品开工率下滑(%)</w:t>
          </w:r>
          <w:r>
            <w:rPr>
              <w:sz w:val="19"/>
              <w:szCs w:val="19"/>
            </w:rPr>
            <w:tab/>
          </w:r>
          <w:r>
            <w:rPr>
              <w:spacing w:val="-63"/>
              <w:sz w:val="19"/>
              <w:szCs w:val="19"/>
            </w:rPr>
            <w:t xml:space="preserve"> </w:t>
          </w:r>
          <w:hyperlink w:anchor="bookmark64" w:history="1">
            <w:r>
              <w:rPr>
                <w:rFonts w:ascii="Times New Roman" w:eastAsia="Times New Roman" w:hAnsi="Times New Roman" w:cs="Times New Roman"/>
                <w:spacing w:val="-6"/>
                <w:sz w:val="19"/>
                <w:szCs w:val="19"/>
              </w:rPr>
              <w:t>18</w:t>
            </w:r>
          </w:hyperlink>
        </w:p>
        <w:p>
          <w:pPr>
            <w:pStyle w:val="BodyText"/>
            <w:tabs>
              <w:tab w:val="right" w:leader="dot" w:pos="10356"/>
            </w:tabs>
            <w:spacing w:before="93" w:line="225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23"/>
              <w:sz w:val="19"/>
              <w:szCs w:val="19"/>
            </w:rPr>
            <w:t>图47:</w:t>
          </w:r>
          <w:r>
            <w:rPr>
              <w:spacing w:val="68"/>
              <w:sz w:val="19"/>
              <w:szCs w:val="19"/>
            </w:rPr>
            <w:t xml:space="preserve"> </w:t>
          </w:r>
          <w:r>
            <w:rPr>
              <w:spacing w:val="23"/>
              <w:sz w:val="19"/>
              <w:szCs w:val="19"/>
            </w:rPr>
            <w:t>2024H1竣工面积或受2021新</w:t>
          </w:r>
          <w:r>
            <w:rPr>
              <w:spacing w:val="22"/>
              <w:sz w:val="19"/>
              <w:szCs w:val="19"/>
            </w:rPr>
            <w:t>开工面积支撑(%)</w:t>
          </w:r>
          <w:r>
            <w:rPr>
              <w:sz w:val="19"/>
              <w:szCs w:val="19"/>
            </w:rPr>
            <w:tab/>
          </w:r>
          <w:r>
            <w:rPr>
              <w:spacing w:val="-23"/>
              <w:sz w:val="19"/>
              <w:szCs w:val="19"/>
            </w:rPr>
            <w:t xml:space="preserve"> </w:t>
          </w:r>
          <w:hyperlink w:anchor="bookmark65" w:history="1">
            <w:r>
              <w:rPr>
                <w:rFonts w:ascii="Times New Roman" w:eastAsia="Times New Roman" w:hAnsi="Times New Roman" w:cs="Times New Roman"/>
                <w:spacing w:val="-6"/>
                <w:sz w:val="19"/>
                <w:szCs w:val="19"/>
              </w:rPr>
              <w:t>19</w:t>
            </w:r>
          </w:hyperlink>
        </w:p>
        <w:p>
          <w:pPr>
            <w:pStyle w:val="BodyText"/>
            <w:tabs>
              <w:tab w:val="right" w:leader="dot" w:pos="10346"/>
            </w:tabs>
            <w:spacing w:before="66" w:line="223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11"/>
              <w:sz w:val="19"/>
              <w:szCs w:val="19"/>
            </w:rPr>
            <w:t>图</w:t>
          </w:r>
          <w:r>
            <w:rPr>
              <w:spacing w:val="-45"/>
              <w:sz w:val="19"/>
              <w:szCs w:val="19"/>
            </w:rPr>
            <w:t xml:space="preserve"> </w:t>
          </w:r>
          <w:r>
            <w:rPr>
              <w:spacing w:val="11"/>
              <w:sz w:val="19"/>
              <w:szCs w:val="19"/>
            </w:rPr>
            <w:t>4</w:t>
          </w:r>
          <w:r>
            <w:rPr>
              <w:spacing w:val="-45"/>
              <w:sz w:val="19"/>
              <w:szCs w:val="19"/>
            </w:rPr>
            <w:t xml:space="preserve"> </w:t>
          </w:r>
          <w:r>
            <w:rPr>
              <w:spacing w:val="11"/>
              <w:sz w:val="19"/>
              <w:szCs w:val="19"/>
            </w:rPr>
            <w:t>8</w:t>
          </w:r>
          <w:r>
            <w:rPr>
              <w:spacing w:val="-18"/>
              <w:sz w:val="19"/>
              <w:szCs w:val="19"/>
            </w:rPr>
            <w:t xml:space="preserve"> </w:t>
          </w:r>
          <w:r>
            <w:rPr>
              <w:spacing w:val="11"/>
              <w:sz w:val="19"/>
              <w:szCs w:val="19"/>
            </w:rPr>
            <w:t>:</w:t>
          </w:r>
          <w:r>
            <w:rPr>
              <w:spacing w:val="-44"/>
              <w:sz w:val="19"/>
              <w:szCs w:val="19"/>
            </w:rPr>
            <w:t xml:space="preserve"> </w:t>
          </w:r>
          <w:r>
            <w:rPr>
              <w:spacing w:val="11"/>
              <w:sz w:val="19"/>
              <w:szCs w:val="19"/>
            </w:rPr>
            <w:t>2</w:t>
          </w:r>
          <w:r>
            <w:rPr>
              <w:spacing w:val="-45"/>
              <w:sz w:val="19"/>
              <w:szCs w:val="19"/>
            </w:rPr>
            <w:t xml:space="preserve"> </w:t>
          </w:r>
          <w:r>
            <w:rPr>
              <w:spacing w:val="11"/>
              <w:sz w:val="19"/>
              <w:szCs w:val="19"/>
            </w:rPr>
            <w:t>0</w:t>
          </w:r>
          <w:r>
            <w:rPr>
              <w:spacing w:val="-44"/>
              <w:sz w:val="19"/>
              <w:szCs w:val="19"/>
            </w:rPr>
            <w:t xml:space="preserve"> </w:t>
          </w:r>
          <w:r>
            <w:rPr>
              <w:spacing w:val="11"/>
              <w:sz w:val="19"/>
              <w:szCs w:val="19"/>
            </w:rPr>
            <w:t>2</w:t>
          </w:r>
          <w:r>
            <w:rPr>
              <w:spacing w:val="-43"/>
              <w:sz w:val="19"/>
              <w:szCs w:val="19"/>
            </w:rPr>
            <w:t xml:space="preserve"> </w:t>
          </w:r>
          <w:r>
            <w:rPr>
              <w:spacing w:val="11"/>
              <w:sz w:val="19"/>
              <w:szCs w:val="19"/>
            </w:rPr>
            <w:t>3</w:t>
          </w:r>
          <w:r>
            <w:rPr>
              <w:spacing w:val="-42"/>
              <w:sz w:val="19"/>
              <w:szCs w:val="19"/>
            </w:rPr>
            <w:t xml:space="preserve"> </w:t>
          </w:r>
          <w:r>
            <w:rPr>
              <w:spacing w:val="11"/>
              <w:sz w:val="19"/>
              <w:szCs w:val="19"/>
            </w:rPr>
            <w:t>年</w:t>
          </w:r>
          <w:r>
            <w:rPr>
              <w:spacing w:val="-34"/>
              <w:sz w:val="19"/>
              <w:szCs w:val="19"/>
            </w:rPr>
            <w:t xml:space="preserve"> </w:t>
          </w:r>
          <w:r>
            <w:rPr>
              <w:spacing w:val="11"/>
              <w:sz w:val="19"/>
              <w:szCs w:val="19"/>
            </w:rPr>
            <w:t>1</w:t>
          </w:r>
          <w:r>
            <w:rPr>
              <w:spacing w:val="-44"/>
              <w:sz w:val="19"/>
              <w:szCs w:val="19"/>
            </w:rPr>
            <w:t xml:space="preserve"> </w:t>
          </w:r>
          <w:r>
            <w:rPr>
              <w:spacing w:val="11"/>
              <w:sz w:val="19"/>
              <w:szCs w:val="19"/>
            </w:rPr>
            <w:t>2月中国汽车产量增速达22%(万辆)</w:t>
          </w:r>
          <w:r>
            <w:rPr>
              <w:sz w:val="19"/>
              <w:szCs w:val="19"/>
            </w:rPr>
            <w:tab/>
          </w:r>
          <w:r>
            <w:rPr>
              <w:spacing w:val="-43"/>
              <w:sz w:val="19"/>
              <w:szCs w:val="19"/>
            </w:rPr>
            <w:t xml:space="preserve"> </w:t>
          </w:r>
          <w:hyperlink w:anchor="bookmark66" w:history="1">
            <w:r>
              <w:rPr>
                <w:rFonts w:ascii="Times New Roman" w:eastAsia="Times New Roman" w:hAnsi="Times New Roman" w:cs="Times New Roman"/>
                <w:spacing w:val="-6"/>
                <w:sz w:val="19"/>
                <w:szCs w:val="19"/>
              </w:rPr>
              <w:t>19</w:t>
            </w:r>
          </w:hyperlink>
        </w:p>
        <w:p>
          <w:pPr>
            <w:pStyle w:val="BodyText"/>
            <w:tabs>
              <w:tab w:val="right" w:leader="dot" w:pos="10326"/>
            </w:tabs>
            <w:spacing w:before="100" w:line="223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5"/>
              <w:sz w:val="19"/>
              <w:szCs w:val="19"/>
            </w:rPr>
            <w:t>图</w:t>
          </w:r>
          <w:r>
            <w:rPr>
              <w:spacing w:val="-44"/>
              <w:sz w:val="19"/>
              <w:szCs w:val="19"/>
            </w:rPr>
            <w:t xml:space="preserve"> </w:t>
          </w:r>
          <w:r>
            <w:rPr>
              <w:spacing w:val="5"/>
              <w:sz w:val="19"/>
              <w:szCs w:val="19"/>
            </w:rPr>
            <w:t>4</w:t>
          </w:r>
          <w:r>
            <w:rPr>
              <w:spacing w:val="-45"/>
              <w:sz w:val="19"/>
              <w:szCs w:val="19"/>
            </w:rPr>
            <w:t xml:space="preserve"> </w:t>
          </w:r>
          <w:r>
            <w:rPr>
              <w:spacing w:val="5"/>
              <w:sz w:val="19"/>
              <w:szCs w:val="19"/>
            </w:rPr>
            <w:t>9</w:t>
          </w:r>
          <w:r>
            <w:rPr>
              <w:spacing w:val="-15"/>
              <w:sz w:val="19"/>
              <w:szCs w:val="19"/>
            </w:rPr>
            <w:t xml:space="preserve"> </w:t>
          </w:r>
          <w:r>
            <w:rPr>
              <w:spacing w:val="5"/>
              <w:sz w:val="19"/>
              <w:szCs w:val="19"/>
            </w:rPr>
            <w:t>:</w:t>
          </w:r>
          <w:r>
            <w:rPr>
              <w:spacing w:val="58"/>
              <w:sz w:val="19"/>
              <w:szCs w:val="19"/>
            </w:rPr>
            <w:t xml:space="preserve"> </w:t>
          </w:r>
          <w:r>
            <w:rPr>
              <w:rFonts w:ascii="Times New Roman" w:eastAsia="Times New Roman" w:hAnsi="Times New Roman" w:cs="Times New Roman"/>
              <w:sz w:val="19"/>
              <w:szCs w:val="19"/>
            </w:rPr>
            <w:t>LME</w:t>
          </w:r>
          <w:r>
            <w:rPr>
              <w:rFonts w:ascii="Times New Roman" w:eastAsia="Times New Roman" w:hAnsi="Times New Roman" w:cs="Times New Roman"/>
              <w:spacing w:val="26"/>
              <w:sz w:val="19"/>
              <w:szCs w:val="19"/>
            </w:rPr>
            <w:t xml:space="preserve"> </w:t>
          </w:r>
          <w:r>
            <w:rPr>
              <w:spacing w:val="5"/>
              <w:sz w:val="19"/>
              <w:szCs w:val="19"/>
            </w:rPr>
            <w:t>锡价走势与半导体销售额同比增速高度相关</w:t>
          </w:r>
          <w:r>
            <w:rPr>
              <w:spacing w:val="-75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67" w:history="1">
            <w:r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</w:rPr>
              <w:t>19</w:t>
            </w:r>
          </w:hyperlink>
        </w:p>
        <w:p>
          <w:pPr>
            <w:pStyle w:val="BodyText"/>
            <w:tabs>
              <w:tab w:val="right" w:leader="dot" w:pos="10336"/>
            </w:tabs>
            <w:spacing w:before="58" w:line="221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17"/>
              <w:sz w:val="19"/>
              <w:szCs w:val="19"/>
            </w:rPr>
            <w:t>图50:</w:t>
          </w:r>
          <w:r>
            <w:rPr>
              <w:spacing w:val="85"/>
              <w:sz w:val="19"/>
              <w:szCs w:val="19"/>
            </w:rPr>
            <w:t xml:space="preserve"> </w:t>
          </w:r>
          <w:r>
            <w:rPr>
              <w:spacing w:val="17"/>
              <w:sz w:val="19"/>
              <w:szCs w:val="19"/>
            </w:rPr>
            <w:t>上海期交所锡锭库存近期整体呈累库(</w:t>
          </w:r>
          <w:r>
            <w:rPr>
              <w:spacing w:val="16"/>
              <w:sz w:val="19"/>
              <w:szCs w:val="19"/>
            </w:rPr>
            <w:t>吨)</w:t>
          </w:r>
          <w:r>
            <w:rPr>
              <w:sz w:val="19"/>
              <w:szCs w:val="19"/>
            </w:rPr>
            <w:tab/>
          </w:r>
          <w:r>
            <w:rPr>
              <w:spacing w:val="-53"/>
              <w:sz w:val="19"/>
              <w:szCs w:val="19"/>
            </w:rPr>
            <w:t xml:space="preserve"> </w:t>
          </w:r>
          <w:hyperlink w:anchor="bookmark68" w:history="1">
            <w:r>
              <w:rPr>
                <w:rFonts w:ascii="Times New Roman" w:eastAsia="Times New Roman" w:hAnsi="Times New Roman" w:cs="Times New Roman"/>
                <w:spacing w:val="-6"/>
                <w:sz w:val="19"/>
                <w:szCs w:val="19"/>
              </w:rPr>
              <w:t>19</w:t>
            </w:r>
          </w:hyperlink>
        </w:p>
        <w:p>
          <w:pPr>
            <w:pStyle w:val="BodyText"/>
            <w:tabs>
              <w:tab w:val="right" w:leader="dot" w:pos="10336"/>
            </w:tabs>
            <w:spacing w:before="103" w:line="221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10"/>
              <w:sz w:val="19"/>
              <w:szCs w:val="19"/>
            </w:rPr>
            <w:t>图</w:t>
          </w:r>
          <w:r>
            <w:rPr>
              <w:spacing w:val="-44"/>
              <w:sz w:val="19"/>
              <w:szCs w:val="19"/>
            </w:rPr>
            <w:t xml:space="preserve"> </w:t>
          </w:r>
          <w:r>
            <w:rPr>
              <w:spacing w:val="10"/>
              <w:sz w:val="19"/>
              <w:szCs w:val="19"/>
            </w:rPr>
            <w:t>5</w:t>
          </w:r>
          <w:r>
            <w:rPr>
              <w:spacing w:val="-30"/>
              <w:sz w:val="19"/>
              <w:szCs w:val="19"/>
            </w:rPr>
            <w:t xml:space="preserve"> </w:t>
          </w:r>
          <w:r>
            <w:rPr>
              <w:spacing w:val="10"/>
              <w:sz w:val="19"/>
              <w:szCs w:val="19"/>
            </w:rPr>
            <w:t>1</w:t>
          </w:r>
          <w:r>
            <w:rPr>
              <w:spacing w:val="-15"/>
              <w:sz w:val="19"/>
              <w:szCs w:val="19"/>
            </w:rPr>
            <w:t xml:space="preserve"> </w:t>
          </w:r>
          <w:r>
            <w:rPr>
              <w:spacing w:val="10"/>
              <w:sz w:val="19"/>
              <w:szCs w:val="19"/>
            </w:rPr>
            <w:t>:</w:t>
          </w:r>
          <w:r>
            <w:rPr>
              <w:spacing w:val="58"/>
              <w:sz w:val="19"/>
              <w:szCs w:val="19"/>
            </w:rPr>
            <w:t xml:space="preserve"> </w:t>
          </w:r>
          <w:r>
            <w:rPr>
              <w:rFonts w:ascii="Times New Roman" w:eastAsia="Times New Roman" w:hAnsi="Times New Roman" w:cs="Times New Roman"/>
              <w:sz w:val="19"/>
              <w:szCs w:val="19"/>
            </w:rPr>
            <w:t>LME</w:t>
          </w:r>
          <w:r>
            <w:rPr>
              <w:rFonts w:ascii="Times New Roman" w:eastAsia="Times New Roman" w:hAnsi="Times New Roman" w:cs="Times New Roman"/>
              <w:spacing w:val="25"/>
              <w:w w:val="101"/>
              <w:sz w:val="19"/>
              <w:szCs w:val="19"/>
            </w:rPr>
            <w:t xml:space="preserve"> </w:t>
          </w:r>
          <w:r>
            <w:rPr>
              <w:spacing w:val="10"/>
              <w:sz w:val="19"/>
              <w:szCs w:val="19"/>
            </w:rPr>
            <w:t>锡库存处于历史高位但近期开始去</w:t>
          </w:r>
          <w:r>
            <w:rPr>
              <w:spacing w:val="9"/>
              <w:sz w:val="19"/>
              <w:szCs w:val="19"/>
            </w:rPr>
            <w:t>库(吨)</w:t>
          </w:r>
          <w:r>
            <w:rPr>
              <w:sz w:val="19"/>
              <w:szCs w:val="19"/>
            </w:rPr>
            <w:tab/>
          </w:r>
          <w:hyperlink w:anchor="bookmark69" w:history="1">
            <w:r>
              <w:rPr>
                <w:rFonts w:ascii="Times New Roman" w:eastAsia="Times New Roman" w:hAnsi="Times New Roman" w:cs="Times New Roman"/>
                <w:spacing w:val="-4"/>
                <w:sz w:val="19"/>
                <w:szCs w:val="19"/>
              </w:rPr>
              <w:t>19</w:t>
            </w:r>
          </w:hyperlink>
        </w:p>
        <w:p>
          <w:pPr>
            <w:pStyle w:val="BodyText"/>
            <w:tabs>
              <w:tab w:val="right" w:leader="dot" w:pos="10335"/>
            </w:tabs>
            <w:spacing w:before="85" w:line="224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12"/>
              <w:sz w:val="19"/>
              <w:szCs w:val="19"/>
            </w:rPr>
            <w:t>图</w:t>
          </w:r>
          <w:r>
            <w:rPr>
              <w:spacing w:val="-29"/>
              <w:sz w:val="19"/>
              <w:szCs w:val="19"/>
            </w:rPr>
            <w:t xml:space="preserve"> </w:t>
          </w:r>
          <w:r>
            <w:rPr>
              <w:spacing w:val="12"/>
              <w:sz w:val="19"/>
              <w:szCs w:val="19"/>
            </w:rPr>
            <w:t>5</w:t>
          </w:r>
          <w:r>
            <w:rPr>
              <w:spacing w:val="-42"/>
              <w:sz w:val="19"/>
              <w:szCs w:val="19"/>
            </w:rPr>
            <w:t xml:space="preserve"> </w:t>
          </w:r>
          <w:r>
            <w:rPr>
              <w:spacing w:val="12"/>
              <w:sz w:val="19"/>
              <w:szCs w:val="19"/>
            </w:rPr>
            <w:t>2</w:t>
          </w:r>
          <w:r>
            <w:rPr>
              <w:spacing w:val="-14"/>
              <w:sz w:val="19"/>
              <w:szCs w:val="19"/>
            </w:rPr>
            <w:t xml:space="preserve"> </w:t>
          </w:r>
          <w:r>
            <w:rPr>
              <w:spacing w:val="12"/>
              <w:sz w:val="19"/>
              <w:szCs w:val="19"/>
            </w:rPr>
            <w:t>:</w:t>
          </w:r>
          <w:r>
            <w:rPr>
              <w:spacing w:val="57"/>
              <w:sz w:val="19"/>
              <w:szCs w:val="19"/>
            </w:rPr>
            <w:t xml:space="preserve"> </w:t>
          </w:r>
          <w:r>
            <w:rPr>
              <w:spacing w:val="12"/>
              <w:sz w:val="19"/>
              <w:szCs w:val="19"/>
            </w:rPr>
            <w:t>缅甸锡精矿进口占比较2023年8月份之前有所下滑</w:t>
          </w:r>
          <w:r>
            <w:rPr>
              <w:spacing w:val="-74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70" w:history="1">
            <w:r>
              <w:rPr>
                <w:rFonts w:ascii="Times New Roman" w:eastAsia="Times New Roman" w:hAnsi="Times New Roman" w:cs="Times New Roman"/>
                <w:spacing w:val="2"/>
                <w:sz w:val="19"/>
                <w:szCs w:val="19"/>
              </w:rPr>
              <w:t>20</w:t>
            </w:r>
          </w:hyperlink>
        </w:p>
        <w:p>
          <w:pPr>
            <w:pStyle w:val="BodyText"/>
            <w:tabs>
              <w:tab w:val="right" w:leader="dot" w:pos="10335"/>
            </w:tabs>
            <w:spacing w:before="86" w:line="220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8"/>
              <w:sz w:val="19"/>
              <w:szCs w:val="19"/>
            </w:rPr>
            <w:t>图</w:t>
          </w:r>
          <w:r>
            <w:rPr>
              <w:spacing w:val="-37"/>
              <w:sz w:val="19"/>
              <w:szCs w:val="19"/>
            </w:rPr>
            <w:t xml:space="preserve"> </w:t>
          </w:r>
          <w:r>
            <w:rPr>
              <w:spacing w:val="8"/>
              <w:sz w:val="19"/>
              <w:szCs w:val="19"/>
            </w:rPr>
            <w:t>5</w:t>
          </w:r>
          <w:r>
            <w:rPr>
              <w:spacing w:val="-40"/>
              <w:sz w:val="19"/>
              <w:szCs w:val="19"/>
            </w:rPr>
            <w:t xml:space="preserve"> </w:t>
          </w:r>
          <w:r>
            <w:rPr>
              <w:spacing w:val="8"/>
              <w:sz w:val="19"/>
              <w:szCs w:val="19"/>
            </w:rPr>
            <w:t>3</w:t>
          </w:r>
          <w:r>
            <w:rPr>
              <w:spacing w:val="-15"/>
              <w:sz w:val="19"/>
              <w:szCs w:val="19"/>
            </w:rPr>
            <w:t xml:space="preserve"> </w:t>
          </w:r>
          <w:r>
            <w:rPr>
              <w:spacing w:val="8"/>
              <w:sz w:val="19"/>
              <w:szCs w:val="19"/>
            </w:rPr>
            <w:t>:</w:t>
          </w:r>
          <w:r>
            <w:rPr>
              <w:spacing w:val="58"/>
              <w:sz w:val="19"/>
              <w:szCs w:val="19"/>
            </w:rPr>
            <w:t xml:space="preserve"> </w:t>
          </w:r>
          <w:r>
            <w:rPr>
              <w:spacing w:val="8"/>
              <w:sz w:val="19"/>
              <w:szCs w:val="19"/>
            </w:rPr>
            <w:t>锡精矿加工费下滑，反应矿端紧张局面(元/吨)</w:t>
          </w:r>
          <w:r>
            <w:rPr>
              <w:sz w:val="19"/>
              <w:szCs w:val="19"/>
            </w:rPr>
            <w:tab/>
          </w:r>
          <w:hyperlink w:anchor="bookmark71" w:history="1">
            <w:r>
              <w:rPr>
                <w:rFonts w:ascii="Times New Roman" w:eastAsia="Times New Roman" w:hAnsi="Times New Roman" w:cs="Times New Roman"/>
                <w:spacing w:val="2"/>
                <w:sz w:val="19"/>
                <w:szCs w:val="19"/>
              </w:rPr>
              <w:t>20</w:t>
            </w:r>
          </w:hyperlink>
        </w:p>
        <w:p>
          <w:pPr>
            <w:pStyle w:val="BodyText"/>
            <w:tabs>
              <w:tab w:val="right" w:leader="dot" w:pos="10355"/>
            </w:tabs>
            <w:spacing w:before="90" w:line="212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13"/>
              <w:sz w:val="19"/>
              <w:szCs w:val="19"/>
            </w:rPr>
            <w:t>图54:</w:t>
          </w:r>
          <w:r>
            <w:rPr>
              <w:spacing w:val="75"/>
              <w:sz w:val="19"/>
              <w:szCs w:val="19"/>
            </w:rPr>
            <w:t xml:space="preserve"> </w:t>
          </w:r>
          <w:r>
            <w:rPr>
              <w:spacing w:val="13"/>
              <w:sz w:val="19"/>
              <w:szCs w:val="19"/>
            </w:rPr>
            <w:t>截至3月1日当周，</w:t>
          </w:r>
          <w:r>
            <w:rPr>
              <w:spacing w:val="13"/>
              <w:sz w:val="19"/>
              <w:szCs w:val="19"/>
            </w:rPr>
            <w:t xml:space="preserve"> </w:t>
          </w:r>
          <w:r>
            <w:rPr>
              <w:rFonts w:ascii="Times New Roman" w:eastAsia="Times New Roman" w:hAnsi="Times New Roman" w:cs="Times New Roman"/>
              <w:sz w:val="19"/>
              <w:szCs w:val="19"/>
            </w:rPr>
            <w:t>Mysteel</w:t>
          </w:r>
          <w:r>
            <w:rPr>
              <w:rFonts w:ascii="Times New Roman" w:eastAsia="Times New Roman" w:hAnsi="Times New Roman" w:cs="Times New Roman"/>
              <w:spacing w:val="13"/>
              <w:sz w:val="19"/>
              <w:szCs w:val="19"/>
            </w:rPr>
            <w:t xml:space="preserve">  </w:t>
          </w:r>
          <w:r>
            <w:rPr>
              <w:spacing w:val="13"/>
              <w:sz w:val="19"/>
              <w:szCs w:val="19"/>
            </w:rPr>
            <w:t>铁矿石价格指数92</w:t>
          </w:r>
          <w:r>
            <w:rPr>
              <w:spacing w:val="12"/>
              <w:sz w:val="19"/>
              <w:szCs w:val="19"/>
            </w:rPr>
            <w:t>7.65元/湿吨</w:t>
          </w:r>
          <w:r>
            <w:rPr>
              <w:spacing w:val="-70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r>
            <w:rPr>
              <w:spacing w:val="-63"/>
              <w:sz w:val="19"/>
              <w:szCs w:val="19"/>
            </w:rPr>
            <w:t xml:space="preserve"> </w:t>
          </w:r>
          <w:hyperlink w:anchor="bookmark72" w:history="1">
            <w:r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</w:rPr>
              <w:t>21</w:t>
            </w:r>
          </w:hyperlink>
        </w:p>
        <w:p>
          <w:pPr>
            <w:pStyle w:val="BodyText"/>
            <w:tabs>
              <w:tab w:val="right" w:leader="dot" w:pos="10355"/>
            </w:tabs>
            <w:spacing w:before="86" w:line="220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18"/>
              <w:sz w:val="19"/>
              <w:szCs w:val="19"/>
            </w:rPr>
            <w:t>图</w:t>
          </w:r>
          <w:r>
            <w:rPr>
              <w:spacing w:val="-44"/>
              <w:sz w:val="19"/>
              <w:szCs w:val="19"/>
            </w:rPr>
            <w:t xml:space="preserve"> </w:t>
          </w:r>
          <w:r>
            <w:rPr>
              <w:spacing w:val="18"/>
              <w:sz w:val="19"/>
              <w:szCs w:val="19"/>
            </w:rPr>
            <w:t>5</w:t>
          </w:r>
          <w:r>
            <w:rPr>
              <w:spacing w:val="-45"/>
              <w:sz w:val="19"/>
              <w:szCs w:val="19"/>
            </w:rPr>
            <w:t xml:space="preserve"> </w:t>
          </w:r>
          <w:r>
            <w:rPr>
              <w:spacing w:val="18"/>
              <w:sz w:val="19"/>
              <w:szCs w:val="19"/>
            </w:rPr>
            <w:t>5</w:t>
          </w:r>
          <w:r>
            <w:rPr>
              <w:spacing w:val="-14"/>
              <w:sz w:val="19"/>
              <w:szCs w:val="19"/>
            </w:rPr>
            <w:t xml:space="preserve"> </w:t>
          </w:r>
          <w:r>
            <w:rPr>
              <w:spacing w:val="18"/>
              <w:sz w:val="19"/>
              <w:szCs w:val="19"/>
            </w:rPr>
            <w:t>:</w:t>
          </w:r>
          <w:r>
            <w:rPr>
              <w:spacing w:val="57"/>
              <w:sz w:val="19"/>
              <w:szCs w:val="19"/>
            </w:rPr>
            <w:t xml:space="preserve"> </w:t>
          </w:r>
          <w:r>
            <w:rPr>
              <w:spacing w:val="18"/>
              <w:sz w:val="19"/>
              <w:szCs w:val="19"/>
            </w:rPr>
            <w:t>截至3月1日当周，进口矿港口库存13893万吨，</w:t>
          </w:r>
          <w:r>
            <w:rPr>
              <w:spacing w:val="17"/>
              <w:sz w:val="19"/>
              <w:szCs w:val="19"/>
            </w:rPr>
            <w:t>同比+0.89%,环比+2.13%(农历口径)</w:t>
          </w:r>
          <w:r>
            <w:rPr>
              <w:sz w:val="19"/>
              <w:szCs w:val="19"/>
            </w:rPr>
            <w:tab/>
          </w:r>
          <w:hyperlink w:anchor="bookmark73" w:history="1">
            <w:r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  <w:t>21</w:t>
            </w:r>
          </w:hyperlink>
        </w:p>
        <w:p>
          <w:pPr>
            <w:pStyle w:val="BodyText"/>
            <w:tabs>
              <w:tab w:val="right" w:leader="dot" w:pos="10355"/>
            </w:tabs>
            <w:spacing w:before="83" w:line="220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15"/>
              <w:sz w:val="19"/>
              <w:szCs w:val="19"/>
            </w:rPr>
            <w:t>图</w:t>
          </w:r>
          <w:r>
            <w:rPr>
              <w:spacing w:val="-45"/>
              <w:sz w:val="19"/>
              <w:szCs w:val="19"/>
            </w:rPr>
            <w:t xml:space="preserve"> </w:t>
          </w:r>
          <w:r>
            <w:rPr>
              <w:spacing w:val="15"/>
              <w:sz w:val="19"/>
              <w:szCs w:val="19"/>
            </w:rPr>
            <w:t>5</w:t>
          </w:r>
          <w:r>
            <w:rPr>
              <w:spacing w:val="-40"/>
              <w:sz w:val="19"/>
              <w:szCs w:val="19"/>
            </w:rPr>
            <w:t xml:space="preserve"> </w:t>
          </w:r>
          <w:r>
            <w:rPr>
              <w:spacing w:val="15"/>
              <w:sz w:val="19"/>
              <w:szCs w:val="19"/>
            </w:rPr>
            <w:t>6</w:t>
          </w:r>
          <w:r>
            <w:rPr>
              <w:spacing w:val="-15"/>
              <w:sz w:val="19"/>
              <w:szCs w:val="19"/>
            </w:rPr>
            <w:t xml:space="preserve"> </w:t>
          </w:r>
          <w:r>
            <w:rPr>
              <w:spacing w:val="15"/>
              <w:sz w:val="19"/>
              <w:szCs w:val="19"/>
            </w:rPr>
            <w:t>:</w:t>
          </w:r>
          <w:r>
            <w:rPr>
              <w:spacing w:val="58"/>
              <w:sz w:val="19"/>
              <w:szCs w:val="19"/>
            </w:rPr>
            <w:t xml:space="preserve"> </w:t>
          </w:r>
          <w:r>
            <w:rPr>
              <w:spacing w:val="15"/>
              <w:sz w:val="19"/>
              <w:szCs w:val="19"/>
            </w:rPr>
            <w:t>截至3月1日当周，日均铁水产量222.86万吨，同比-</w:t>
          </w:r>
          <w:r>
            <w:rPr>
              <w:spacing w:val="14"/>
              <w:sz w:val="19"/>
              <w:szCs w:val="19"/>
            </w:rPr>
            <w:t>5.76%,环比-0.3%(农历口径)</w:t>
          </w:r>
          <w:r>
            <w:rPr>
              <w:sz w:val="19"/>
              <w:szCs w:val="19"/>
            </w:rPr>
            <w:tab/>
          </w:r>
          <w:hyperlink w:anchor="bookmark74" w:history="1">
            <w:r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  <w:t>21</w:t>
            </w:r>
          </w:hyperlink>
        </w:p>
        <w:p>
          <w:pPr>
            <w:pStyle w:val="BodyText"/>
            <w:tabs>
              <w:tab w:val="right" w:leader="dot" w:pos="10365"/>
            </w:tabs>
            <w:spacing w:before="94" w:line="220" w:lineRule="auto"/>
            <w:rPr>
              <w:rFonts w:ascii="Times New Roman" w:eastAsia="Times New Roman" w:hAnsi="Times New Roman" w:cs="Times New Roman"/>
              <w:sz w:val="19"/>
              <w:szCs w:val="19"/>
            </w:rPr>
            <w:sectPr>
              <w:footerReference w:type="default" r:id="rId13"/>
              <w:pgSz w:w="11910" w:h="16840"/>
              <w:pgMar w:top="156" w:right="660" w:bottom="1129" w:left="719" w:header="0" w:footer="860" w:gutter="0"/>
              <w:pgNumType w:start="7"/>
              <w:cols w:space="708"/>
            </w:sectPr>
          </w:pPr>
          <w:r>
            <w:rPr>
              <w:spacing w:val="15"/>
              <w:sz w:val="19"/>
              <w:szCs w:val="19"/>
            </w:rPr>
            <w:t>图</w:t>
          </w:r>
          <w:r>
            <w:rPr>
              <w:spacing w:val="-44"/>
              <w:sz w:val="19"/>
              <w:szCs w:val="19"/>
            </w:rPr>
            <w:t xml:space="preserve"> </w:t>
          </w:r>
          <w:r>
            <w:rPr>
              <w:spacing w:val="15"/>
              <w:sz w:val="19"/>
              <w:szCs w:val="19"/>
            </w:rPr>
            <w:t>5</w:t>
          </w:r>
          <w:r>
            <w:rPr>
              <w:spacing w:val="-39"/>
              <w:sz w:val="19"/>
              <w:szCs w:val="19"/>
            </w:rPr>
            <w:t xml:space="preserve"> </w:t>
          </w:r>
          <w:r>
            <w:rPr>
              <w:spacing w:val="15"/>
              <w:sz w:val="19"/>
              <w:szCs w:val="19"/>
            </w:rPr>
            <w:t>7</w:t>
          </w:r>
          <w:r>
            <w:rPr>
              <w:spacing w:val="-15"/>
              <w:sz w:val="19"/>
              <w:szCs w:val="19"/>
            </w:rPr>
            <w:t xml:space="preserve"> </w:t>
          </w:r>
          <w:r>
            <w:rPr>
              <w:spacing w:val="15"/>
              <w:sz w:val="19"/>
              <w:szCs w:val="19"/>
            </w:rPr>
            <w:t>:</w:t>
          </w:r>
          <w:r>
            <w:rPr>
              <w:spacing w:val="58"/>
              <w:sz w:val="19"/>
              <w:szCs w:val="19"/>
            </w:rPr>
            <w:t xml:space="preserve"> </w:t>
          </w:r>
          <w:r>
            <w:rPr>
              <w:spacing w:val="15"/>
              <w:sz w:val="19"/>
              <w:szCs w:val="19"/>
            </w:rPr>
            <w:t>截至3月1日当周，日均铁水产量</w:t>
          </w:r>
          <w:r>
            <w:rPr>
              <w:spacing w:val="14"/>
              <w:sz w:val="19"/>
              <w:szCs w:val="19"/>
            </w:rPr>
            <w:t>222.86万吨，同比-4.91%,环比-0.3%(阳历口径)</w:t>
          </w:r>
          <w:r>
            <w:rPr>
              <w:sz w:val="19"/>
              <w:szCs w:val="19"/>
            </w:rPr>
            <w:tab/>
          </w:r>
          <w:hyperlink w:anchor="bookmark75" w:history="1">
            <w:r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  <w:t>21</w:t>
            </w:r>
          </w:hyperlink>
        </w:p>
      </w:sdtContent>
    </w:sdt>
    <w:sdt>
      <w:sdtPr>
        <w:rPr>
          <w:rFonts w:ascii="KaiTi" w:eastAsia="KaiTi" w:hAnsi="KaiTi" w:cs="KaiTi"/>
          <w:sz w:val="19"/>
          <w:szCs w:val="19"/>
        </w:rPr>
        <w:id w:val="1653529561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19"/>
          <w:szCs w:val="19"/>
        </w:rPr>
      </w:sdtEndPr>
      <w:sdtContent>
        <w:p>
          <w:pPr>
            <w:pStyle w:val="BodyText"/>
            <w:tabs>
              <w:tab w:val="right" w:leader="dot" w:pos="10355"/>
            </w:tabs>
            <w:spacing w:before="94" w:line="220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14"/>
              <w:sz w:val="19"/>
              <w:szCs w:val="19"/>
            </w:rPr>
            <w:t>图</w:t>
          </w:r>
          <w:r>
            <w:rPr>
              <w:spacing w:val="-20"/>
              <w:sz w:val="19"/>
              <w:szCs w:val="19"/>
            </w:rPr>
            <w:t xml:space="preserve"> </w:t>
          </w:r>
          <w:r>
            <w:rPr>
              <w:spacing w:val="14"/>
              <w:sz w:val="19"/>
              <w:szCs w:val="19"/>
            </w:rPr>
            <w:t>5</w:t>
          </w:r>
          <w:r>
            <w:rPr>
              <w:spacing w:val="-32"/>
              <w:sz w:val="19"/>
              <w:szCs w:val="19"/>
            </w:rPr>
            <w:t xml:space="preserve"> </w:t>
          </w:r>
          <w:r>
            <w:rPr>
              <w:spacing w:val="14"/>
              <w:sz w:val="19"/>
              <w:szCs w:val="19"/>
            </w:rPr>
            <w:t>8</w:t>
          </w:r>
          <w:r>
            <w:rPr>
              <w:spacing w:val="14"/>
              <w:sz w:val="19"/>
              <w:szCs w:val="19"/>
            </w:rPr>
            <w:t xml:space="preserve"> </w:t>
          </w:r>
          <w:r>
            <w:rPr>
              <w:spacing w:val="14"/>
              <w:sz w:val="19"/>
              <w:szCs w:val="19"/>
            </w:rPr>
            <w:t>:</w:t>
          </w:r>
          <w:r>
            <w:rPr>
              <w:spacing w:val="14"/>
              <w:sz w:val="19"/>
              <w:szCs w:val="19"/>
            </w:rPr>
            <w:t xml:space="preserve"> </w:t>
          </w:r>
          <w:r>
            <w:rPr>
              <w:spacing w:val="14"/>
              <w:sz w:val="19"/>
              <w:szCs w:val="19"/>
            </w:rPr>
            <w:t>截至3月1日当周，铁矿石发运量2544.5万吨，同比+3.38%,环比+22.42%</w:t>
          </w:r>
          <w:r>
            <w:rPr>
              <w:spacing w:val="-71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76" w:history="1">
            <w:r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  <w:t>22</w:t>
            </w:r>
          </w:hyperlink>
        </w:p>
        <w:p>
          <w:pPr>
            <w:pStyle w:val="BodyText"/>
            <w:tabs>
              <w:tab w:val="right" w:leader="dot" w:pos="10355"/>
            </w:tabs>
            <w:spacing w:before="83" w:line="220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14"/>
              <w:sz w:val="19"/>
              <w:szCs w:val="19"/>
            </w:rPr>
            <w:t>图</w:t>
          </w:r>
          <w:r>
            <w:rPr>
              <w:spacing w:val="-36"/>
              <w:sz w:val="19"/>
              <w:szCs w:val="19"/>
            </w:rPr>
            <w:t xml:space="preserve"> </w:t>
          </w:r>
          <w:r>
            <w:rPr>
              <w:spacing w:val="14"/>
              <w:sz w:val="19"/>
              <w:szCs w:val="19"/>
            </w:rPr>
            <w:t>5</w:t>
          </w:r>
          <w:r>
            <w:rPr>
              <w:spacing w:val="-40"/>
              <w:sz w:val="19"/>
              <w:szCs w:val="19"/>
            </w:rPr>
            <w:t xml:space="preserve"> </w:t>
          </w:r>
          <w:r>
            <w:rPr>
              <w:spacing w:val="14"/>
              <w:sz w:val="19"/>
              <w:szCs w:val="19"/>
            </w:rPr>
            <w:t>9</w:t>
          </w:r>
          <w:r>
            <w:rPr>
              <w:spacing w:val="-9"/>
              <w:sz w:val="19"/>
              <w:szCs w:val="19"/>
            </w:rPr>
            <w:t xml:space="preserve"> </w:t>
          </w:r>
          <w:r>
            <w:rPr>
              <w:spacing w:val="14"/>
              <w:sz w:val="19"/>
              <w:szCs w:val="19"/>
            </w:rPr>
            <w:t>:</w:t>
          </w:r>
          <w:r>
            <w:rPr>
              <w:spacing w:val="52"/>
              <w:sz w:val="19"/>
              <w:szCs w:val="19"/>
            </w:rPr>
            <w:t xml:space="preserve"> </w:t>
          </w:r>
          <w:r>
            <w:rPr>
              <w:spacing w:val="14"/>
              <w:sz w:val="19"/>
              <w:szCs w:val="19"/>
            </w:rPr>
            <w:t>截至3月1日当周，铁矿石到港量2524.4万吨，同比+11.22%,环比+19.14%</w:t>
          </w:r>
          <w:r>
            <w:rPr>
              <w:spacing w:val="-71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r>
            <w:rPr>
              <w:spacing w:val="-53"/>
              <w:sz w:val="19"/>
              <w:szCs w:val="19"/>
            </w:rPr>
            <w:t xml:space="preserve"> </w:t>
          </w:r>
          <w:hyperlink w:anchor="bookmark77" w:history="1">
            <w:r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</w:rPr>
              <w:t>22</w:t>
            </w:r>
          </w:hyperlink>
        </w:p>
        <w:p>
          <w:pPr>
            <w:pStyle w:val="BodyText"/>
            <w:tabs>
              <w:tab w:val="right" w:leader="dot" w:pos="10355"/>
            </w:tabs>
            <w:spacing w:before="90" w:line="212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z w:val="19"/>
              <w:szCs w:val="19"/>
            </w:rPr>
            <w:t>图</w:t>
          </w:r>
          <w:r>
            <w:rPr>
              <w:spacing w:val="-30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>6</w:t>
          </w:r>
          <w:r>
            <w:rPr>
              <w:spacing w:val="-31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>0</w:t>
          </w:r>
          <w:r>
            <w:rPr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>:</w:t>
          </w:r>
          <w:r>
            <w:rPr>
              <w:spacing w:val="25"/>
              <w:w w:val="101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>截</w:t>
          </w:r>
          <w:r>
            <w:rPr>
              <w:spacing w:val="-34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>至</w:t>
          </w:r>
          <w:r>
            <w:rPr>
              <w:spacing w:val="-41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>3</w:t>
          </w:r>
          <w:r>
            <w:rPr>
              <w:spacing w:val="-32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>月</w:t>
          </w:r>
          <w:r>
            <w:rPr>
              <w:spacing w:val="-31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>1</w:t>
          </w:r>
          <w:r>
            <w:rPr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>日</w:t>
          </w:r>
          <w:r>
            <w:rPr>
              <w:spacing w:val="-48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>，</w:t>
          </w:r>
          <w:r>
            <w:rPr>
              <w:rFonts w:ascii="Times New Roman" w:eastAsia="Times New Roman" w:hAnsi="Times New Roman" w:cs="Times New Roman"/>
              <w:sz w:val="19"/>
              <w:szCs w:val="19"/>
            </w:rPr>
            <w:t>Mysteel</w:t>
          </w:r>
          <w:r>
            <w:rPr>
              <w:rFonts w:ascii="Times New Roman" w:eastAsia="Times New Roman" w:hAnsi="Times New Roman" w:cs="Times New Roman"/>
              <w:spacing w:val="45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>普钢价格指数4159.65元/吨，</w:t>
          </w:r>
          <w:r>
            <w:rPr>
              <w:spacing w:val="-1"/>
              <w:sz w:val="19"/>
              <w:szCs w:val="19"/>
            </w:rPr>
            <w:t>月环比-1.4%</w:t>
          </w:r>
          <w:r>
            <w:rPr>
              <w:spacing w:val="-82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78" w:history="1">
            <w:r>
              <w:rPr>
                <w:rFonts w:ascii="Times New Roman" w:eastAsia="Times New Roman" w:hAnsi="Times New Roman" w:cs="Times New Roman"/>
                <w:spacing w:val="4"/>
                <w:sz w:val="19"/>
                <w:szCs w:val="19"/>
              </w:rPr>
              <w:t>22</w:t>
            </w:r>
          </w:hyperlink>
        </w:p>
        <w:p>
          <w:pPr>
            <w:pStyle w:val="BodyText"/>
            <w:tabs>
              <w:tab w:val="right" w:leader="dot" w:pos="10355"/>
            </w:tabs>
            <w:spacing w:before="86" w:line="220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10"/>
              <w:sz w:val="19"/>
              <w:szCs w:val="19"/>
            </w:rPr>
            <w:t>图</w:t>
          </w:r>
          <w:r>
            <w:rPr>
              <w:spacing w:val="-35"/>
              <w:sz w:val="19"/>
              <w:szCs w:val="19"/>
            </w:rPr>
            <w:t xml:space="preserve"> </w:t>
          </w:r>
          <w:r>
            <w:rPr>
              <w:spacing w:val="10"/>
              <w:sz w:val="19"/>
              <w:szCs w:val="19"/>
            </w:rPr>
            <w:t>6</w:t>
          </w:r>
          <w:r>
            <w:rPr>
              <w:spacing w:val="-26"/>
              <w:sz w:val="19"/>
              <w:szCs w:val="19"/>
            </w:rPr>
            <w:t xml:space="preserve"> </w:t>
          </w:r>
          <w:r>
            <w:rPr>
              <w:spacing w:val="10"/>
              <w:sz w:val="19"/>
              <w:szCs w:val="19"/>
            </w:rPr>
            <w:t>1</w:t>
          </w:r>
          <w:r>
            <w:rPr>
              <w:spacing w:val="10"/>
              <w:sz w:val="19"/>
              <w:szCs w:val="19"/>
            </w:rPr>
            <w:t xml:space="preserve"> </w:t>
          </w:r>
          <w:r>
            <w:rPr>
              <w:spacing w:val="10"/>
              <w:sz w:val="19"/>
              <w:szCs w:val="19"/>
            </w:rPr>
            <w:t>:</w:t>
          </w:r>
          <w:r>
            <w:rPr>
              <w:spacing w:val="53"/>
              <w:sz w:val="19"/>
              <w:szCs w:val="19"/>
            </w:rPr>
            <w:t xml:space="preserve"> </w:t>
          </w:r>
          <w:r>
            <w:rPr>
              <w:spacing w:val="10"/>
              <w:sz w:val="19"/>
              <w:szCs w:val="19"/>
            </w:rPr>
            <w:t>截至3月1日，螺纹钢价格指数39</w:t>
          </w:r>
          <w:r>
            <w:rPr>
              <w:spacing w:val="9"/>
              <w:sz w:val="19"/>
              <w:szCs w:val="19"/>
            </w:rPr>
            <w:t>79.32元/吨，月环比-1.8%</w:t>
          </w:r>
          <w:r>
            <w:rPr>
              <w:spacing w:val="-71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79" w:history="1">
            <w:r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  <w:t>22</w:t>
            </w:r>
          </w:hyperlink>
        </w:p>
        <w:p>
          <w:pPr>
            <w:pStyle w:val="BodyText"/>
            <w:tabs>
              <w:tab w:val="right" w:leader="dot" w:pos="10265"/>
            </w:tabs>
            <w:spacing w:before="133" w:line="220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12"/>
              <w:sz w:val="19"/>
              <w:szCs w:val="19"/>
            </w:rPr>
            <w:t>图</w:t>
          </w:r>
          <w:r>
            <w:rPr>
              <w:spacing w:val="-23"/>
              <w:sz w:val="19"/>
              <w:szCs w:val="19"/>
            </w:rPr>
            <w:t xml:space="preserve"> </w:t>
          </w:r>
          <w:r>
            <w:rPr>
              <w:spacing w:val="12"/>
              <w:sz w:val="19"/>
              <w:szCs w:val="19"/>
            </w:rPr>
            <w:t>6</w:t>
          </w:r>
          <w:r>
            <w:rPr>
              <w:spacing w:val="-37"/>
              <w:sz w:val="19"/>
              <w:szCs w:val="19"/>
            </w:rPr>
            <w:t xml:space="preserve"> </w:t>
          </w:r>
          <w:r>
            <w:rPr>
              <w:spacing w:val="12"/>
              <w:sz w:val="19"/>
              <w:szCs w:val="19"/>
            </w:rPr>
            <w:t>2</w:t>
          </w:r>
          <w:r>
            <w:rPr>
              <w:spacing w:val="-9"/>
              <w:sz w:val="19"/>
              <w:szCs w:val="19"/>
            </w:rPr>
            <w:t xml:space="preserve"> </w:t>
          </w:r>
          <w:r>
            <w:rPr>
              <w:spacing w:val="12"/>
              <w:sz w:val="19"/>
              <w:szCs w:val="19"/>
            </w:rPr>
            <w:t>:</w:t>
          </w:r>
          <w:r>
            <w:rPr>
              <w:spacing w:val="52"/>
              <w:sz w:val="19"/>
              <w:szCs w:val="19"/>
            </w:rPr>
            <w:t xml:space="preserve"> </w:t>
          </w:r>
          <w:r>
            <w:rPr>
              <w:spacing w:val="12"/>
              <w:sz w:val="19"/>
              <w:szCs w:val="19"/>
            </w:rPr>
            <w:t>截至3月1日，热卷价格指数3994.74元/吨，月环比-1.5%</w:t>
          </w:r>
          <w:r>
            <w:rPr>
              <w:spacing w:val="-72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80" w:history="1">
            <w:r>
              <w:rPr>
                <w:rFonts w:ascii="Times New Roman" w:eastAsia="Times New Roman" w:hAnsi="Times New Roman" w:cs="Times New Roman"/>
                <w:spacing w:val="2"/>
                <w:sz w:val="19"/>
                <w:szCs w:val="19"/>
              </w:rPr>
              <w:t>23</w:t>
            </w:r>
          </w:hyperlink>
        </w:p>
        <w:p>
          <w:pPr>
            <w:pStyle w:val="BodyText"/>
            <w:tabs>
              <w:tab w:val="right" w:leader="dot" w:pos="10345"/>
            </w:tabs>
            <w:spacing w:before="24" w:line="220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6"/>
              <w:sz w:val="19"/>
              <w:szCs w:val="19"/>
            </w:rPr>
            <w:t>图</w:t>
          </w:r>
          <w:r>
            <w:rPr>
              <w:spacing w:val="-32"/>
              <w:sz w:val="19"/>
              <w:szCs w:val="19"/>
            </w:rPr>
            <w:t xml:space="preserve"> </w:t>
          </w:r>
          <w:r>
            <w:rPr>
              <w:spacing w:val="6"/>
              <w:sz w:val="19"/>
              <w:szCs w:val="19"/>
            </w:rPr>
            <w:t>6</w:t>
          </w:r>
          <w:r>
            <w:rPr>
              <w:spacing w:val="-38"/>
              <w:sz w:val="19"/>
              <w:szCs w:val="19"/>
            </w:rPr>
            <w:t xml:space="preserve"> </w:t>
          </w:r>
          <w:r>
            <w:rPr>
              <w:spacing w:val="6"/>
              <w:sz w:val="19"/>
              <w:szCs w:val="19"/>
            </w:rPr>
            <w:t>3</w:t>
          </w:r>
          <w:r>
            <w:rPr>
              <w:spacing w:val="6"/>
              <w:sz w:val="19"/>
              <w:szCs w:val="19"/>
            </w:rPr>
            <w:t xml:space="preserve"> </w:t>
          </w:r>
          <w:r>
            <w:rPr>
              <w:spacing w:val="6"/>
              <w:sz w:val="19"/>
              <w:szCs w:val="19"/>
            </w:rPr>
            <w:t>:</w:t>
          </w:r>
          <w:r>
            <w:rPr>
              <w:spacing w:val="50"/>
              <w:sz w:val="19"/>
              <w:szCs w:val="19"/>
            </w:rPr>
            <w:t xml:space="preserve"> </w:t>
          </w:r>
          <w:r>
            <w:rPr>
              <w:spacing w:val="6"/>
              <w:sz w:val="19"/>
              <w:szCs w:val="19"/>
            </w:rPr>
            <w:t>截至3月1日当周，五大材消费量</w:t>
          </w:r>
          <w:r>
            <w:rPr>
              <w:spacing w:val="6"/>
              <w:sz w:val="19"/>
              <w:szCs w:val="19"/>
            </w:rPr>
            <w:t xml:space="preserve"> </w:t>
          </w:r>
          <w:r>
            <w:rPr>
              <w:spacing w:val="6"/>
              <w:sz w:val="19"/>
              <w:szCs w:val="19"/>
            </w:rPr>
            <w:t>698.53</w:t>
          </w:r>
          <w:r>
            <w:rPr>
              <w:spacing w:val="36"/>
              <w:sz w:val="19"/>
              <w:szCs w:val="19"/>
            </w:rPr>
            <w:t xml:space="preserve"> </w:t>
          </w:r>
          <w:r>
            <w:rPr>
              <w:spacing w:val="6"/>
              <w:sz w:val="19"/>
              <w:szCs w:val="19"/>
            </w:rPr>
            <w:t>万吨，周环比+19.1%</w:t>
          </w:r>
          <w:r>
            <w:rPr>
              <w:spacing w:val="-71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81" w:history="1">
            <w:r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  <w:t>23</w:t>
            </w:r>
          </w:hyperlink>
        </w:p>
        <w:p>
          <w:pPr>
            <w:pStyle w:val="BodyText"/>
            <w:tabs>
              <w:tab w:val="right" w:leader="dot" w:pos="10355"/>
            </w:tabs>
            <w:spacing w:before="103" w:line="220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12"/>
              <w:sz w:val="19"/>
              <w:szCs w:val="19"/>
            </w:rPr>
            <w:t>图</w:t>
          </w:r>
          <w:r>
            <w:rPr>
              <w:spacing w:val="-36"/>
              <w:sz w:val="19"/>
              <w:szCs w:val="19"/>
            </w:rPr>
            <w:t xml:space="preserve"> </w:t>
          </w:r>
          <w:r>
            <w:rPr>
              <w:spacing w:val="12"/>
              <w:sz w:val="19"/>
              <w:szCs w:val="19"/>
            </w:rPr>
            <w:t>6</w:t>
          </w:r>
          <w:r>
            <w:rPr>
              <w:spacing w:val="-40"/>
              <w:sz w:val="19"/>
              <w:szCs w:val="19"/>
            </w:rPr>
            <w:t xml:space="preserve"> </w:t>
          </w:r>
          <w:r>
            <w:rPr>
              <w:spacing w:val="12"/>
              <w:sz w:val="19"/>
              <w:szCs w:val="19"/>
            </w:rPr>
            <w:t>4</w:t>
          </w:r>
          <w:r>
            <w:rPr>
              <w:spacing w:val="-10"/>
              <w:sz w:val="19"/>
              <w:szCs w:val="19"/>
            </w:rPr>
            <w:t xml:space="preserve"> </w:t>
          </w:r>
          <w:r>
            <w:rPr>
              <w:spacing w:val="12"/>
              <w:sz w:val="19"/>
              <w:szCs w:val="19"/>
            </w:rPr>
            <w:t>:</w:t>
          </w:r>
          <w:r>
            <w:rPr>
              <w:spacing w:val="53"/>
              <w:sz w:val="19"/>
              <w:szCs w:val="19"/>
            </w:rPr>
            <w:t xml:space="preserve"> </w:t>
          </w:r>
          <w:r>
            <w:rPr>
              <w:spacing w:val="12"/>
              <w:sz w:val="19"/>
              <w:szCs w:val="19"/>
            </w:rPr>
            <w:t>截至3月1日当周，五大材周度产量</w:t>
          </w:r>
          <w:r>
            <w:rPr>
              <w:spacing w:val="39"/>
              <w:sz w:val="19"/>
              <w:szCs w:val="19"/>
            </w:rPr>
            <w:t xml:space="preserve"> </w:t>
          </w:r>
          <w:r>
            <w:rPr>
              <w:spacing w:val="12"/>
              <w:sz w:val="19"/>
              <w:szCs w:val="19"/>
            </w:rPr>
            <w:t>820.41万吨，周环比</w:t>
          </w:r>
          <w:r>
            <w:rPr>
              <w:spacing w:val="11"/>
              <w:sz w:val="19"/>
              <w:szCs w:val="19"/>
            </w:rPr>
            <w:t>+3.11%</w:t>
          </w:r>
          <w:r>
            <w:rPr>
              <w:spacing w:val="-72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82" w:history="1">
            <w:r>
              <w:rPr>
                <w:rFonts w:ascii="Times New Roman" w:eastAsia="Times New Roman" w:hAnsi="Times New Roman" w:cs="Times New Roman"/>
                <w:spacing w:val="9"/>
                <w:sz w:val="19"/>
                <w:szCs w:val="19"/>
              </w:rPr>
              <w:t>23</w:t>
            </w:r>
          </w:hyperlink>
        </w:p>
        <w:p>
          <w:pPr>
            <w:pStyle w:val="BodyText"/>
            <w:tabs>
              <w:tab w:val="right" w:leader="dot" w:pos="10355"/>
            </w:tabs>
            <w:spacing w:before="70" w:line="212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13"/>
              <w:sz w:val="19"/>
              <w:szCs w:val="19"/>
            </w:rPr>
            <w:t>图</w:t>
          </w:r>
          <w:r>
            <w:rPr>
              <w:spacing w:val="-36"/>
              <w:sz w:val="19"/>
              <w:szCs w:val="19"/>
            </w:rPr>
            <w:t xml:space="preserve"> </w:t>
          </w:r>
          <w:r>
            <w:rPr>
              <w:spacing w:val="13"/>
              <w:sz w:val="19"/>
              <w:szCs w:val="19"/>
            </w:rPr>
            <w:t>6</w:t>
          </w:r>
          <w:r>
            <w:rPr>
              <w:spacing w:val="-40"/>
              <w:sz w:val="19"/>
              <w:szCs w:val="19"/>
            </w:rPr>
            <w:t xml:space="preserve"> </w:t>
          </w:r>
          <w:r>
            <w:rPr>
              <w:spacing w:val="13"/>
              <w:sz w:val="19"/>
              <w:szCs w:val="19"/>
            </w:rPr>
            <w:t>5</w:t>
          </w:r>
          <w:r>
            <w:rPr>
              <w:spacing w:val="-9"/>
              <w:sz w:val="19"/>
              <w:szCs w:val="19"/>
            </w:rPr>
            <w:t xml:space="preserve"> </w:t>
          </w:r>
          <w:r>
            <w:rPr>
              <w:spacing w:val="13"/>
              <w:sz w:val="19"/>
              <w:szCs w:val="19"/>
            </w:rPr>
            <w:t>:</w:t>
          </w:r>
          <w:r>
            <w:rPr>
              <w:spacing w:val="52"/>
              <w:sz w:val="19"/>
              <w:szCs w:val="19"/>
            </w:rPr>
            <w:t xml:space="preserve"> </w:t>
          </w:r>
          <w:r>
            <w:rPr>
              <w:spacing w:val="13"/>
              <w:sz w:val="19"/>
              <w:szCs w:val="19"/>
            </w:rPr>
            <w:t>截至3月1日当周，247家钢铁企业高炉开工率75</w:t>
          </w:r>
          <w:r>
            <w:rPr>
              <w:spacing w:val="12"/>
              <w:sz w:val="19"/>
              <w:szCs w:val="19"/>
            </w:rPr>
            <w:t>.19%,周环比-0.44</w:t>
          </w:r>
          <w:r>
            <w:rPr>
              <w:rFonts w:ascii="Times New Roman" w:eastAsia="Times New Roman" w:hAnsi="Times New Roman" w:cs="Times New Roman"/>
              <w:sz w:val="19"/>
              <w:szCs w:val="19"/>
            </w:rPr>
            <w:t>pct</w:t>
          </w:r>
          <w:r>
            <w:rPr>
              <w:rFonts w:ascii="Times New Roman" w:eastAsia="Times New Roman" w:hAnsi="Times New Roman" w:cs="Times New Roman"/>
              <w:spacing w:val="12"/>
              <w:sz w:val="19"/>
              <w:szCs w:val="19"/>
            </w:rPr>
            <w:t xml:space="preserve">  </w:t>
          </w:r>
          <w:r>
            <w:rPr>
              <w:rFonts w:ascii="Times New Roman" w:eastAsia="Times New Roman" w:hAnsi="Times New Roman" w:cs="Times New Roman"/>
              <w:sz w:val="19"/>
              <w:szCs w:val="19"/>
            </w:rPr>
            <w:tab/>
          </w:r>
          <w:r>
            <w:rPr>
              <w:rFonts w:ascii="Times New Roman" w:eastAsia="Times New Roman" w:hAnsi="Times New Roman" w:cs="Times New Roman"/>
              <w:spacing w:val="-6"/>
              <w:sz w:val="19"/>
              <w:szCs w:val="19"/>
            </w:rPr>
            <w:t xml:space="preserve"> </w:t>
          </w:r>
          <w:hyperlink w:anchor="bookmark83" w:history="1">
            <w:r>
              <w:rPr>
                <w:rFonts w:ascii="Times New Roman" w:eastAsia="Times New Roman" w:hAnsi="Times New Roman" w:cs="Times New Roman"/>
                <w:spacing w:val="-1"/>
                <w:sz w:val="19"/>
                <w:szCs w:val="19"/>
              </w:rPr>
              <w:t>23</w:t>
            </w:r>
          </w:hyperlink>
        </w:p>
        <w:p>
          <w:pPr>
            <w:pStyle w:val="BodyText"/>
            <w:tabs>
              <w:tab w:val="right" w:leader="dot" w:pos="10355"/>
            </w:tabs>
            <w:spacing w:before="96" w:line="220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12"/>
              <w:sz w:val="19"/>
              <w:szCs w:val="19"/>
            </w:rPr>
            <w:t>图</w:t>
          </w:r>
          <w:r>
            <w:rPr>
              <w:spacing w:val="-35"/>
              <w:sz w:val="19"/>
              <w:szCs w:val="19"/>
            </w:rPr>
            <w:t xml:space="preserve"> </w:t>
          </w:r>
          <w:r>
            <w:rPr>
              <w:spacing w:val="12"/>
              <w:sz w:val="19"/>
              <w:szCs w:val="19"/>
            </w:rPr>
            <w:t>6</w:t>
          </w:r>
          <w:r>
            <w:rPr>
              <w:spacing w:val="-36"/>
              <w:sz w:val="19"/>
              <w:szCs w:val="19"/>
            </w:rPr>
            <w:t xml:space="preserve"> </w:t>
          </w:r>
          <w:r>
            <w:rPr>
              <w:spacing w:val="12"/>
              <w:sz w:val="19"/>
              <w:szCs w:val="19"/>
            </w:rPr>
            <w:t>6</w:t>
          </w:r>
          <w:r>
            <w:rPr>
              <w:spacing w:val="-10"/>
              <w:sz w:val="19"/>
              <w:szCs w:val="19"/>
            </w:rPr>
            <w:t xml:space="preserve"> </w:t>
          </w:r>
          <w:r>
            <w:rPr>
              <w:spacing w:val="12"/>
              <w:sz w:val="19"/>
              <w:szCs w:val="19"/>
            </w:rPr>
            <w:t>:</w:t>
          </w:r>
          <w:r>
            <w:rPr>
              <w:spacing w:val="53"/>
              <w:sz w:val="19"/>
              <w:szCs w:val="19"/>
            </w:rPr>
            <w:t xml:space="preserve"> </w:t>
          </w:r>
          <w:r>
            <w:rPr>
              <w:spacing w:val="12"/>
              <w:sz w:val="19"/>
              <w:szCs w:val="19"/>
            </w:rPr>
            <w:t>截至3月1日当周，钢坯库存195.68万吨，周环比</w:t>
          </w:r>
          <w:r>
            <w:rPr>
              <w:spacing w:val="11"/>
              <w:sz w:val="19"/>
              <w:szCs w:val="19"/>
            </w:rPr>
            <w:t>-4.3%</w:t>
          </w:r>
          <w:r>
            <w:rPr>
              <w:spacing w:val="-81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84" w:history="1">
            <w:r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  <w:t>24</w:t>
            </w:r>
          </w:hyperlink>
        </w:p>
      </w:sdtContent>
    </w:sdt>
    <w:p>
      <w:pPr>
        <w:spacing w:line="220" w:lineRule="auto"/>
        <w:rPr>
          <w:rFonts w:ascii="Times New Roman" w:eastAsia="Times New Roman" w:hAnsi="Times New Roman" w:cs="Times New Roman"/>
          <w:sz w:val="19"/>
          <w:szCs w:val="19"/>
        </w:rPr>
        <w:sectPr>
          <w:footerReference w:type="default" r:id="rId14"/>
          <w:type w:val="nextPage"/>
          <w:pgSz w:w="11910" w:h="16840"/>
          <w:pgMar w:top="156" w:right="660" w:bottom="1129" w:left="719" w:header="0" w:footer="860" w:gutter="0"/>
          <w:pgNumType w:start="8"/>
          <w:cols w:space="708"/>
          <w:titlePg w:val="0"/>
        </w:sectPr>
      </w:pPr>
    </w:p>
    <w:p>
      <w:pPr>
        <w:spacing w:before="153"/>
        <w:ind w:left="180"/>
        <w:rPr>
          <w:rFonts w:ascii="SimSun" w:eastAsia="SimSun" w:hAnsi="SimSun" w:cs="SimSun"/>
          <w:sz w:val="59"/>
          <w:szCs w:val="59"/>
        </w:rPr>
      </w:pPr>
      <w:r>
        <w:rPr>
          <w:rFonts w:ascii="SimSun" w:eastAsia="SimSun" w:hAnsi="SimSun" w:cs="SimSun"/>
          <w:position w:val="-17"/>
          <w:sz w:val="59"/>
          <w:szCs w:val="59"/>
        </w:rPr>
        <w:drawing>
          <wp:inline distT="0" distB="0" distL="0" distR="0">
            <wp:extent cx="571449" cy="488901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449" cy="488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b/>
          <w:bCs/>
          <w:spacing w:val="48"/>
          <w:sz w:val="59"/>
          <w:szCs w:val="59"/>
        </w:rPr>
        <w:t>开源证券</w:t>
      </w:r>
    </w:p>
    <w:p>
      <w:pPr>
        <w:spacing w:before="63" w:line="219" w:lineRule="auto"/>
        <w:ind w:left="9552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b/>
          <w:bCs/>
          <w:spacing w:val="11"/>
          <w:sz w:val="19"/>
          <w:szCs w:val="19"/>
        </w:rPr>
        <w:t>行业周报</w:t>
      </w:r>
    </w:p>
    <w:sdt>
      <w:sdtPr>
        <w:rPr>
          <w:rFonts w:ascii="KaiTi" w:eastAsia="KaiTi" w:hAnsi="KaiTi" w:cs="KaiTi"/>
          <w:sz w:val="19"/>
          <w:szCs w:val="19"/>
        </w:rPr>
        <w:id w:val="1060424006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19"/>
          <w:szCs w:val="19"/>
        </w:rPr>
      </w:sdtEndPr>
      <w:sdtContent>
        <w:p>
          <w:pPr>
            <w:pStyle w:val="BodyText"/>
            <w:tabs>
              <w:tab w:val="right" w:leader="dot" w:pos="10345"/>
            </w:tabs>
            <w:spacing w:before="139" w:line="220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17"/>
              <w:sz w:val="19"/>
              <w:szCs w:val="19"/>
            </w:rPr>
            <w:t>图67:</w:t>
          </w:r>
          <w:r>
            <w:rPr>
              <w:spacing w:val="103"/>
              <w:sz w:val="19"/>
              <w:szCs w:val="19"/>
            </w:rPr>
            <w:t xml:space="preserve"> </w:t>
          </w:r>
          <w:r>
            <w:rPr>
              <w:spacing w:val="17"/>
              <w:sz w:val="19"/>
              <w:szCs w:val="19"/>
            </w:rPr>
            <w:t>截至3月1日当周，五大材库存2432.69万吨，周环比+5.3%</w:t>
          </w:r>
          <w:r>
            <w:rPr>
              <w:spacing w:val="-71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85" w:history="1">
            <w:r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  <w:t>24</w:t>
            </w:r>
          </w:hyperlink>
        </w:p>
        <w:p>
          <w:pPr>
            <w:pStyle w:val="BodyText"/>
            <w:tabs>
              <w:tab w:val="right" w:leader="dot" w:pos="10335"/>
            </w:tabs>
            <w:spacing w:before="73" w:line="220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13"/>
              <w:sz w:val="19"/>
              <w:szCs w:val="19"/>
            </w:rPr>
            <w:t>图68:</w:t>
          </w:r>
          <w:r>
            <w:rPr>
              <w:spacing w:val="90"/>
              <w:sz w:val="19"/>
              <w:szCs w:val="19"/>
            </w:rPr>
            <w:t xml:space="preserve"> </w:t>
          </w:r>
          <w:r>
            <w:rPr>
              <w:spacing w:val="13"/>
              <w:sz w:val="19"/>
              <w:szCs w:val="19"/>
            </w:rPr>
            <w:t>截至3月1日，长流程螺纹钢吨钢利润-174.1元/吨，月环比+45.6%</w:t>
          </w:r>
          <w:r>
            <w:rPr>
              <w:spacing w:val="-71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86" w:history="1">
            <w:r>
              <w:rPr>
                <w:rFonts w:ascii="Times New Roman" w:eastAsia="Times New Roman" w:hAnsi="Times New Roman" w:cs="Times New Roman"/>
                <w:spacing w:val="3"/>
                <w:sz w:val="19"/>
                <w:szCs w:val="19"/>
              </w:rPr>
              <w:t>24</w:t>
            </w:r>
          </w:hyperlink>
        </w:p>
        <w:p>
          <w:pPr>
            <w:pStyle w:val="BodyText"/>
            <w:tabs>
              <w:tab w:val="right" w:leader="dot" w:pos="10345"/>
            </w:tabs>
            <w:spacing w:before="114" w:line="220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12"/>
              <w:sz w:val="19"/>
              <w:szCs w:val="19"/>
            </w:rPr>
            <w:t>图</w:t>
          </w:r>
          <w:r>
            <w:rPr>
              <w:spacing w:val="-29"/>
              <w:sz w:val="19"/>
              <w:szCs w:val="19"/>
            </w:rPr>
            <w:t xml:space="preserve"> </w:t>
          </w:r>
          <w:r>
            <w:rPr>
              <w:spacing w:val="12"/>
              <w:sz w:val="19"/>
              <w:szCs w:val="19"/>
            </w:rPr>
            <w:t>6</w:t>
          </w:r>
          <w:r>
            <w:rPr>
              <w:spacing w:val="-38"/>
              <w:sz w:val="19"/>
              <w:szCs w:val="19"/>
            </w:rPr>
            <w:t xml:space="preserve"> </w:t>
          </w:r>
          <w:r>
            <w:rPr>
              <w:spacing w:val="12"/>
              <w:sz w:val="19"/>
              <w:szCs w:val="19"/>
            </w:rPr>
            <w:t>9</w:t>
          </w:r>
          <w:r>
            <w:rPr>
              <w:spacing w:val="12"/>
              <w:sz w:val="19"/>
              <w:szCs w:val="19"/>
            </w:rPr>
            <w:t xml:space="preserve"> </w:t>
          </w:r>
          <w:r>
            <w:rPr>
              <w:spacing w:val="12"/>
              <w:sz w:val="19"/>
              <w:szCs w:val="19"/>
            </w:rPr>
            <w:t>:</w:t>
          </w:r>
          <w:r>
            <w:rPr>
              <w:spacing w:val="55"/>
              <w:sz w:val="19"/>
              <w:szCs w:val="19"/>
            </w:rPr>
            <w:t xml:space="preserve"> </w:t>
          </w:r>
          <w:r>
            <w:rPr>
              <w:spacing w:val="12"/>
              <w:sz w:val="19"/>
              <w:szCs w:val="19"/>
            </w:rPr>
            <w:t>截至3月1日，热卷吨钢利润-169.39元/吨，月环比+46%</w:t>
          </w:r>
          <w:r>
            <w:rPr>
              <w:spacing w:val="-81"/>
              <w:sz w:val="19"/>
              <w:szCs w:val="19"/>
            </w:rPr>
            <w:t xml:space="preserve"> </w:t>
          </w:r>
          <w:r>
            <w:rPr>
              <w:sz w:val="19"/>
              <w:szCs w:val="19"/>
            </w:rPr>
            <w:tab/>
          </w:r>
          <w:hyperlink w:anchor="bookmark87" w:history="1">
            <w:r>
              <w:rPr>
                <w:rFonts w:ascii="Times New Roman" w:eastAsia="Times New Roman" w:hAnsi="Times New Roman" w:cs="Times New Roman"/>
                <w:spacing w:val="2"/>
                <w:sz w:val="19"/>
                <w:szCs w:val="19"/>
              </w:rPr>
              <w:t>24</w:t>
            </w:r>
          </w:hyperlink>
        </w:p>
        <w:p>
          <w:pPr>
            <w:spacing w:line="392" w:lineRule="auto"/>
            <w:rPr>
              <w:rFonts w:ascii="Arial"/>
              <w:sz w:val="21"/>
            </w:rPr>
          </w:pPr>
        </w:p>
        <w:p>
          <w:pPr>
            <w:pStyle w:val="BodyText"/>
            <w:tabs>
              <w:tab w:val="right" w:leader="dot" w:pos="10345"/>
            </w:tabs>
            <w:spacing w:before="62" w:line="223" w:lineRule="auto"/>
            <w:rPr>
              <w:rFonts w:ascii="Times New Roman" w:eastAsia="Times New Roman" w:hAnsi="Times New Roman" w:cs="Times New Roman"/>
              <w:sz w:val="19"/>
              <w:szCs w:val="19"/>
            </w:rPr>
          </w:pPr>
          <w:r>
            <w:rPr>
              <w:spacing w:val="15"/>
              <w:sz w:val="19"/>
              <w:szCs w:val="19"/>
            </w:rPr>
            <w:t>表</w:t>
          </w:r>
          <w:r>
            <w:rPr>
              <w:spacing w:val="-25"/>
              <w:sz w:val="19"/>
              <w:szCs w:val="19"/>
            </w:rPr>
            <w:t xml:space="preserve"> </w:t>
          </w:r>
          <w:r>
            <w:rPr>
              <w:spacing w:val="15"/>
              <w:sz w:val="19"/>
              <w:szCs w:val="19"/>
            </w:rPr>
            <w:t>1</w:t>
          </w:r>
          <w:r>
            <w:rPr>
              <w:spacing w:val="-16"/>
              <w:sz w:val="19"/>
              <w:szCs w:val="19"/>
            </w:rPr>
            <w:t xml:space="preserve"> </w:t>
          </w:r>
          <w:r>
            <w:rPr>
              <w:spacing w:val="15"/>
              <w:sz w:val="19"/>
              <w:szCs w:val="19"/>
            </w:rPr>
            <w:t>:</w:t>
          </w:r>
          <w:r>
            <w:rPr>
              <w:spacing w:val="75"/>
              <w:sz w:val="19"/>
              <w:szCs w:val="19"/>
            </w:rPr>
            <w:t xml:space="preserve"> </w:t>
          </w:r>
          <w:r>
            <w:rPr>
              <w:spacing w:val="15"/>
              <w:sz w:val="19"/>
              <w:szCs w:val="19"/>
            </w:rPr>
            <w:t>海外铜企2024年产量指引情况(单位：万吨)</w:t>
          </w:r>
          <w:r>
            <w:rPr>
              <w:sz w:val="19"/>
              <w:szCs w:val="19"/>
            </w:rPr>
            <w:tab/>
          </w:r>
          <w:hyperlink w:anchor="bookmark88" w:history="1"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>6</w:t>
            </w:r>
          </w:hyperlink>
        </w:p>
      </w:sdtContent>
    </w:sdt>
    <w:p>
      <w:pPr>
        <w:spacing w:line="223" w:lineRule="auto"/>
        <w:rPr>
          <w:rFonts w:ascii="Times New Roman" w:eastAsia="Times New Roman" w:hAnsi="Times New Roman" w:cs="Times New Roman"/>
          <w:sz w:val="19"/>
          <w:szCs w:val="19"/>
        </w:rPr>
        <w:sectPr>
          <w:footerReference w:type="default" r:id="rId15"/>
          <w:pgSz w:w="11910" w:h="16840"/>
          <w:pgMar w:top="156" w:right="660" w:bottom="1129" w:left="719" w:header="0" w:footer="856" w:gutter="0"/>
          <w:pgNumType w:start="9"/>
          <w:cols w:space="708"/>
        </w:sectPr>
      </w:pPr>
    </w:p>
    <w:p>
      <w:pPr>
        <w:spacing w:before="153" w:line="226" w:lineRule="auto"/>
        <w:ind w:left="170"/>
        <w:rPr>
          <w:rFonts w:ascii="YouYuan" w:eastAsia="YouYuan" w:hAnsi="YouYuan" w:cs="YouYuan"/>
          <w:sz w:val="60"/>
          <w:szCs w:val="60"/>
        </w:rPr>
      </w:pPr>
      <w:bookmarkStart w:id="0" w:name="bookmark1"/>
      <w:bookmarkEnd w:id="0"/>
      <w:bookmarkStart w:id="1" w:name="bookmark2"/>
      <w:bookmarkEnd w:id="1"/>
      <w:bookmarkStart w:id="2" w:name="bookmark3"/>
      <w:bookmarkEnd w:id="2"/>
      <w:bookmarkStart w:id="3" w:name="bookmark4"/>
      <w:bookmarkEnd w:id="3"/>
      <w:r>
        <w:rPr>
          <w:rFonts w:ascii="YouYuan" w:eastAsia="YouYuan" w:hAnsi="YouYuan" w:cs="YouYuan"/>
          <w:position w:val="-21"/>
          <w:sz w:val="60"/>
          <w:szCs w:val="60"/>
        </w:rPr>
        <w:drawing>
          <wp:inline distT="0" distB="0" distL="0" distR="0">
            <wp:extent cx="577801" cy="488901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7801" cy="488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YouYuan" w:eastAsia="YouYuan" w:hAnsi="YouYuan" w:cs="YouYuan"/>
          <w:b/>
          <w:bCs/>
          <w:spacing w:val="33"/>
          <w:sz w:val="60"/>
          <w:szCs w:val="60"/>
        </w:rPr>
        <w:t>开源证券</w:t>
      </w:r>
    </w:p>
    <w:p>
      <w:pPr>
        <w:pStyle w:val="BodyText"/>
        <w:spacing w:before="34" w:line="227" w:lineRule="auto"/>
        <w:ind w:left="9107"/>
        <w:rPr>
          <w:sz w:val="22"/>
          <w:szCs w:val="22"/>
        </w:rPr>
      </w:pPr>
      <w:r>
        <w:pict>
          <v:rect id="_x0000_s1030" style="width:516.55pt;height:0.55pt;margin-top:12.17pt;margin-left:1.5pt;position:absolute;z-index:251662336" filled="t" fillcolor="black" stroked="f"/>
        </w:pict>
      </w:r>
      <w:r>
        <w:rPr>
          <w:b/>
          <w:bCs/>
          <w:spacing w:val="-12"/>
          <w:sz w:val="22"/>
          <w:szCs w:val="22"/>
        </w:rPr>
        <w:t>行</w:t>
      </w:r>
      <w:r>
        <w:rPr>
          <w:spacing w:val="37"/>
          <w:sz w:val="22"/>
          <w:szCs w:val="22"/>
        </w:rPr>
        <w:t xml:space="preserve"> </w:t>
      </w:r>
      <w:r>
        <w:rPr>
          <w:b/>
          <w:bCs/>
          <w:spacing w:val="-12"/>
          <w:sz w:val="22"/>
          <w:szCs w:val="22"/>
        </w:rPr>
        <w:t>业</w:t>
      </w:r>
      <w:r>
        <w:rPr>
          <w:spacing w:val="25"/>
          <w:sz w:val="22"/>
          <w:szCs w:val="22"/>
        </w:rPr>
        <w:t xml:space="preserve"> </w:t>
      </w:r>
      <w:r>
        <w:rPr>
          <w:b/>
          <w:bCs/>
          <w:spacing w:val="-12"/>
          <w:sz w:val="22"/>
          <w:szCs w:val="22"/>
        </w:rPr>
        <w:t>周</w:t>
      </w:r>
      <w:r>
        <w:rPr>
          <w:spacing w:val="23"/>
          <w:sz w:val="22"/>
          <w:szCs w:val="22"/>
        </w:rPr>
        <w:t xml:space="preserve"> </w:t>
      </w:r>
      <w:r>
        <w:rPr>
          <w:b/>
          <w:bCs/>
          <w:spacing w:val="-12"/>
          <w:sz w:val="22"/>
          <w:szCs w:val="22"/>
        </w:rPr>
        <w:t>报</w:t>
      </w:r>
    </w:p>
    <w:p>
      <w:pPr>
        <w:pStyle w:val="BodyText"/>
        <w:spacing w:before="251" w:line="220" w:lineRule="auto"/>
        <w:ind w:left="2814"/>
        <w:outlineLvl w:val="1"/>
        <w:rPr>
          <w:sz w:val="29"/>
          <w:szCs w:val="29"/>
        </w:rPr>
      </w:pPr>
      <w:r>
        <w:rPr>
          <w:b/>
          <w:bCs/>
          <w:color w:val="000080"/>
          <w:spacing w:val="-12"/>
          <w:sz w:val="29"/>
          <w:szCs w:val="29"/>
        </w:rPr>
        <w:t>1、</w:t>
      </w:r>
      <w:r>
        <w:rPr>
          <w:color w:val="000080"/>
          <w:spacing w:val="-12"/>
          <w:sz w:val="29"/>
          <w:szCs w:val="29"/>
        </w:rPr>
        <w:t xml:space="preserve"> </w:t>
      </w:r>
      <w:r>
        <w:rPr>
          <w:b/>
          <w:bCs/>
          <w:color w:val="000080"/>
          <w:spacing w:val="-12"/>
          <w:sz w:val="29"/>
          <w:szCs w:val="29"/>
        </w:rPr>
        <w:t>月度策略：3月看多黄金、锡，股息策略优选铝、钼</w:t>
      </w:r>
    </w:p>
    <w:p>
      <w:pPr>
        <w:spacing w:line="275" w:lineRule="auto"/>
        <w:rPr>
          <w:rFonts w:ascii="Arial"/>
          <w:sz w:val="21"/>
        </w:rPr>
      </w:pPr>
    </w:p>
    <w:p>
      <w:pPr>
        <w:pStyle w:val="BodyText"/>
        <w:spacing w:before="68" w:line="450" w:lineRule="exact"/>
        <w:ind w:left="2813"/>
        <w:rPr>
          <w:sz w:val="21"/>
          <w:szCs w:val="21"/>
        </w:rPr>
      </w:pPr>
      <w:r>
        <w:rPr>
          <w:b/>
          <w:bCs/>
          <w:color w:val="000080"/>
          <w:spacing w:val="20"/>
          <w:position w:val="18"/>
          <w:sz w:val="21"/>
          <w:szCs w:val="21"/>
        </w:rPr>
        <w:t>1.1、</w:t>
      </w:r>
      <w:r>
        <w:rPr>
          <w:color w:val="000080"/>
          <w:spacing w:val="82"/>
          <w:position w:val="18"/>
          <w:sz w:val="21"/>
          <w:szCs w:val="21"/>
        </w:rPr>
        <w:t xml:space="preserve"> </w:t>
      </w:r>
      <w:r>
        <w:rPr>
          <w:b/>
          <w:bCs/>
          <w:color w:val="000080"/>
          <w:spacing w:val="20"/>
          <w:position w:val="18"/>
          <w:sz w:val="21"/>
          <w:szCs w:val="21"/>
        </w:rPr>
        <w:t>自上而下：预期降息主基调下，黄金再迎配置节点</w:t>
      </w:r>
    </w:p>
    <w:p>
      <w:pPr>
        <w:pStyle w:val="BodyText"/>
        <w:spacing w:line="220" w:lineRule="auto"/>
        <w:ind w:left="2812"/>
        <w:rPr>
          <w:sz w:val="21"/>
          <w:szCs w:val="21"/>
        </w:rPr>
      </w:pPr>
      <w:r>
        <w:rPr>
          <w:b/>
          <w:bCs/>
          <w:color w:val="000080"/>
          <w:spacing w:val="-2"/>
          <w:sz w:val="21"/>
          <w:szCs w:val="21"/>
        </w:rPr>
        <w:t>1.1.1、</w:t>
      </w:r>
      <w:r>
        <w:rPr>
          <w:color w:val="000080"/>
          <w:spacing w:val="-46"/>
          <w:sz w:val="21"/>
          <w:szCs w:val="21"/>
        </w:rPr>
        <w:t xml:space="preserve"> </w:t>
      </w:r>
      <w:r>
        <w:rPr>
          <w:b/>
          <w:bCs/>
          <w:color w:val="000080"/>
          <w:spacing w:val="-2"/>
          <w:sz w:val="21"/>
          <w:szCs w:val="21"/>
        </w:rPr>
        <w:t>降息预期再起，金价进入3月后</w:t>
      </w:r>
      <w:r>
        <w:rPr>
          <w:b/>
          <w:bCs/>
          <w:color w:val="000080"/>
          <w:spacing w:val="-3"/>
          <w:sz w:val="21"/>
          <w:szCs w:val="21"/>
        </w:rPr>
        <w:t>快速走强</w:t>
      </w:r>
    </w:p>
    <w:p>
      <w:pPr>
        <w:pStyle w:val="BodyText"/>
        <w:spacing w:before="211" w:line="259" w:lineRule="auto"/>
        <w:ind w:left="2813" w:right="87" w:firstLine="439"/>
        <w:jc w:val="both"/>
        <w:rPr>
          <w:sz w:val="21"/>
          <w:szCs w:val="21"/>
        </w:rPr>
      </w:pPr>
      <w:r>
        <w:rPr>
          <w:b/>
          <w:bCs/>
          <w:spacing w:val="4"/>
          <w:sz w:val="21"/>
          <w:szCs w:val="21"/>
        </w:rPr>
        <w:t>3月5日伦敦现货黄金价格收2119.89美元/盎司，创下20</w:t>
      </w:r>
      <w:r>
        <w:rPr>
          <w:b/>
          <w:bCs/>
          <w:spacing w:val="3"/>
          <w:sz w:val="21"/>
          <w:szCs w:val="21"/>
        </w:rPr>
        <w:t>24年新高。主要原因</w:t>
      </w:r>
      <w:r>
        <w:rPr>
          <w:spacing w:val="3"/>
          <w:sz w:val="21"/>
          <w:szCs w:val="21"/>
        </w:rPr>
        <w:t xml:space="preserve"> </w:t>
      </w:r>
      <w:r>
        <w:rPr>
          <w:b/>
          <w:bCs/>
          <w:spacing w:val="-2"/>
          <w:sz w:val="21"/>
          <w:szCs w:val="21"/>
        </w:rPr>
        <w:t>在于</w:t>
      </w:r>
      <w:r>
        <w:rPr>
          <w:rFonts w:ascii="Times New Roman" w:eastAsia="Times New Roman" w:hAnsi="Times New Roman" w:cs="Times New Roman"/>
          <w:b/>
          <w:bCs/>
          <w:spacing w:val="-2"/>
          <w:sz w:val="21"/>
          <w:szCs w:val="21"/>
        </w:rPr>
        <w:t>PCE</w:t>
      </w:r>
      <w:r>
        <w:rPr>
          <w:rFonts w:ascii="Times New Roman" w:eastAsia="Times New Roman" w:hAnsi="Times New Roman" w:cs="Times New Roman"/>
          <w:b/>
          <w:bCs/>
          <w:spacing w:val="17"/>
          <w:sz w:val="21"/>
          <w:szCs w:val="21"/>
        </w:rPr>
        <w:t xml:space="preserve"> </w:t>
      </w:r>
      <w:r>
        <w:rPr>
          <w:b/>
          <w:bCs/>
          <w:spacing w:val="-2"/>
          <w:sz w:val="21"/>
          <w:szCs w:val="21"/>
        </w:rPr>
        <w:t>的如期下降，使得市场降低了对于二次通胀的担忧，美国经济数据不</w:t>
      </w:r>
      <w:r>
        <w:rPr>
          <w:b/>
          <w:bCs/>
          <w:spacing w:val="-3"/>
          <w:sz w:val="21"/>
          <w:szCs w:val="21"/>
        </w:rPr>
        <w:t>及预</w:t>
      </w:r>
      <w:r>
        <w:rPr>
          <w:sz w:val="21"/>
          <w:szCs w:val="21"/>
        </w:rPr>
        <w:t xml:space="preserve"> </w:t>
      </w:r>
      <w:r>
        <w:rPr>
          <w:b/>
          <w:bCs/>
          <w:spacing w:val="-1"/>
          <w:sz w:val="21"/>
          <w:szCs w:val="21"/>
        </w:rPr>
        <w:t>期，消费者信心下降，预示强劲的美国经济正在退温，纽约社区银行再暴雷，市场</w:t>
      </w:r>
      <w:r>
        <w:rPr>
          <w:spacing w:val="-1"/>
          <w:sz w:val="21"/>
          <w:szCs w:val="21"/>
        </w:rPr>
        <w:t xml:space="preserve"> </w:t>
      </w:r>
      <w:r>
        <w:rPr>
          <w:b/>
          <w:bCs/>
          <w:spacing w:val="1"/>
          <w:sz w:val="21"/>
          <w:szCs w:val="21"/>
        </w:rPr>
        <w:t>避险情绪浓厚，市场纷纷预测美联储6月降息，刺激金价上行。</w:t>
      </w:r>
    </w:p>
    <w:p>
      <w:pPr>
        <w:pStyle w:val="BodyText"/>
        <w:tabs>
          <w:tab w:val="left" w:pos="2930"/>
        </w:tabs>
        <w:spacing w:before="223" w:line="267" w:lineRule="auto"/>
        <w:ind w:left="2810" w:right="94" w:firstLine="442"/>
        <w:rPr>
          <w:sz w:val="21"/>
          <w:szCs w:val="21"/>
        </w:rPr>
      </w:pPr>
      <w:r>
        <w:rPr>
          <w:b/>
          <w:bCs/>
          <w:spacing w:val="-3"/>
          <w:sz w:val="21"/>
          <w:szCs w:val="21"/>
        </w:rPr>
        <w:t>美联储理事</w:t>
      </w:r>
      <w:r>
        <w:rPr>
          <w:rFonts w:ascii="Times New Roman" w:eastAsia="Times New Roman" w:hAnsi="Times New Roman" w:cs="Times New Roman"/>
          <w:b/>
          <w:bCs/>
          <w:spacing w:val="-3"/>
          <w:sz w:val="21"/>
          <w:szCs w:val="21"/>
        </w:rPr>
        <w:t>Waller</w:t>
      </w:r>
      <w:r>
        <w:rPr>
          <w:rFonts w:ascii="Times New Roman" w:eastAsia="Times New Roman" w:hAnsi="Times New Roman" w:cs="Times New Roman"/>
          <w:b/>
          <w:bCs/>
          <w:spacing w:val="28"/>
          <w:w w:val="101"/>
          <w:sz w:val="21"/>
          <w:szCs w:val="21"/>
        </w:rPr>
        <w:t xml:space="preserve"> </w:t>
      </w:r>
      <w:r>
        <w:rPr>
          <w:b/>
          <w:bCs/>
          <w:spacing w:val="-3"/>
          <w:sz w:val="21"/>
          <w:szCs w:val="21"/>
        </w:rPr>
        <w:t>认为量化宽松</w:t>
      </w:r>
      <w:r>
        <w:rPr>
          <w:spacing w:val="-2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1"/>
          <w:szCs w:val="21"/>
        </w:rPr>
        <w:t>(QE)</w:t>
      </w:r>
      <w:r>
        <w:rPr>
          <w:rFonts w:ascii="Times New Roman" w:eastAsia="Times New Roman" w:hAnsi="Times New Roman" w:cs="Times New Roman"/>
          <w:b/>
          <w:bCs/>
          <w:spacing w:val="21"/>
          <w:w w:val="101"/>
          <w:sz w:val="21"/>
          <w:szCs w:val="21"/>
        </w:rPr>
        <w:t xml:space="preserve">  </w:t>
      </w:r>
      <w:r>
        <w:rPr>
          <w:b/>
          <w:bCs/>
          <w:spacing w:val="-3"/>
          <w:sz w:val="21"/>
          <w:szCs w:val="21"/>
        </w:rPr>
        <w:t>具有正收益。</w:t>
      </w:r>
      <w:r>
        <w:rPr>
          <w:spacing w:val="-3"/>
          <w:sz w:val="21"/>
          <w:szCs w:val="21"/>
        </w:rPr>
        <w:t>3</w:t>
      </w:r>
      <w:r>
        <w:rPr>
          <w:spacing w:val="-3"/>
          <w:sz w:val="21"/>
          <w:szCs w:val="21"/>
        </w:rPr>
        <w:t xml:space="preserve"> </w:t>
      </w:r>
      <w:r>
        <w:rPr>
          <w:spacing w:val="-3"/>
          <w:sz w:val="21"/>
          <w:szCs w:val="21"/>
        </w:rPr>
        <w:t>月</w:t>
      </w:r>
      <w:r>
        <w:rPr>
          <w:spacing w:val="-3"/>
          <w:sz w:val="21"/>
          <w:szCs w:val="21"/>
        </w:rPr>
        <w:t xml:space="preserve"> </w:t>
      </w:r>
      <w:r>
        <w:rPr>
          <w:spacing w:val="-3"/>
          <w:sz w:val="21"/>
          <w:szCs w:val="21"/>
        </w:rPr>
        <w:t>1日美联储理事沃勒</w:t>
      </w:r>
      <w:r>
        <w:rPr>
          <w:sz w:val="21"/>
          <w:szCs w:val="21"/>
        </w:rPr>
        <w:t xml:space="preserve"> </w:t>
      </w:r>
      <w:r>
        <w:rPr>
          <w:rFonts w:ascii="SimSun" w:eastAsia="SimSun" w:hAnsi="SimSun" w:cs="SimSun"/>
          <w:sz w:val="21"/>
          <w:szCs w:val="21"/>
        </w:rPr>
        <w:tab/>
      </w:r>
      <w:r>
        <w:rPr>
          <w:rFonts w:ascii="SimSun" w:eastAsia="SimSun" w:hAnsi="SimSun" w:cs="SimSun"/>
          <w:spacing w:val="-7"/>
          <w:sz w:val="21"/>
          <w:szCs w:val="21"/>
        </w:rPr>
        <w:t>(Christopher Waller)</w:t>
      </w:r>
      <w:r>
        <w:rPr>
          <w:spacing w:val="-7"/>
          <w:sz w:val="21"/>
          <w:szCs w:val="21"/>
        </w:rPr>
        <w:t>在美国货币政策论坛上表示，</w:t>
      </w:r>
      <w:r>
        <w:rPr>
          <w:b/>
          <w:bCs/>
          <w:spacing w:val="-7"/>
          <w:sz w:val="21"/>
          <w:szCs w:val="21"/>
        </w:rPr>
        <w:t>量化宽松</w:t>
      </w:r>
      <w:r>
        <w:rPr>
          <w:rFonts w:ascii="SimSun" w:eastAsia="SimSun" w:hAnsi="SimSun" w:cs="SimSun"/>
          <w:b/>
          <w:bCs/>
          <w:spacing w:val="-7"/>
          <w:sz w:val="21"/>
          <w:szCs w:val="21"/>
        </w:rPr>
        <w:t>(QE)</w:t>
      </w:r>
      <w:r>
        <w:rPr>
          <w:rFonts w:ascii="SimSun" w:eastAsia="SimSun" w:hAnsi="SimSun" w:cs="SimSun"/>
          <w:spacing w:val="81"/>
          <w:sz w:val="21"/>
          <w:szCs w:val="21"/>
        </w:rPr>
        <w:t xml:space="preserve"> </w:t>
      </w:r>
      <w:r>
        <w:rPr>
          <w:b/>
          <w:bCs/>
          <w:spacing w:val="-7"/>
          <w:sz w:val="21"/>
          <w:szCs w:val="21"/>
        </w:rPr>
        <w:t>和量化紧缩</w:t>
      </w:r>
      <w:r>
        <w:rPr>
          <w:rFonts w:ascii="SimSun" w:eastAsia="SimSun" w:hAnsi="SimSun" w:cs="SimSun"/>
          <w:b/>
          <w:bCs/>
          <w:spacing w:val="-7"/>
          <w:sz w:val="21"/>
          <w:szCs w:val="21"/>
        </w:rPr>
        <w:t>(QT</w:t>
      </w:r>
      <w:r>
        <w:rPr>
          <w:rFonts w:ascii="SimSun" w:eastAsia="SimSun" w:hAnsi="SimSun" w:cs="SimSun"/>
          <w:spacing w:val="-48"/>
          <w:sz w:val="21"/>
          <w:szCs w:val="21"/>
        </w:rPr>
        <w:t xml:space="preserve"> </w:t>
      </w:r>
      <w:r>
        <w:rPr>
          <w:spacing w:val="-7"/>
          <w:sz w:val="21"/>
          <w:szCs w:val="21"/>
        </w:rPr>
        <w:t>)</w:t>
      </w:r>
      <w:r>
        <w:rPr>
          <w:sz w:val="21"/>
          <w:szCs w:val="21"/>
        </w:rPr>
        <w:t xml:space="preserve"> </w:t>
      </w:r>
      <w:r>
        <w:rPr>
          <w:b/>
          <w:bCs/>
          <w:spacing w:val="-2"/>
          <w:sz w:val="21"/>
          <w:szCs w:val="21"/>
        </w:rPr>
        <w:t>效果不对等，</w:t>
      </w:r>
      <w:r>
        <w:rPr>
          <w:rFonts w:ascii="Times New Roman" w:eastAsia="Times New Roman" w:hAnsi="Times New Roman" w:cs="Times New Roman"/>
          <w:b/>
          <w:bCs/>
          <w:spacing w:val="-2"/>
          <w:sz w:val="21"/>
          <w:szCs w:val="21"/>
        </w:rPr>
        <w:t xml:space="preserve">QE </w:t>
      </w:r>
      <w:r>
        <w:rPr>
          <w:b/>
          <w:bCs/>
          <w:spacing w:val="-2"/>
          <w:sz w:val="21"/>
          <w:szCs w:val="21"/>
        </w:rPr>
        <w:t>具有净收益(净的正面价值),这也表明</w:t>
      </w:r>
      <w:r>
        <w:rPr>
          <w:spacing w:val="-3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1"/>
          <w:szCs w:val="21"/>
        </w:rPr>
        <w:t xml:space="preserve">Waller </w:t>
      </w:r>
      <w:r>
        <w:rPr>
          <w:b/>
          <w:bCs/>
          <w:spacing w:val="-2"/>
          <w:sz w:val="21"/>
          <w:szCs w:val="21"/>
        </w:rPr>
        <w:t>更加倾向使</w:t>
      </w:r>
      <w:r>
        <w:rPr>
          <w:b/>
          <w:bCs/>
          <w:spacing w:val="-3"/>
          <w:sz w:val="21"/>
          <w:szCs w:val="21"/>
        </w:rPr>
        <w:t>用</w:t>
      </w:r>
      <w:r>
        <w:rPr>
          <w:spacing w:val="-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1"/>
          <w:szCs w:val="21"/>
        </w:rPr>
        <w:t>QE,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 xml:space="preserve">     </w:t>
      </w:r>
      <w:r>
        <w:rPr>
          <w:b/>
          <w:bCs/>
          <w:spacing w:val="-2"/>
          <w:sz w:val="21"/>
          <w:szCs w:val="21"/>
        </w:rPr>
        <w:t>释放流动性。</w:t>
      </w:r>
      <w:r>
        <w:rPr>
          <w:spacing w:val="-2"/>
          <w:sz w:val="21"/>
          <w:szCs w:val="21"/>
        </w:rPr>
        <w:t>同时</w:t>
      </w:r>
      <w:r>
        <w:rPr>
          <w:spacing w:val="-33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2"/>
          <w:sz w:val="21"/>
          <w:szCs w:val="21"/>
        </w:rPr>
        <w:t>Waller</w:t>
      </w:r>
      <w:r>
        <w:rPr>
          <w:rFonts w:ascii="SimSun" w:eastAsia="SimSun" w:hAnsi="SimSun" w:cs="SimSun"/>
          <w:spacing w:val="-34"/>
          <w:sz w:val="21"/>
          <w:szCs w:val="21"/>
        </w:rPr>
        <w:t xml:space="preserve"> </w:t>
      </w:r>
      <w:r>
        <w:rPr>
          <w:spacing w:val="-2"/>
          <w:sz w:val="21"/>
          <w:szCs w:val="21"/>
        </w:rPr>
        <w:t>认为美联储应该提高短</w:t>
      </w:r>
      <w:r>
        <w:rPr>
          <w:spacing w:val="-3"/>
          <w:sz w:val="21"/>
          <w:szCs w:val="21"/>
        </w:rPr>
        <w:t>期美债在资产负债表中的比例，并</w:t>
      </w:r>
      <w:r>
        <w:rPr>
          <w:sz w:val="21"/>
          <w:szCs w:val="21"/>
        </w:rPr>
        <w:t xml:space="preserve"> </w:t>
      </w:r>
      <w:r>
        <w:rPr>
          <w:spacing w:val="-5"/>
          <w:sz w:val="21"/>
          <w:szCs w:val="21"/>
        </w:rPr>
        <w:t>将所持有的机构抵押贷款支持证券</w:t>
      </w:r>
      <w:r>
        <w:rPr>
          <w:spacing w:val="-32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5"/>
          <w:sz w:val="21"/>
          <w:szCs w:val="21"/>
        </w:rPr>
        <w:t>(MBS)</w:t>
      </w:r>
      <w:r>
        <w:rPr>
          <w:rFonts w:ascii="SimSun" w:eastAsia="SimSun" w:hAnsi="SimSun" w:cs="SimSun"/>
          <w:spacing w:val="35"/>
          <w:sz w:val="21"/>
          <w:szCs w:val="21"/>
        </w:rPr>
        <w:t xml:space="preserve">  </w:t>
      </w:r>
      <w:r>
        <w:rPr>
          <w:spacing w:val="-5"/>
          <w:sz w:val="21"/>
          <w:szCs w:val="21"/>
        </w:rPr>
        <w:t>降至零。“买短抛长”建议导致美国</w:t>
      </w:r>
      <w:r>
        <w:rPr>
          <w:spacing w:val="-6"/>
          <w:sz w:val="21"/>
          <w:szCs w:val="21"/>
        </w:rPr>
        <w:t>短期</w:t>
      </w:r>
      <w:r>
        <w:rPr>
          <w:sz w:val="21"/>
          <w:szCs w:val="21"/>
        </w:rPr>
        <w:t xml:space="preserve"> </w:t>
      </w:r>
      <w:r>
        <w:rPr>
          <w:spacing w:val="-6"/>
          <w:sz w:val="21"/>
          <w:szCs w:val="21"/>
        </w:rPr>
        <w:t>国债收益率快速下降。</w:t>
      </w:r>
    </w:p>
    <w:p>
      <w:pPr>
        <w:pStyle w:val="BodyText"/>
        <w:spacing w:before="214" w:line="258" w:lineRule="auto"/>
        <w:ind w:left="2810" w:right="116" w:firstLine="442"/>
        <w:jc w:val="both"/>
        <w:rPr>
          <w:sz w:val="21"/>
          <w:szCs w:val="21"/>
        </w:rPr>
      </w:pPr>
      <w:r>
        <w:rPr>
          <w:b/>
          <w:bCs/>
          <w:spacing w:val="11"/>
          <w:sz w:val="21"/>
          <w:szCs w:val="21"/>
        </w:rPr>
        <w:t>美国1月核心</w:t>
      </w:r>
      <w:r>
        <w:rPr>
          <w:spacing w:val="-40"/>
          <w:sz w:val="21"/>
          <w:szCs w:val="21"/>
        </w:rPr>
        <w:t xml:space="preserve"> </w:t>
      </w:r>
      <w:r>
        <w:rPr>
          <w:rFonts w:ascii="SimSun" w:eastAsia="SimSun" w:hAnsi="SimSun" w:cs="SimSun"/>
          <w:b/>
          <w:bCs/>
          <w:sz w:val="21"/>
          <w:szCs w:val="21"/>
        </w:rPr>
        <w:t>PCE</w:t>
      </w:r>
      <w:r>
        <w:rPr>
          <w:rFonts w:ascii="SimSun" w:eastAsia="SimSun" w:hAnsi="SimSun" w:cs="SimSun"/>
          <w:spacing w:val="65"/>
          <w:sz w:val="21"/>
          <w:szCs w:val="21"/>
        </w:rPr>
        <w:t xml:space="preserve"> </w:t>
      </w:r>
      <w:r>
        <w:rPr>
          <w:b/>
          <w:bCs/>
          <w:spacing w:val="11"/>
          <w:sz w:val="21"/>
          <w:szCs w:val="21"/>
        </w:rPr>
        <w:t>数据符合预期，通胀压力减小。</w:t>
      </w:r>
      <w:r>
        <w:rPr>
          <w:spacing w:val="11"/>
          <w:sz w:val="21"/>
          <w:szCs w:val="21"/>
        </w:rPr>
        <w:t>2月29日，美国发布1月</w:t>
      </w:r>
      <w:r>
        <w:rPr>
          <w:sz w:val="21"/>
          <w:szCs w:val="21"/>
        </w:rPr>
        <w:t xml:space="preserve"> </w:t>
      </w:r>
      <w:r>
        <w:rPr>
          <w:rFonts w:ascii="SimSun" w:eastAsia="SimSun" w:hAnsi="SimSun" w:cs="SimSun"/>
          <w:sz w:val="21"/>
          <w:szCs w:val="21"/>
        </w:rPr>
        <w:t>PCE</w:t>
      </w:r>
      <w:r>
        <w:rPr>
          <w:rFonts w:ascii="SimSun" w:eastAsia="SimSun" w:hAnsi="SimSun" w:cs="SimSun"/>
          <w:spacing w:val="15"/>
          <w:sz w:val="21"/>
          <w:szCs w:val="21"/>
        </w:rPr>
        <w:t xml:space="preserve"> </w:t>
      </w:r>
      <w:r>
        <w:rPr>
          <w:spacing w:val="15"/>
          <w:sz w:val="21"/>
          <w:szCs w:val="21"/>
        </w:rPr>
        <w:t>数据，同比2.4%,预期2.4%,前值2</w:t>
      </w:r>
      <w:r>
        <w:rPr>
          <w:spacing w:val="14"/>
          <w:sz w:val="21"/>
          <w:szCs w:val="21"/>
        </w:rPr>
        <w:t>.6%,延续回落态势。</w:t>
      </w:r>
      <w:r>
        <w:rPr>
          <w:rFonts w:ascii="SimSun" w:eastAsia="SimSun" w:hAnsi="SimSun" w:cs="SimSun"/>
          <w:sz w:val="21"/>
          <w:szCs w:val="21"/>
        </w:rPr>
        <w:t>PCE</w:t>
      </w:r>
      <w:r>
        <w:rPr>
          <w:rFonts w:ascii="SimSun" w:eastAsia="SimSun" w:hAnsi="SimSun" w:cs="SimSun"/>
          <w:spacing w:val="14"/>
          <w:sz w:val="21"/>
          <w:szCs w:val="21"/>
        </w:rPr>
        <w:t xml:space="preserve"> </w:t>
      </w:r>
      <w:r>
        <w:rPr>
          <w:spacing w:val="14"/>
          <w:sz w:val="21"/>
          <w:szCs w:val="21"/>
        </w:rPr>
        <w:t>是美联储密切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关注的通胀指标，如今</w:t>
      </w:r>
      <w:r>
        <w:rPr>
          <w:rFonts w:ascii="Times New Roman" w:eastAsia="Times New Roman" w:hAnsi="Times New Roman" w:cs="Times New Roman"/>
          <w:sz w:val="21"/>
          <w:szCs w:val="21"/>
        </w:rPr>
        <w:t>PCE</w:t>
      </w:r>
      <w:r>
        <w:rPr>
          <w:rFonts w:ascii="Times New Roman" w:eastAsia="Times New Roman" w:hAnsi="Times New Roman" w:cs="Times New Roman"/>
          <w:spacing w:val="17"/>
          <w:sz w:val="21"/>
          <w:szCs w:val="21"/>
        </w:rPr>
        <w:t xml:space="preserve"> </w:t>
      </w:r>
      <w:r>
        <w:rPr>
          <w:sz w:val="21"/>
          <w:szCs w:val="21"/>
        </w:rPr>
        <w:t>符合预期回落，使得美联储与市场对二次通胀的</w:t>
      </w:r>
      <w:r>
        <w:rPr>
          <w:spacing w:val="-1"/>
          <w:sz w:val="21"/>
          <w:szCs w:val="21"/>
        </w:rPr>
        <w:t>担忧下</w:t>
      </w:r>
      <w:r>
        <w:rPr>
          <w:sz w:val="21"/>
          <w:szCs w:val="21"/>
        </w:rPr>
        <w:t xml:space="preserve"> </w:t>
      </w:r>
      <w:r>
        <w:rPr>
          <w:spacing w:val="-3"/>
          <w:sz w:val="21"/>
          <w:szCs w:val="21"/>
        </w:rPr>
        <w:t>降，美联储降息预期将进一步加强。</w:t>
      </w:r>
    </w:p>
    <w:p>
      <w:pPr>
        <w:pStyle w:val="BodyText"/>
        <w:spacing w:before="228" w:line="263" w:lineRule="auto"/>
        <w:ind w:left="2810" w:right="78" w:firstLine="442"/>
        <w:jc w:val="both"/>
        <w:rPr>
          <w:sz w:val="21"/>
          <w:szCs w:val="21"/>
        </w:rPr>
      </w:pPr>
      <w:r>
        <w:rPr>
          <w:b/>
          <w:bCs/>
          <w:spacing w:val="2"/>
          <w:sz w:val="21"/>
          <w:szCs w:val="21"/>
        </w:rPr>
        <w:t>纽约社区银行再暴雷，市场避险情绪浓厚。</w:t>
      </w:r>
      <w:r>
        <w:rPr>
          <w:spacing w:val="2"/>
          <w:sz w:val="21"/>
          <w:szCs w:val="21"/>
        </w:rPr>
        <w:t>2月29日盘后纽约社区银行发布公</w:t>
      </w:r>
      <w:r>
        <w:rPr>
          <w:spacing w:val="9"/>
          <w:sz w:val="21"/>
          <w:szCs w:val="21"/>
        </w:rPr>
        <w:t xml:space="preserve"> </w:t>
      </w:r>
      <w:r>
        <w:rPr>
          <w:spacing w:val="-3"/>
          <w:sz w:val="21"/>
          <w:szCs w:val="21"/>
        </w:rPr>
        <w:t>告称由于发现贷款审查流程存在问题，减记24亿美元商誉，修正</w:t>
      </w:r>
      <w:r>
        <w:rPr>
          <w:spacing w:val="-4"/>
          <w:sz w:val="21"/>
          <w:szCs w:val="21"/>
        </w:rPr>
        <w:t>2023</w:t>
      </w:r>
      <w:r>
        <w:rPr>
          <w:rFonts w:ascii="Times New Roman" w:eastAsia="Times New Roman" w:hAnsi="Times New Roman" w:cs="Times New Roman"/>
          <w:spacing w:val="-4"/>
          <w:sz w:val="21"/>
          <w:szCs w:val="21"/>
        </w:rPr>
        <w:t>Q4</w:t>
      </w:r>
      <w:r>
        <w:rPr>
          <w:rFonts w:ascii="Times New Roman" w:eastAsia="Times New Roman" w:hAnsi="Times New Roman" w:cs="Times New Roman"/>
          <w:spacing w:val="18"/>
          <w:w w:val="101"/>
          <w:sz w:val="21"/>
          <w:szCs w:val="21"/>
        </w:rPr>
        <w:t xml:space="preserve"> </w:t>
      </w:r>
      <w:r>
        <w:rPr>
          <w:spacing w:val="-4"/>
          <w:sz w:val="21"/>
          <w:szCs w:val="21"/>
        </w:rPr>
        <w:t>亏损至-27.1</w:t>
      </w:r>
      <w:r>
        <w:rPr>
          <w:sz w:val="21"/>
          <w:szCs w:val="21"/>
        </w:rPr>
        <w:t xml:space="preserve"> </w:t>
      </w:r>
      <w:r>
        <w:rPr>
          <w:spacing w:val="6"/>
          <w:sz w:val="21"/>
          <w:szCs w:val="21"/>
        </w:rPr>
        <w:t>亿美元(1月底公布为-2.52亿美元),惠</w:t>
      </w:r>
      <w:r>
        <w:rPr>
          <w:spacing w:val="5"/>
          <w:sz w:val="21"/>
          <w:szCs w:val="21"/>
        </w:rPr>
        <w:t>誉将其长期发行人违约评级从</w:t>
      </w:r>
      <w:r>
        <w:rPr>
          <w:spacing w:val="-2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BBB</w:t>
      </w:r>
      <w:r>
        <w:rPr>
          <w:rFonts w:ascii="Times New Roman" w:eastAsia="Times New Roman" w:hAnsi="Times New Roman" w:cs="Times New Roman"/>
          <w:spacing w:val="5"/>
          <w:sz w:val="21"/>
          <w:szCs w:val="21"/>
        </w:rPr>
        <w:t>-</w:t>
      </w:r>
      <w:r>
        <w:rPr>
          <w:spacing w:val="5"/>
          <w:sz w:val="21"/>
          <w:szCs w:val="21"/>
        </w:rPr>
        <w:t>下调至</w:t>
      </w:r>
      <w:r>
        <w:rPr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BB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+,  </w:t>
      </w:r>
      <w:r>
        <w:rPr>
          <w:spacing w:val="3"/>
          <w:sz w:val="21"/>
          <w:szCs w:val="21"/>
        </w:rPr>
        <w:t>穆迪也将其评级从</w:t>
      </w:r>
      <w:r>
        <w:rPr>
          <w:rFonts w:ascii="Times New Roman" w:eastAsia="Times New Roman" w:hAnsi="Times New Roman" w:cs="Times New Roman"/>
          <w:sz w:val="21"/>
          <w:szCs w:val="21"/>
        </w:rPr>
        <w:t>Ba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>2</w:t>
      </w:r>
      <w:r>
        <w:rPr>
          <w:rFonts w:ascii="Times New Roman" w:eastAsia="Times New Roman" w:hAnsi="Times New Roman" w:cs="Times New Roman"/>
          <w:spacing w:val="23"/>
          <w:w w:val="101"/>
          <w:sz w:val="21"/>
          <w:szCs w:val="21"/>
        </w:rPr>
        <w:t xml:space="preserve"> </w:t>
      </w:r>
      <w:r>
        <w:rPr>
          <w:spacing w:val="3"/>
          <w:sz w:val="21"/>
          <w:szCs w:val="21"/>
        </w:rPr>
        <w:t>调低至B3,3</w:t>
      </w:r>
      <w:r>
        <w:rPr>
          <w:spacing w:val="3"/>
          <w:sz w:val="21"/>
          <w:szCs w:val="21"/>
        </w:rPr>
        <w:t xml:space="preserve">  </w:t>
      </w:r>
      <w:r>
        <w:rPr>
          <w:spacing w:val="3"/>
          <w:sz w:val="21"/>
          <w:szCs w:val="21"/>
        </w:rPr>
        <w:t>月</w:t>
      </w:r>
      <w:r>
        <w:rPr>
          <w:spacing w:val="3"/>
          <w:sz w:val="21"/>
          <w:szCs w:val="21"/>
        </w:rPr>
        <w:t xml:space="preserve"> </w:t>
      </w:r>
      <w:r>
        <w:rPr>
          <w:spacing w:val="3"/>
          <w:sz w:val="21"/>
          <w:szCs w:val="21"/>
        </w:rPr>
        <w:t>1日</w:t>
      </w:r>
      <w:r>
        <w:rPr>
          <w:spacing w:val="2"/>
          <w:sz w:val="21"/>
          <w:szCs w:val="21"/>
        </w:rPr>
        <w:t>纽约社区银行股价盘中一度跌超</w:t>
      </w:r>
      <w:r>
        <w:rPr>
          <w:sz w:val="21"/>
          <w:szCs w:val="21"/>
        </w:rPr>
        <w:t xml:space="preserve"> </w:t>
      </w:r>
      <w:r>
        <w:rPr>
          <w:spacing w:val="17"/>
          <w:sz w:val="21"/>
          <w:szCs w:val="21"/>
        </w:rPr>
        <w:t>30%,最终收跌25.9%,3月4日股价再次收跌23.10%。</w:t>
      </w:r>
    </w:p>
    <w:p>
      <w:pPr>
        <w:pStyle w:val="BodyText"/>
        <w:spacing w:before="223" w:line="220" w:lineRule="auto"/>
        <w:ind w:left="3253"/>
        <w:rPr>
          <w:sz w:val="21"/>
          <w:szCs w:val="21"/>
        </w:rPr>
      </w:pPr>
      <w:r>
        <w:rPr>
          <w:b/>
          <w:bCs/>
          <w:spacing w:val="-11"/>
          <w:sz w:val="21"/>
          <w:szCs w:val="21"/>
        </w:rPr>
        <w:t>美</w:t>
      </w:r>
      <w:r>
        <w:rPr>
          <w:spacing w:val="-16"/>
          <w:sz w:val="21"/>
          <w:szCs w:val="21"/>
        </w:rPr>
        <w:t xml:space="preserve"> </w:t>
      </w:r>
      <w:r>
        <w:rPr>
          <w:b/>
          <w:bCs/>
          <w:spacing w:val="-11"/>
          <w:sz w:val="21"/>
          <w:szCs w:val="21"/>
        </w:rPr>
        <w:t>国</w:t>
      </w:r>
      <w:r>
        <w:rPr>
          <w:spacing w:val="-48"/>
          <w:sz w:val="21"/>
          <w:szCs w:val="21"/>
        </w:rPr>
        <w:t xml:space="preserve"> </w:t>
      </w:r>
      <w:r>
        <w:rPr>
          <w:b/>
          <w:bCs/>
          <w:spacing w:val="-11"/>
          <w:sz w:val="21"/>
          <w:szCs w:val="21"/>
        </w:rPr>
        <w:t>2</w:t>
      </w:r>
      <w:r>
        <w:rPr>
          <w:spacing w:val="-37"/>
          <w:sz w:val="21"/>
          <w:szCs w:val="21"/>
        </w:rPr>
        <w:t xml:space="preserve"> </w:t>
      </w:r>
      <w:r>
        <w:rPr>
          <w:b/>
          <w:bCs/>
          <w:spacing w:val="-11"/>
          <w:sz w:val="21"/>
          <w:szCs w:val="21"/>
        </w:rPr>
        <w:t>月</w:t>
      </w:r>
      <w:r>
        <w:rPr>
          <w:rFonts w:ascii="Times New Roman" w:eastAsia="Times New Roman" w:hAnsi="Times New Roman" w:cs="Times New Roman"/>
          <w:b/>
          <w:bCs/>
          <w:spacing w:val="-11"/>
          <w:sz w:val="21"/>
          <w:szCs w:val="21"/>
        </w:rPr>
        <w:t>PMI</w:t>
      </w:r>
      <w:r>
        <w:rPr>
          <w:rFonts w:ascii="Times New Roman" w:eastAsia="Times New Roman" w:hAnsi="Times New Roman" w:cs="Times New Roman"/>
          <w:b/>
          <w:bCs/>
          <w:spacing w:val="-12"/>
          <w:sz w:val="21"/>
          <w:szCs w:val="21"/>
        </w:rPr>
        <w:t xml:space="preserve"> </w:t>
      </w:r>
      <w:r>
        <w:rPr>
          <w:b/>
          <w:bCs/>
          <w:spacing w:val="-11"/>
          <w:sz w:val="21"/>
          <w:szCs w:val="21"/>
        </w:rPr>
        <w:t>数据不及预期，消费者信心指数下降，强劲的美国经济正在退温。</w:t>
      </w:r>
    </w:p>
    <w:p>
      <w:pPr>
        <w:pStyle w:val="BodyText"/>
        <w:spacing w:before="56" w:line="257" w:lineRule="auto"/>
        <w:ind w:left="2810" w:right="106"/>
        <w:jc w:val="both"/>
        <w:rPr>
          <w:sz w:val="21"/>
          <w:szCs w:val="21"/>
        </w:rPr>
      </w:pPr>
      <w:r>
        <w:rPr>
          <w:spacing w:val="2"/>
          <w:sz w:val="21"/>
          <w:szCs w:val="21"/>
        </w:rPr>
        <w:t>美</w:t>
      </w:r>
      <w:r>
        <w:rPr>
          <w:spacing w:val="2"/>
          <w:sz w:val="21"/>
          <w:szCs w:val="21"/>
        </w:rPr>
        <w:t xml:space="preserve"> </w:t>
      </w:r>
      <w:r>
        <w:rPr>
          <w:spacing w:val="2"/>
          <w:sz w:val="21"/>
          <w:szCs w:val="21"/>
        </w:rPr>
        <w:t>国</w:t>
      </w:r>
      <w:r>
        <w:rPr>
          <w:spacing w:val="-33"/>
          <w:sz w:val="21"/>
          <w:szCs w:val="21"/>
        </w:rPr>
        <w:t xml:space="preserve"> </w:t>
      </w:r>
      <w:r>
        <w:rPr>
          <w:spacing w:val="2"/>
          <w:sz w:val="21"/>
          <w:szCs w:val="21"/>
        </w:rPr>
        <w:t>2</w:t>
      </w:r>
      <w:r>
        <w:rPr>
          <w:spacing w:val="-25"/>
          <w:sz w:val="21"/>
          <w:szCs w:val="21"/>
        </w:rPr>
        <w:t xml:space="preserve"> </w:t>
      </w:r>
      <w:r>
        <w:rPr>
          <w:spacing w:val="2"/>
          <w:sz w:val="21"/>
          <w:szCs w:val="21"/>
        </w:rPr>
        <w:t>月</w:t>
      </w:r>
      <w:r>
        <w:rPr>
          <w:rFonts w:ascii="Times New Roman" w:eastAsia="Times New Roman" w:hAnsi="Times New Roman" w:cs="Times New Roman"/>
          <w:sz w:val="21"/>
          <w:szCs w:val="21"/>
        </w:rPr>
        <w:t>ISM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 </w:t>
      </w:r>
      <w:r>
        <w:rPr>
          <w:spacing w:val="2"/>
          <w:sz w:val="21"/>
          <w:szCs w:val="21"/>
        </w:rPr>
        <w:t>制造业</w:t>
      </w:r>
      <w:r>
        <w:rPr>
          <w:spacing w:val="-4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PMI</w:t>
      </w:r>
      <w:r>
        <w:rPr>
          <w:rFonts w:ascii="Times New Roman" w:eastAsia="Times New Roman" w:hAnsi="Times New Roman" w:cs="Times New Roman"/>
          <w:spacing w:val="2"/>
          <w:sz w:val="21"/>
          <w:szCs w:val="21"/>
        </w:rPr>
        <w:t xml:space="preserve">47.8,    </w:t>
      </w:r>
      <w:r>
        <w:rPr>
          <w:spacing w:val="2"/>
          <w:sz w:val="21"/>
          <w:szCs w:val="21"/>
        </w:rPr>
        <w:t>预期49.5,前值49.1,其中，新订单、产出和就业</w:t>
      </w:r>
      <w:r>
        <w:rPr>
          <w:sz w:val="21"/>
          <w:szCs w:val="21"/>
        </w:rPr>
        <w:t xml:space="preserve"> </w:t>
      </w:r>
      <w:r>
        <w:rPr>
          <w:spacing w:val="-1"/>
          <w:sz w:val="21"/>
          <w:szCs w:val="21"/>
        </w:rPr>
        <w:t>均出现萎缩。2月密歇根大学消费者信心指数</w:t>
      </w:r>
      <w:r>
        <w:rPr>
          <w:spacing w:val="-2"/>
          <w:sz w:val="21"/>
          <w:szCs w:val="21"/>
        </w:rPr>
        <w:t>近三个月以来首次下降，预示美国终端</w:t>
      </w:r>
      <w:r>
        <w:rPr>
          <w:sz w:val="21"/>
          <w:szCs w:val="21"/>
        </w:rPr>
        <w:t xml:space="preserve"> </w:t>
      </w:r>
      <w:r>
        <w:rPr>
          <w:spacing w:val="-2"/>
          <w:sz w:val="21"/>
          <w:szCs w:val="21"/>
        </w:rPr>
        <w:t>消费走弱，制造业需求走软，表明强劲的美国经济正在退温。</w:t>
      </w:r>
    </w:p>
    <w:p>
      <w:pPr>
        <w:pStyle w:val="BodyText"/>
        <w:spacing w:before="214" w:line="256" w:lineRule="auto"/>
        <w:ind w:left="2810" w:right="101" w:firstLine="442"/>
        <w:jc w:val="both"/>
        <w:rPr>
          <w:sz w:val="21"/>
          <w:szCs w:val="21"/>
        </w:rPr>
      </w:pPr>
      <w:r>
        <w:rPr>
          <w:b/>
          <w:bCs/>
          <w:spacing w:val="2"/>
          <w:sz w:val="21"/>
          <w:szCs w:val="21"/>
        </w:rPr>
        <w:t>多位联储官员偏鸽讲话，为放松市场流动性做准备。</w:t>
      </w:r>
      <w:r>
        <w:rPr>
          <w:spacing w:val="2"/>
          <w:sz w:val="21"/>
          <w:szCs w:val="21"/>
        </w:rPr>
        <w:t>北京时间2月29日深夜至</w:t>
      </w:r>
      <w:r>
        <w:rPr>
          <w:spacing w:val="18"/>
          <w:sz w:val="21"/>
          <w:szCs w:val="21"/>
        </w:rPr>
        <w:t xml:space="preserve"> </w:t>
      </w:r>
      <w:r>
        <w:rPr>
          <w:spacing w:val="-4"/>
          <w:sz w:val="21"/>
          <w:szCs w:val="21"/>
        </w:rPr>
        <w:t>3</w:t>
      </w:r>
      <w:r>
        <w:rPr>
          <w:spacing w:val="-4"/>
          <w:sz w:val="21"/>
          <w:szCs w:val="21"/>
        </w:rPr>
        <w:t xml:space="preserve"> </w:t>
      </w:r>
      <w:r>
        <w:rPr>
          <w:spacing w:val="-4"/>
          <w:sz w:val="21"/>
          <w:szCs w:val="21"/>
        </w:rPr>
        <w:t>月</w:t>
      </w:r>
      <w:r>
        <w:rPr>
          <w:spacing w:val="-4"/>
          <w:sz w:val="21"/>
          <w:szCs w:val="21"/>
        </w:rPr>
        <w:t xml:space="preserve"> </w:t>
      </w:r>
      <w:r>
        <w:rPr>
          <w:spacing w:val="-4"/>
          <w:sz w:val="21"/>
          <w:szCs w:val="21"/>
        </w:rPr>
        <w:t>1日凌晨，多位美联储高官发表讲话，亚特兰大联储主席博斯蒂克表示</w:t>
      </w:r>
      <w:r>
        <w:rPr>
          <w:spacing w:val="-5"/>
          <w:sz w:val="21"/>
          <w:szCs w:val="21"/>
        </w:rPr>
        <w:t>今年夏天</w:t>
      </w:r>
      <w:r>
        <w:rPr>
          <w:sz w:val="21"/>
          <w:szCs w:val="21"/>
        </w:rPr>
        <w:t xml:space="preserve"> </w:t>
      </w:r>
      <w:r>
        <w:rPr>
          <w:spacing w:val="2"/>
          <w:sz w:val="21"/>
          <w:szCs w:val="21"/>
        </w:rPr>
        <w:t>开始降息可能是合适的。旧金山联储主席戴利</w:t>
      </w:r>
      <w:r>
        <w:rPr>
          <w:spacing w:val="1"/>
          <w:sz w:val="21"/>
          <w:szCs w:val="21"/>
        </w:rPr>
        <w:t>表示，美联储官员们已准备好根据需</w:t>
      </w:r>
      <w:r>
        <w:rPr>
          <w:sz w:val="21"/>
          <w:szCs w:val="21"/>
        </w:rPr>
        <w:t xml:space="preserve"> </w:t>
      </w:r>
      <w:r>
        <w:rPr>
          <w:spacing w:val="1"/>
          <w:sz w:val="21"/>
          <w:szCs w:val="21"/>
        </w:rPr>
        <w:t>要降低利率。克利夫兰联储主席梅斯特表示2024年降息三次是合适的。多位联储官</w:t>
      </w:r>
      <w:r>
        <w:rPr>
          <w:spacing w:val="17"/>
          <w:sz w:val="21"/>
          <w:szCs w:val="21"/>
        </w:rPr>
        <w:t xml:space="preserve"> </w:t>
      </w:r>
      <w:r>
        <w:rPr>
          <w:spacing w:val="-2"/>
          <w:sz w:val="21"/>
          <w:szCs w:val="21"/>
        </w:rPr>
        <w:t>员鸽派讲话，使得美联储6月开启降息的概率增大</w:t>
      </w:r>
      <w:r>
        <w:rPr>
          <w:spacing w:val="-3"/>
          <w:sz w:val="21"/>
          <w:szCs w:val="21"/>
        </w:rPr>
        <w:t>，市场预计降息对金价形成刺激。</w:t>
      </w:r>
    </w:p>
    <w:p>
      <w:pPr>
        <w:pStyle w:val="BodyText"/>
        <w:spacing w:before="267" w:line="220" w:lineRule="auto"/>
        <w:ind w:left="2812"/>
        <w:outlineLvl w:val="2"/>
        <w:rPr>
          <w:sz w:val="21"/>
          <w:szCs w:val="21"/>
        </w:rPr>
      </w:pPr>
      <w:r>
        <w:rPr>
          <w:b/>
          <w:bCs/>
          <w:color w:val="000080"/>
          <w:spacing w:val="-7"/>
          <w:sz w:val="21"/>
          <w:szCs w:val="21"/>
        </w:rPr>
        <w:t>1.1.2、</w:t>
      </w:r>
      <w:r>
        <w:rPr>
          <w:color w:val="000080"/>
          <w:spacing w:val="-40"/>
          <w:sz w:val="21"/>
          <w:szCs w:val="21"/>
        </w:rPr>
        <w:t xml:space="preserve"> </w:t>
      </w:r>
      <w:r>
        <w:rPr>
          <w:b/>
          <w:bCs/>
          <w:color w:val="000080"/>
          <w:spacing w:val="-7"/>
          <w:sz w:val="21"/>
          <w:szCs w:val="21"/>
        </w:rPr>
        <w:t>降息主基调下，黄金权益再迎配置节点</w:t>
      </w:r>
    </w:p>
    <w:p>
      <w:pPr>
        <w:pStyle w:val="BodyText"/>
        <w:spacing w:before="197" w:line="267" w:lineRule="auto"/>
        <w:ind w:left="2810" w:right="95" w:firstLine="442"/>
        <w:jc w:val="both"/>
        <w:rPr>
          <w:sz w:val="21"/>
          <w:szCs w:val="21"/>
        </w:rPr>
        <w:sectPr>
          <w:footerReference w:type="default" r:id="rId17"/>
          <w:pgSz w:w="11910" w:h="16840"/>
          <w:pgMar w:top="156" w:right="660" w:bottom="1129" w:left="719" w:header="0" w:footer="856" w:gutter="0"/>
          <w:pgNumType w:start="10"/>
          <w:cols w:space="708"/>
        </w:sectPr>
      </w:pPr>
      <w:r>
        <w:rPr>
          <w:b/>
          <w:bCs/>
          <w:sz w:val="21"/>
          <w:szCs w:val="21"/>
        </w:rPr>
        <w:t>美联储降息概率较大，2024年有望降息3次。</w:t>
      </w:r>
      <w:r>
        <w:rPr>
          <w:sz w:val="21"/>
          <w:szCs w:val="21"/>
        </w:rPr>
        <w:t>我们认为2024</w:t>
      </w:r>
      <w:r>
        <w:rPr>
          <w:spacing w:val="-29"/>
          <w:sz w:val="21"/>
          <w:szCs w:val="21"/>
        </w:rPr>
        <w:t xml:space="preserve"> </w:t>
      </w:r>
      <w:r>
        <w:rPr>
          <w:rFonts w:ascii="FangSong" w:eastAsia="FangSong" w:hAnsi="FangSong" w:cs="FangSong"/>
          <w:sz w:val="21"/>
          <w:szCs w:val="21"/>
        </w:rPr>
        <w:t>年美联储降息</w:t>
      </w:r>
      <w:r>
        <w:rPr>
          <w:rFonts w:ascii="FangSong" w:eastAsia="FangSong" w:hAnsi="FangSong" w:cs="FangSong"/>
          <w:spacing w:val="-1"/>
          <w:sz w:val="21"/>
          <w:szCs w:val="21"/>
        </w:rPr>
        <w:t>是大</w:t>
      </w:r>
      <w:r>
        <w:rPr>
          <w:rFonts w:ascii="FangSong" w:eastAsia="FangSong" w:hAnsi="FangSong" w:cs="FangSong"/>
          <w:sz w:val="21"/>
          <w:szCs w:val="21"/>
        </w:rPr>
        <w:t xml:space="preserve"> </w:t>
      </w:r>
      <w:r>
        <w:rPr>
          <w:spacing w:val="8"/>
          <w:sz w:val="21"/>
          <w:szCs w:val="21"/>
        </w:rPr>
        <w:t>概率事件，当前美国联邦基金目标利率5.25%-5.50%,自2023年7月以来已经维持</w:t>
      </w:r>
      <w:r>
        <w:rPr>
          <w:spacing w:val="14"/>
          <w:sz w:val="21"/>
          <w:szCs w:val="21"/>
        </w:rPr>
        <w:t xml:space="preserve"> </w:t>
      </w:r>
      <w:r>
        <w:rPr>
          <w:spacing w:val="1"/>
          <w:sz w:val="21"/>
          <w:szCs w:val="21"/>
        </w:rPr>
        <w:t>高位，高利率在压制通胀的同时对美国经济将造成损害，大量需要展期的公司债券</w:t>
      </w:r>
      <w:r>
        <w:rPr>
          <w:spacing w:val="8"/>
          <w:sz w:val="21"/>
          <w:szCs w:val="21"/>
        </w:rPr>
        <w:t xml:space="preserve"> </w:t>
      </w:r>
      <w:r>
        <w:rPr>
          <w:spacing w:val="-1"/>
          <w:sz w:val="21"/>
          <w:szCs w:val="21"/>
        </w:rPr>
        <w:t>成为危机爆发点。2023</w:t>
      </w:r>
      <w:r>
        <w:rPr>
          <w:spacing w:val="-26"/>
          <w:sz w:val="21"/>
          <w:szCs w:val="21"/>
        </w:rPr>
        <w:t xml:space="preserve"> </w:t>
      </w:r>
      <w:r>
        <w:rPr>
          <w:spacing w:val="-1"/>
          <w:sz w:val="21"/>
          <w:szCs w:val="21"/>
        </w:rPr>
        <w:t>年最后一次议息会议，美联储通过点阵图发出迄今加息</w:t>
      </w:r>
      <w:r>
        <w:rPr>
          <w:spacing w:val="-2"/>
          <w:sz w:val="21"/>
          <w:szCs w:val="21"/>
        </w:rPr>
        <w:t>周期</w:t>
      </w:r>
      <w:r>
        <w:rPr>
          <w:sz w:val="21"/>
          <w:szCs w:val="21"/>
        </w:rPr>
        <w:t xml:space="preserve"> </w:t>
      </w:r>
      <w:r>
        <w:rPr>
          <w:spacing w:val="1"/>
          <w:sz w:val="21"/>
          <w:szCs w:val="21"/>
        </w:rPr>
        <w:t>结束的信号，并暗示2024年将降息三次。但是鉴于美国当前经济数据的强劲，美联</w:t>
      </w:r>
      <w:r>
        <w:rPr>
          <w:spacing w:val="1"/>
          <w:sz w:val="21"/>
          <w:szCs w:val="21"/>
        </w:rPr>
        <w:t xml:space="preserve"> </w:t>
      </w:r>
    </w:p>
    <w:p>
      <w:pPr>
        <w:pStyle w:val="BodyText"/>
        <w:spacing w:before="197" w:line="267" w:lineRule="auto"/>
        <w:ind w:left="2810" w:right="95" w:firstLine="442"/>
        <w:jc w:val="both"/>
        <w:rPr>
          <w:sz w:val="21"/>
          <w:szCs w:val="21"/>
        </w:rPr>
      </w:pPr>
      <w:r>
        <w:rPr>
          <w:spacing w:val="2"/>
          <w:sz w:val="21"/>
          <w:szCs w:val="21"/>
        </w:rPr>
        <w:t>储降息或更多是为防止高利率导致的流动性紧缩，进而对经济</w:t>
      </w:r>
      <w:r>
        <w:rPr>
          <w:spacing w:val="1"/>
          <w:sz w:val="21"/>
          <w:szCs w:val="21"/>
        </w:rPr>
        <w:t>造成的额外压力，而</w:t>
      </w:r>
      <w:r>
        <w:rPr>
          <w:sz w:val="21"/>
          <w:szCs w:val="21"/>
        </w:rPr>
        <w:t xml:space="preserve"> </w:t>
      </w:r>
      <w:r>
        <w:rPr>
          <w:spacing w:val="-3"/>
          <w:sz w:val="21"/>
          <w:szCs w:val="21"/>
        </w:rPr>
        <w:t>不是处于动态调节为市场注入流动性。</w:t>
      </w:r>
    </w:p>
    <w:p>
      <w:pPr>
        <w:spacing w:line="267" w:lineRule="auto"/>
        <w:rPr>
          <w:sz w:val="21"/>
          <w:szCs w:val="21"/>
        </w:rPr>
        <w:sectPr>
          <w:footerReference w:type="default" r:id="rId18"/>
          <w:type w:val="nextPage"/>
          <w:pgSz w:w="11910" w:h="16840"/>
          <w:pgMar w:top="156" w:right="660" w:bottom="1129" w:left="719" w:header="0" w:footer="856" w:gutter="0"/>
          <w:pgNumType w:start="11"/>
          <w:cols w:space="708"/>
          <w:titlePg w:val="0"/>
        </w:sectPr>
      </w:pPr>
    </w:p>
    <w:p>
      <w:pPr>
        <w:spacing w:before="153" w:line="226" w:lineRule="auto"/>
        <w:ind w:left="180"/>
        <w:rPr>
          <w:rFonts w:ascii="YouYuan" w:eastAsia="YouYuan" w:hAnsi="YouYuan" w:cs="YouYuan"/>
          <w:sz w:val="60"/>
          <w:szCs w:val="60"/>
        </w:rPr>
      </w:pPr>
      <w:bookmarkStart w:id="4" w:name="bookmark88"/>
      <w:bookmarkEnd w:id="4"/>
      <w:bookmarkStart w:id="5" w:name="bookmark5"/>
      <w:bookmarkEnd w:id="5"/>
      <w:bookmarkStart w:id="6" w:name="bookmark6"/>
      <w:bookmarkEnd w:id="6"/>
      <w:r>
        <w:rPr>
          <w:rFonts w:ascii="YouYuan" w:eastAsia="YouYuan" w:hAnsi="YouYuan" w:cs="YouYuan"/>
          <w:position w:val="-21"/>
          <w:sz w:val="60"/>
          <w:szCs w:val="60"/>
        </w:rPr>
        <w:drawing>
          <wp:inline distT="0" distB="0" distL="0" distR="0">
            <wp:extent cx="571449" cy="488901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449" cy="488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YouYuan" w:eastAsia="YouYuan" w:hAnsi="YouYuan" w:cs="YouYuan"/>
          <w:b/>
          <w:bCs/>
          <w:spacing w:val="33"/>
          <w:sz w:val="60"/>
          <w:szCs w:val="60"/>
        </w:rPr>
        <w:t>开源证券</w:t>
      </w:r>
    </w:p>
    <w:p>
      <w:pPr>
        <w:pStyle w:val="BodyText"/>
        <w:spacing w:before="34" w:line="227" w:lineRule="auto"/>
        <w:ind w:left="9107"/>
        <w:rPr>
          <w:sz w:val="22"/>
          <w:szCs w:val="22"/>
        </w:rPr>
      </w:pPr>
      <w:r>
        <w:pict>
          <v:rect id="_x0000_s1031" style="width:516.55pt;height:0.55pt;margin-top:12.17pt;margin-left:1.5pt;position:absolute;z-index:251663360" filled="t" fillcolor="black" stroked="f"/>
        </w:pict>
      </w:r>
      <w:r>
        <w:rPr>
          <w:b/>
          <w:bCs/>
          <w:spacing w:val="-12"/>
          <w:sz w:val="22"/>
          <w:szCs w:val="22"/>
        </w:rPr>
        <w:t>行</w:t>
      </w:r>
      <w:r>
        <w:rPr>
          <w:spacing w:val="37"/>
          <w:sz w:val="22"/>
          <w:szCs w:val="22"/>
        </w:rPr>
        <w:t xml:space="preserve"> </w:t>
      </w:r>
      <w:r>
        <w:rPr>
          <w:b/>
          <w:bCs/>
          <w:spacing w:val="-12"/>
          <w:sz w:val="22"/>
          <w:szCs w:val="22"/>
        </w:rPr>
        <w:t>业</w:t>
      </w:r>
      <w:r>
        <w:rPr>
          <w:spacing w:val="25"/>
          <w:sz w:val="22"/>
          <w:szCs w:val="22"/>
        </w:rPr>
        <w:t xml:space="preserve"> </w:t>
      </w:r>
      <w:r>
        <w:rPr>
          <w:b/>
          <w:bCs/>
          <w:spacing w:val="-12"/>
          <w:sz w:val="22"/>
          <w:szCs w:val="22"/>
        </w:rPr>
        <w:t>周</w:t>
      </w:r>
      <w:r>
        <w:rPr>
          <w:spacing w:val="23"/>
          <w:sz w:val="22"/>
          <w:szCs w:val="22"/>
        </w:rPr>
        <w:t xml:space="preserve"> </w:t>
      </w:r>
      <w:r>
        <w:rPr>
          <w:b/>
          <w:bCs/>
          <w:spacing w:val="-12"/>
          <w:sz w:val="22"/>
          <w:szCs w:val="22"/>
        </w:rPr>
        <w:t>报</w:t>
      </w:r>
    </w:p>
    <w:p>
      <w:pPr>
        <w:pStyle w:val="BodyText"/>
        <w:spacing w:before="126" w:line="267" w:lineRule="auto"/>
        <w:ind w:left="2810" w:right="92" w:firstLine="452"/>
        <w:rPr>
          <w:sz w:val="21"/>
          <w:szCs w:val="21"/>
        </w:rPr>
      </w:pPr>
      <w:r>
        <w:rPr>
          <w:b/>
          <w:bCs/>
          <w:spacing w:val="13"/>
          <w:sz w:val="21"/>
          <w:szCs w:val="21"/>
        </w:rPr>
        <w:t>我们预计6月开启降息是底线。</w:t>
      </w:r>
      <w:r>
        <w:rPr>
          <w:spacing w:val="13"/>
          <w:sz w:val="21"/>
          <w:szCs w:val="21"/>
        </w:rPr>
        <w:t>根据</w:t>
      </w:r>
      <w:r>
        <w:rPr>
          <w:rFonts w:ascii="SimSun" w:eastAsia="SimSun" w:hAnsi="SimSun" w:cs="SimSun"/>
          <w:sz w:val="21"/>
          <w:szCs w:val="21"/>
        </w:rPr>
        <w:t xml:space="preserve">CME  </w:t>
      </w:r>
      <w:r>
        <w:rPr>
          <w:spacing w:val="13"/>
          <w:sz w:val="21"/>
          <w:szCs w:val="21"/>
        </w:rPr>
        <w:t>数据，截至2024</w:t>
      </w:r>
      <w:r>
        <w:rPr>
          <w:spacing w:val="12"/>
          <w:sz w:val="21"/>
          <w:szCs w:val="21"/>
        </w:rPr>
        <w:t>年3月5日，市场</w:t>
      </w:r>
      <w:r>
        <w:rPr>
          <w:spacing w:val="1"/>
          <w:sz w:val="21"/>
          <w:szCs w:val="21"/>
        </w:rPr>
        <w:t xml:space="preserve"> </w:t>
      </w:r>
      <w:r>
        <w:rPr>
          <w:spacing w:val="11"/>
          <w:sz w:val="21"/>
          <w:szCs w:val="21"/>
        </w:rPr>
        <w:t>预期美联储3月、5月不降息，6月降息概率为52.5%,全年累计降息3次。我们认</w:t>
      </w:r>
      <w:r>
        <w:rPr>
          <w:spacing w:val="9"/>
          <w:sz w:val="21"/>
          <w:szCs w:val="21"/>
        </w:rPr>
        <w:t xml:space="preserve"> </w:t>
      </w:r>
      <w:r>
        <w:rPr>
          <w:spacing w:val="1"/>
          <w:sz w:val="21"/>
          <w:szCs w:val="21"/>
        </w:rPr>
        <w:t>为降息时点虽迟但到，6月降息是底线。在全年降息3次的假设下，鉴于</w:t>
      </w:r>
      <w:r>
        <w:rPr>
          <w:sz w:val="21"/>
          <w:szCs w:val="21"/>
        </w:rPr>
        <w:t>美国当前经</w:t>
      </w:r>
      <w:r>
        <w:rPr>
          <w:sz w:val="21"/>
          <w:szCs w:val="21"/>
        </w:rPr>
        <w:t xml:space="preserve"> </w:t>
      </w:r>
      <w:r>
        <w:rPr>
          <w:spacing w:val="1"/>
          <w:sz w:val="21"/>
          <w:szCs w:val="21"/>
        </w:rPr>
        <w:t>济数据较强，美国经济软着陆概率加大，通胀虽下行但未至目标，预防</w:t>
      </w:r>
      <w:r>
        <w:rPr>
          <w:sz w:val="21"/>
          <w:szCs w:val="21"/>
        </w:rPr>
        <w:t>性降息下美</w:t>
      </w:r>
      <w:r>
        <w:rPr>
          <w:sz w:val="21"/>
          <w:szCs w:val="21"/>
        </w:rPr>
        <w:t xml:space="preserve"> </w:t>
      </w:r>
      <w:r>
        <w:rPr>
          <w:spacing w:val="-5"/>
          <w:sz w:val="21"/>
          <w:szCs w:val="21"/>
        </w:rPr>
        <w:t>联储采取间隔降息或为最佳选择，6、9、12月降息概率较大。在降息周期即将开</w:t>
      </w:r>
      <w:r>
        <w:rPr>
          <w:spacing w:val="-6"/>
          <w:sz w:val="21"/>
          <w:szCs w:val="21"/>
        </w:rPr>
        <w:t>启，</w:t>
      </w:r>
      <w:r>
        <w:rPr>
          <w:sz w:val="21"/>
          <w:szCs w:val="21"/>
        </w:rPr>
        <w:t xml:space="preserve"> </w:t>
      </w:r>
      <w:r>
        <w:rPr>
          <w:spacing w:val="-5"/>
          <w:sz w:val="21"/>
          <w:szCs w:val="21"/>
        </w:rPr>
        <w:t>市场避险情绪浓厚的主基调下，金价或将因美国经济及通</w:t>
      </w:r>
      <w:r>
        <w:rPr>
          <w:spacing w:val="-6"/>
          <w:sz w:val="21"/>
          <w:szCs w:val="21"/>
        </w:rPr>
        <w:t>胀数据走弱而上涨，因此，</w:t>
      </w:r>
      <w:r>
        <w:rPr>
          <w:sz w:val="21"/>
          <w:szCs w:val="21"/>
        </w:rPr>
        <w:t xml:space="preserve"> </w:t>
      </w:r>
      <w:r>
        <w:rPr>
          <w:spacing w:val="1"/>
          <w:sz w:val="21"/>
          <w:szCs w:val="21"/>
        </w:rPr>
        <w:t>2024年一、二季度再迎配置节点。推荐标的有</w:t>
      </w:r>
      <w:r>
        <w:rPr>
          <w:b/>
          <w:bCs/>
          <w:spacing w:val="1"/>
          <w:sz w:val="21"/>
          <w:szCs w:val="21"/>
        </w:rPr>
        <w:t>山东黄金、银</w:t>
      </w:r>
      <w:r>
        <w:rPr>
          <w:b/>
          <w:bCs/>
          <w:sz w:val="21"/>
          <w:szCs w:val="21"/>
        </w:rPr>
        <w:t>泰黄金、中金黄金，受</w:t>
      </w:r>
      <w:r>
        <w:rPr>
          <w:sz w:val="21"/>
          <w:szCs w:val="21"/>
        </w:rPr>
        <w:t xml:space="preserve"> </w:t>
      </w:r>
      <w:r>
        <w:rPr>
          <w:b/>
          <w:bCs/>
          <w:spacing w:val="-6"/>
          <w:sz w:val="21"/>
          <w:szCs w:val="21"/>
        </w:rPr>
        <w:t>益标的为株冶集团。</w:t>
      </w:r>
    </w:p>
    <w:p>
      <w:pPr>
        <w:pStyle w:val="BodyText"/>
        <w:spacing w:before="236" w:line="457" w:lineRule="exact"/>
        <w:ind w:left="2813"/>
        <w:rPr>
          <w:sz w:val="21"/>
          <w:szCs w:val="21"/>
        </w:rPr>
      </w:pPr>
      <w:r>
        <w:rPr>
          <w:b/>
          <w:bCs/>
          <w:color w:val="000080"/>
          <w:spacing w:val="22"/>
          <w:position w:val="19"/>
          <w:sz w:val="21"/>
          <w:szCs w:val="21"/>
        </w:rPr>
        <w:t>1.2、</w:t>
      </w:r>
      <w:r>
        <w:rPr>
          <w:color w:val="000080"/>
          <w:spacing w:val="69"/>
          <w:position w:val="19"/>
          <w:sz w:val="21"/>
          <w:szCs w:val="21"/>
        </w:rPr>
        <w:t xml:space="preserve"> </w:t>
      </w:r>
      <w:r>
        <w:rPr>
          <w:b/>
          <w:bCs/>
          <w:color w:val="000080"/>
          <w:spacing w:val="22"/>
          <w:position w:val="19"/>
          <w:sz w:val="21"/>
          <w:szCs w:val="21"/>
        </w:rPr>
        <w:t>自下而上：铜供给端短缺持续兑现，锡供需两端均出现边际变化</w:t>
      </w:r>
    </w:p>
    <w:p>
      <w:pPr>
        <w:spacing w:before="1" w:line="218" w:lineRule="auto"/>
        <w:ind w:left="2813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b/>
          <w:bCs/>
          <w:color w:val="000080"/>
          <w:spacing w:val="-3"/>
          <w:sz w:val="21"/>
          <w:szCs w:val="21"/>
        </w:rPr>
        <w:t>1.2.1、铜：冶炼费用继续下行，铜精矿紧缺</w:t>
      </w:r>
      <w:r>
        <w:rPr>
          <w:rFonts w:ascii="SimSun" w:eastAsia="SimSun" w:hAnsi="SimSun" w:cs="SimSun"/>
          <w:b/>
          <w:bCs/>
          <w:color w:val="000080"/>
          <w:spacing w:val="-4"/>
          <w:sz w:val="21"/>
          <w:szCs w:val="21"/>
        </w:rPr>
        <w:t>持续兑现</w:t>
      </w:r>
    </w:p>
    <w:p>
      <w:pPr>
        <w:pStyle w:val="BodyText"/>
        <w:spacing w:before="188" w:line="268" w:lineRule="auto"/>
        <w:ind w:left="2810" w:right="100" w:firstLine="432"/>
        <w:jc w:val="both"/>
        <w:rPr>
          <w:sz w:val="21"/>
          <w:szCs w:val="21"/>
        </w:rPr>
      </w:pPr>
      <w:r>
        <w:rPr>
          <w:b/>
          <w:bCs/>
          <w:spacing w:val="4"/>
          <w:sz w:val="21"/>
          <w:szCs w:val="21"/>
        </w:rPr>
        <w:t>截至2月底，海外主要矿企2023年</w:t>
      </w:r>
      <w:r>
        <w:rPr>
          <w:rFonts w:ascii="SimSun" w:eastAsia="SimSun" w:hAnsi="SimSun" w:cs="SimSun"/>
          <w:b/>
          <w:bCs/>
          <w:spacing w:val="4"/>
          <w:sz w:val="21"/>
          <w:szCs w:val="21"/>
        </w:rPr>
        <w:t>Q4</w:t>
      </w:r>
      <w:r>
        <w:rPr>
          <w:rFonts w:ascii="SimSun" w:eastAsia="SimSun" w:hAnsi="SimSun" w:cs="SimSun"/>
          <w:spacing w:val="4"/>
          <w:sz w:val="21"/>
          <w:szCs w:val="21"/>
        </w:rPr>
        <w:t xml:space="preserve"> </w:t>
      </w:r>
      <w:r>
        <w:rPr>
          <w:b/>
          <w:bCs/>
          <w:spacing w:val="4"/>
          <w:sz w:val="21"/>
          <w:szCs w:val="21"/>
        </w:rPr>
        <w:t>季报已陆续完成披露。整体看，2024年</w:t>
      </w:r>
      <w:r>
        <w:rPr>
          <w:spacing w:val="14"/>
          <w:sz w:val="21"/>
          <w:szCs w:val="21"/>
        </w:rPr>
        <w:t xml:space="preserve"> </w:t>
      </w:r>
      <w:r>
        <w:rPr>
          <w:b/>
          <w:bCs/>
          <w:spacing w:val="-3"/>
          <w:sz w:val="21"/>
          <w:szCs w:val="21"/>
        </w:rPr>
        <w:t>海外主要矿企合计指引变动为-0.11</w:t>
      </w:r>
      <w:r>
        <w:rPr>
          <w:spacing w:val="-21"/>
          <w:sz w:val="21"/>
          <w:szCs w:val="21"/>
        </w:rPr>
        <w:t xml:space="preserve"> </w:t>
      </w:r>
      <w:r>
        <w:rPr>
          <w:b/>
          <w:bCs/>
          <w:spacing w:val="-3"/>
          <w:sz w:val="21"/>
          <w:szCs w:val="21"/>
        </w:rPr>
        <w:t>万吨，相较</w:t>
      </w:r>
      <w:r>
        <w:rPr>
          <w:b/>
          <w:bCs/>
          <w:spacing w:val="-4"/>
          <w:sz w:val="21"/>
          <w:szCs w:val="21"/>
        </w:rPr>
        <w:t>2023</w:t>
      </w:r>
      <w:r>
        <w:rPr>
          <w:spacing w:val="-4"/>
          <w:sz w:val="21"/>
          <w:szCs w:val="21"/>
        </w:rPr>
        <w:t xml:space="preserve"> </w:t>
      </w:r>
      <w:r>
        <w:rPr>
          <w:b/>
          <w:bCs/>
          <w:spacing w:val="-4"/>
          <w:sz w:val="21"/>
          <w:szCs w:val="21"/>
        </w:rPr>
        <w:t>年小幅下滑。</w:t>
      </w:r>
      <w:r>
        <w:rPr>
          <w:spacing w:val="-4"/>
          <w:sz w:val="21"/>
          <w:szCs w:val="21"/>
        </w:rPr>
        <w:t>主要增量来自于</w:t>
      </w:r>
      <w:r>
        <w:rPr>
          <w:sz w:val="21"/>
          <w:szCs w:val="21"/>
        </w:rPr>
        <w:t xml:space="preserve">  </w:t>
      </w:r>
      <w:r>
        <w:rPr>
          <w:spacing w:val="1"/>
          <w:sz w:val="21"/>
          <w:szCs w:val="21"/>
        </w:rPr>
        <w:t>泰克资源的</w:t>
      </w:r>
      <w:r>
        <w:rPr>
          <w:spacing w:val="-45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QB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 </w:t>
      </w:r>
      <w:r>
        <w:rPr>
          <w:spacing w:val="1"/>
          <w:sz w:val="21"/>
          <w:szCs w:val="21"/>
        </w:rPr>
        <w:t>二期项目，2024年增量近20万吨，然而，该项目自开发以</w:t>
      </w:r>
      <w:r>
        <w:rPr>
          <w:sz w:val="21"/>
          <w:szCs w:val="21"/>
        </w:rPr>
        <w:t>来，自投</w:t>
      </w:r>
      <w:r>
        <w:rPr>
          <w:sz w:val="21"/>
          <w:szCs w:val="21"/>
        </w:rPr>
        <w:t xml:space="preserve"> </w:t>
      </w:r>
      <w:r>
        <w:rPr>
          <w:spacing w:val="2"/>
          <w:sz w:val="21"/>
          <w:szCs w:val="21"/>
        </w:rPr>
        <w:t>产预期至2023年的产量释放预期，皆未</w:t>
      </w:r>
      <w:r>
        <w:rPr>
          <w:spacing w:val="1"/>
          <w:sz w:val="21"/>
          <w:szCs w:val="21"/>
        </w:rPr>
        <w:t>达成过指引，预期兑现度较低，因此对其20</w:t>
      </w:r>
      <w:r>
        <w:rPr>
          <w:sz w:val="21"/>
          <w:szCs w:val="21"/>
        </w:rPr>
        <w:t xml:space="preserve"> </w:t>
      </w:r>
      <w:r>
        <w:rPr>
          <w:spacing w:val="2"/>
          <w:sz w:val="21"/>
          <w:szCs w:val="21"/>
        </w:rPr>
        <w:t>万吨的指引仍需保留谨慎态度。目前</w:t>
      </w:r>
      <w:r>
        <w:rPr>
          <w:spacing w:val="-34"/>
          <w:sz w:val="21"/>
          <w:szCs w:val="21"/>
        </w:rPr>
        <w:t xml:space="preserve"> </w:t>
      </w:r>
      <w:r>
        <w:rPr>
          <w:rFonts w:ascii="SimSun" w:eastAsia="SimSun" w:hAnsi="SimSun" w:cs="SimSun"/>
          <w:sz w:val="21"/>
          <w:szCs w:val="21"/>
        </w:rPr>
        <w:t>Codelco</w:t>
      </w:r>
      <w:r>
        <w:rPr>
          <w:spacing w:val="2"/>
          <w:sz w:val="21"/>
          <w:szCs w:val="21"/>
        </w:rPr>
        <w:t>(智利国铜业</w:t>
      </w:r>
      <w:r>
        <w:rPr>
          <w:spacing w:val="1"/>
          <w:sz w:val="21"/>
          <w:szCs w:val="21"/>
        </w:rPr>
        <w:t>)尚未发布四季报及2024</w:t>
      </w:r>
      <w:r>
        <w:rPr>
          <w:sz w:val="21"/>
          <w:szCs w:val="21"/>
        </w:rPr>
        <w:t xml:space="preserve"> </w:t>
      </w:r>
      <w:r>
        <w:rPr>
          <w:spacing w:val="1"/>
          <w:sz w:val="21"/>
          <w:szCs w:val="21"/>
        </w:rPr>
        <w:t>年指引情况，2023年公司曾受矿石品位下滑等影响下调全年产量指引。</w:t>
      </w:r>
      <w:r>
        <w:rPr>
          <w:b/>
          <w:bCs/>
          <w:spacing w:val="1"/>
          <w:sz w:val="21"/>
          <w:szCs w:val="21"/>
        </w:rPr>
        <w:t>考虑到泰克</w:t>
      </w:r>
      <w:r>
        <w:rPr>
          <w:spacing w:val="7"/>
          <w:sz w:val="21"/>
          <w:szCs w:val="21"/>
        </w:rPr>
        <w:t xml:space="preserve"> </w:t>
      </w:r>
      <w:r>
        <w:rPr>
          <w:b/>
          <w:bCs/>
          <w:spacing w:val="1"/>
          <w:sz w:val="21"/>
          <w:szCs w:val="21"/>
        </w:rPr>
        <w:t>资源</w:t>
      </w:r>
      <w:r>
        <w:rPr>
          <w:spacing w:val="-5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QB</w:t>
      </w:r>
      <w:r>
        <w:rPr>
          <w:rFonts w:ascii="Times New Roman" w:eastAsia="Times New Roman" w:hAnsi="Times New Roman" w:cs="Times New Roman"/>
          <w:b/>
          <w:bCs/>
          <w:spacing w:val="1"/>
          <w:sz w:val="21"/>
          <w:szCs w:val="21"/>
        </w:rPr>
        <w:t xml:space="preserve"> </w:t>
      </w:r>
      <w:r>
        <w:rPr>
          <w:b/>
          <w:bCs/>
          <w:spacing w:val="1"/>
          <w:sz w:val="21"/>
          <w:szCs w:val="21"/>
        </w:rPr>
        <w:t>二期项目及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Codelco</w:t>
      </w:r>
      <w:r>
        <w:rPr>
          <w:rFonts w:ascii="Times New Roman" w:eastAsia="Times New Roman" w:hAnsi="Times New Roman" w:cs="Times New Roman"/>
          <w:b/>
          <w:bCs/>
          <w:spacing w:val="1"/>
          <w:sz w:val="21"/>
          <w:szCs w:val="21"/>
        </w:rPr>
        <w:t xml:space="preserve"> </w:t>
      </w:r>
      <w:r>
        <w:rPr>
          <w:b/>
          <w:bCs/>
          <w:spacing w:val="1"/>
          <w:sz w:val="21"/>
          <w:szCs w:val="21"/>
        </w:rPr>
        <w:t>仍受品位下滑困扰，我们预计2024年铜供给仍处于偏</w:t>
      </w:r>
      <w:r>
        <w:rPr>
          <w:spacing w:val="1"/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>紧张状态，铜精矿短缺预期或将持续兑现。</w:t>
      </w:r>
      <w:r>
        <w:rPr>
          <w:b/>
          <w:bCs/>
          <w:spacing w:val="-1"/>
          <w:sz w:val="21"/>
          <w:szCs w:val="21"/>
        </w:rPr>
        <w:t>建</w:t>
      </w:r>
      <w:r>
        <w:rPr>
          <w:spacing w:val="-1"/>
          <w:sz w:val="21"/>
          <w:szCs w:val="21"/>
        </w:rPr>
        <w:t>议关注资源端公司，受益标的有</w:t>
      </w:r>
      <w:r>
        <w:rPr>
          <w:b/>
          <w:bCs/>
          <w:spacing w:val="-1"/>
          <w:sz w:val="21"/>
          <w:szCs w:val="21"/>
        </w:rPr>
        <w:t>金诚</w:t>
      </w:r>
      <w:r>
        <w:rPr>
          <w:sz w:val="21"/>
          <w:szCs w:val="21"/>
        </w:rPr>
        <w:t xml:space="preserve"> </w:t>
      </w:r>
      <w:r>
        <w:rPr>
          <w:b/>
          <w:bCs/>
          <w:spacing w:val="-4"/>
          <w:sz w:val="21"/>
          <w:szCs w:val="21"/>
        </w:rPr>
        <w:t>信、紫金矿业、洛阳钼业、西部矿业、藏格矿业。</w:t>
      </w:r>
    </w:p>
    <w:p>
      <w:pPr>
        <w:pStyle w:val="BodyText"/>
        <w:spacing w:before="245" w:line="223" w:lineRule="auto"/>
        <w:ind w:left="2813"/>
        <w:rPr>
          <w:sz w:val="21"/>
          <w:szCs w:val="21"/>
        </w:rPr>
      </w:pPr>
      <w:r>
        <w:rPr>
          <w:b/>
          <w:bCs/>
          <w:color w:val="000080"/>
          <w:spacing w:val="12"/>
          <w:sz w:val="21"/>
          <w:szCs w:val="21"/>
        </w:rPr>
        <w:t>表1:海外铜企2024年产量指引情况(单位：万</w:t>
      </w:r>
      <w:r>
        <w:rPr>
          <w:b/>
          <w:bCs/>
          <w:color w:val="000080"/>
          <w:spacing w:val="11"/>
          <w:sz w:val="21"/>
          <w:szCs w:val="21"/>
        </w:rPr>
        <w:t>吨)</w:t>
      </w:r>
    </w:p>
    <w:tbl>
      <w:tblPr>
        <w:tblStyle w:val="TableNormal0"/>
        <w:tblW w:w="7690" w:type="dxa"/>
        <w:tblInd w:w="28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022"/>
        <w:gridCol w:w="1299"/>
        <w:gridCol w:w="1248"/>
        <w:gridCol w:w="1808"/>
        <w:gridCol w:w="1313"/>
      </w:tblGrid>
      <w:tr>
        <w:tblPrEx>
          <w:tblW w:w="7690" w:type="dxa"/>
          <w:tblInd w:w="282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335"/>
        </w:trPr>
        <w:tc>
          <w:tcPr>
            <w:tcW w:w="2022" w:type="dxa"/>
            <w:tcBorders>
              <w:right w:val="nil"/>
            </w:tcBorders>
            <w:shd w:val="clear" w:color="auto" w:fill="000080"/>
            <w:vAlign w:val="top"/>
          </w:tcPr>
          <w:p>
            <w:pPr>
              <w:spacing w:before="82" w:line="221" w:lineRule="auto"/>
              <w:ind w:left="64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b/>
                <w:bCs/>
                <w:color w:val="FFFFFF"/>
                <w:spacing w:val="-5"/>
                <w:sz w:val="18"/>
                <w:szCs w:val="18"/>
              </w:rPr>
              <w:t>公司名称</w:t>
            </w:r>
          </w:p>
        </w:tc>
        <w:tc>
          <w:tcPr>
            <w:tcW w:w="1299" w:type="dxa"/>
            <w:tcBorders>
              <w:left w:val="nil"/>
              <w:right w:val="nil"/>
            </w:tcBorders>
            <w:shd w:val="clear" w:color="auto" w:fill="000080"/>
            <w:vAlign w:val="top"/>
          </w:tcPr>
          <w:p>
            <w:pPr>
              <w:spacing w:before="80" w:line="220" w:lineRule="auto"/>
              <w:ind w:left="15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b/>
                <w:bCs/>
                <w:color w:val="FFFFFF"/>
                <w:spacing w:val="1"/>
                <w:sz w:val="18"/>
                <w:szCs w:val="18"/>
              </w:rPr>
              <w:t>2023A(万吨)</w:t>
            </w:r>
          </w:p>
        </w:tc>
        <w:tc>
          <w:tcPr>
            <w:tcW w:w="1248" w:type="dxa"/>
            <w:tcBorders>
              <w:left w:val="nil"/>
              <w:right w:val="nil"/>
            </w:tcBorders>
            <w:shd w:val="clear" w:color="auto" w:fill="000080"/>
            <w:vAlign w:val="top"/>
          </w:tcPr>
          <w:p>
            <w:pPr>
              <w:spacing w:before="79" w:line="220" w:lineRule="auto"/>
              <w:ind w:left="17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b/>
                <w:bCs/>
                <w:color w:val="FFFFFF"/>
                <w:spacing w:val="1"/>
                <w:sz w:val="18"/>
                <w:szCs w:val="18"/>
              </w:rPr>
              <w:t>2024E(万吨)</w:t>
            </w:r>
          </w:p>
        </w:tc>
        <w:tc>
          <w:tcPr>
            <w:tcW w:w="1808" w:type="dxa"/>
            <w:tcBorders>
              <w:left w:val="nil"/>
              <w:right w:val="nil"/>
            </w:tcBorders>
            <w:shd w:val="clear" w:color="auto" w:fill="000080"/>
            <w:vAlign w:val="top"/>
          </w:tcPr>
          <w:p>
            <w:pPr>
              <w:spacing w:before="79" w:line="219" w:lineRule="auto"/>
              <w:ind w:left="9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b/>
                <w:bCs/>
                <w:color w:val="FFFFFF"/>
                <w:spacing w:val="2"/>
                <w:sz w:val="18"/>
                <w:szCs w:val="18"/>
              </w:rPr>
              <w:t>产量变动(万吨)</w:t>
            </w:r>
          </w:p>
        </w:tc>
        <w:tc>
          <w:tcPr>
            <w:tcW w:w="1313" w:type="dxa"/>
            <w:tcBorders>
              <w:left w:val="nil"/>
            </w:tcBorders>
            <w:shd w:val="clear" w:color="auto" w:fill="000080"/>
            <w:vAlign w:val="top"/>
          </w:tcPr>
          <w:p>
            <w:pPr>
              <w:spacing w:before="80" w:line="220" w:lineRule="auto"/>
              <w:ind w:left="20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b/>
                <w:bCs/>
                <w:color w:val="FFFFFF"/>
                <w:spacing w:val="-1"/>
                <w:sz w:val="18"/>
                <w:szCs w:val="18"/>
              </w:rPr>
              <w:t>同比变动</w:t>
            </w:r>
          </w:p>
        </w:tc>
      </w:tr>
      <w:tr>
        <w:tblPrEx>
          <w:tblW w:w="7690" w:type="dxa"/>
          <w:tblInd w:w="2820" w:type="dxa"/>
          <w:tblLayout w:type="fixed"/>
        </w:tblPrEx>
        <w:trPr>
          <w:trHeight w:val="295"/>
        </w:trPr>
        <w:tc>
          <w:tcPr>
            <w:tcW w:w="2022" w:type="dxa"/>
            <w:tcBorders>
              <w:bottom w:val="nil"/>
              <w:right w:val="nil"/>
            </w:tcBorders>
            <w:vAlign w:val="top"/>
          </w:tcPr>
          <w:p>
            <w:pPr>
              <w:spacing w:before="125" w:line="164" w:lineRule="auto"/>
              <w:ind w:left="63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Teck Resources</w:t>
            </w:r>
          </w:p>
        </w:tc>
        <w:tc>
          <w:tcPr>
            <w:tcW w:w="1299" w:type="dxa"/>
            <w:tcBorders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248" w:type="dxa"/>
            <w:tcBorders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808" w:type="dxa"/>
            <w:tcBorders>
              <w:left w:val="nil"/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13" w:type="dxa"/>
            <w:tcBorders>
              <w:left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7690" w:type="dxa"/>
          <w:tblInd w:w="2820" w:type="dxa"/>
          <w:tblLayout w:type="fixed"/>
        </w:tblPrEx>
        <w:trPr>
          <w:trHeight w:val="360"/>
        </w:trPr>
        <w:tc>
          <w:tcPr>
            <w:tcW w:w="2022" w:type="dxa"/>
            <w:tcBorders>
              <w:top w:val="nil"/>
              <w:bottom w:val="nil"/>
              <w:right w:val="nil"/>
            </w:tcBorders>
            <w:vAlign w:val="top"/>
          </w:tcPr>
          <w:p>
            <w:pPr>
              <w:spacing w:before="112" w:line="219" w:lineRule="auto"/>
              <w:ind w:left="55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6"/>
                <w:sz w:val="18"/>
                <w:szCs w:val="18"/>
              </w:rPr>
              <w:t>(泰克资源)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19" w:line="183" w:lineRule="auto"/>
              <w:ind w:left="46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29.7</w:t>
            </w:r>
          </w:p>
        </w:tc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19" w:line="183" w:lineRule="auto"/>
              <w:ind w:left="57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50.3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spacing w:before="19" w:line="183" w:lineRule="auto"/>
              <w:ind w:left="86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FF0019"/>
                <w:spacing w:val="-2"/>
                <w:sz w:val="18"/>
                <w:szCs w:val="18"/>
              </w:rPr>
              <w:t>20.6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</w:tcBorders>
            <w:vAlign w:val="top"/>
          </w:tcPr>
          <w:p>
            <w:pPr>
              <w:spacing w:before="18" w:line="184" w:lineRule="auto"/>
              <w:ind w:left="38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FF1100"/>
                <w:spacing w:val="-2"/>
                <w:sz w:val="18"/>
                <w:szCs w:val="18"/>
              </w:rPr>
              <w:t>69.19%</w:t>
            </w:r>
          </w:p>
        </w:tc>
      </w:tr>
      <w:tr>
        <w:tblPrEx>
          <w:tblW w:w="7690" w:type="dxa"/>
          <w:tblInd w:w="2820" w:type="dxa"/>
          <w:tblLayout w:type="fixed"/>
        </w:tblPrEx>
        <w:trPr>
          <w:trHeight w:val="293"/>
        </w:trPr>
        <w:tc>
          <w:tcPr>
            <w:tcW w:w="2022" w:type="dxa"/>
            <w:tcBorders>
              <w:top w:val="nil"/>
              <w:right w:val="nil"/>
            </w:tcBorders>
            <w:vAlign w:val="top"/>
          </w:tcPr>
          <w:p>
            <w:pPr>
              <w:spacing w:before="71" w:line="217" w:lineRule="auto"/>
              <w:ind w:left="37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Va</w:t>
            </w:r>
            <w:r>
              <w:rPr>
                <w:rFonts w:ascii="SimSun" w:eastAsia="SimSun" w:hAnsi="SimSun" w:cs="SimSun"/>
                <w:color w:val="003C96"/>
                <w:sz w:val="18"/>
                <w:szCs w:val="18"/>
              </w:rPr>
              <w:t>le</w:t>
            </w:r>
            <w:r>
              <w:rPr>
                <w:rFonts w:ascii="SimSun" w:eastAsia="SimSun" w:hAnsi="SimSun" w:cs="SimSun"/>
                <w:color w:val="003C96"/>
                <w:spacing w:val="6"/>
                <w:sz w:val="18"/>
                <w:szCs w:val="18"/>
              </w:rPr>
              <w:t>(淡水河谷)</w:t>
            </w:r>
          </w:p>
        </w:tc>
        <w:tc>
          <w:tcPr>
            <w:tcW w:w="1299" w:type="dxa"/>
            <w:tcBorders>
              <w:top w:val="nil"/>
              <w:left w:val="nil"/>
              <w:right w:val="nil"/>
            </w:tcBorders>
            <w:vAlign w:val="top"/>
          </w:tcPr>
          <w:p>
            <w:pPr>
              <w:spacing w:before="128" w:line="158" w:lineRule="auto"/>
              <w:ind w:left="46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32.6</w:t>
            </w:r>
          </w:p>
        </w:tc>
        <w:tc>
          <w:tcPr>
            <w:tcW w:w="1248" w:type="dxa"/>
            <w:tcBorders>
              <w:top w:val="nil"/>
              <w:left w:val="nil"/>
              <w:right w:val="nil"/>
            </w:tcBorders>
            <w:vAlign w:val="top"/>
          </w:tcPr>
          <w:p>
            <w:pPr>
              <w:spacing w:before="128" w:line="158" w:lineRule="auto"/>
              <w:ind w:left="57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33.8</w:t>
            </w:r>
          </w:p>
        </w:tc>
        <w:tc>
          <w:tcPr>
            <w:tcW w:w="1808" w:type="dxa"/>
            <w:tcBorders>
              <w:top w:val="nil"/>
              <w:left w:val="nil"/>
              <w:right w:val="nil"/>
            </w:tcBorders>
            <w:vAlign w:val="top"/>
          </w:tcPr>
          <w:p>
            <w:pPr>
              <w:spacing w:before="118" w:line="169" w:lineRule="auto"/>
              <w:ind w:left="90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5"/>
                <w:sz w:val="18"/>
                <w:szCs w:val="18"/>
              </w:rPr>
              <w:t>1.2</w:t>
            </w:r>
          </w:p>
        </w:tc>
        <w:tc>
          <w:tcPr>
            <w:tcW w:w="1313" w:type="dxa"/>
            <w:tcBorders>
              <w:top w:val="nil"/>
              <w:left w:val="nil"/>
            </w:tcBorders>
            <w:vAlign w:val="top"/>
          </w:tcPr>
          <w:p>
            <w:pPr>
              <w:spacing w:before="119" w:line="168" w:lineRule="auto"/>
              <w:ind w:left="43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3.53%</w:t>
            </w:r>
          </w:p>
        </w:tc>
      </w:tr>
      <w:tr>
        <w:tblPrEx>
          <w:tblW w:w="7690" w:type="dxa"/>
          <w:tblInd w:w="2820" w:type="dxa"/>
          <w:tblLayout w:type="fixed"/>
        </w:tblPrEx>
        <w:trPr>
          <w:trHeight w:val="619"/>
        </w:trPr>
        <w:tc>
          <w:tcPr>
            <w:tcW w:w="2022" w:type="dxa"/>
            <w:tcBorders>
              <w:right w:val="nil"/>
            </w:tcBorders>
            <w:vAlign w:val="top"/>
          </w:tcPr>
          <w:p>
            <w:pPr>
              <w:spacing w:before="83" w:line="267" w:lineRule="auto"/>
              <w:ind w:left="555" w:right="143" w:firstLine="6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Anglo American</w:t>
            </w:r>
            <w:r>
              <w:rPr>
                <w:rFonts w:ascii="SimSun" w:eastAsia="SimSun" w:hAnsi="SimSun" w:cs="SimSun"/>
                <w:spacing w:val="11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6"/>
                <w:sz w:val="18"/>
                <w:szCs w:val="18"/>
              </w:rPr>
              <w:t>(英美资源)</w:t>
            </w:r>
          </w:p>
        </w:tc>
        <w:tc>
          <w:tcPr>
            <w:tcW w:w="1299" w:type="dxa"/>
            <w:tcBorders>
              <w:left w:val="nil"/>
              <w:right w:val="nil"/>
            </w:tcBorders>
            <w:vAlign w:val="top"/>
          </w:tcPr>
          <w:p>
            <w:pPr>
              <w:spacing w:before="265" w:line="183" w:lineRule="auto"/>
              <w:ind w:left="46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82.5</w:t>
            </w:r>
          </w:p>
        </w:tc>
        <w:tc>
          <w:tcPr>
            <w:tcW w:w="1248" w:type="dxa"/>
            <w:tcBorders>
              <w:left w:val="nil"/>
              <w:right w:val="nil"/>
            </w:tcBorders>
            <w:vAlign w:val="top"/>
          </w:tcPr>
          <w:p>
            <w:pPr>
              <w:spacing w:before="265" w:line="183" w:lineRule="auto"/>
              <w:ind w:left="57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76.0</w:t>
            </w:r>
          </w:p>
        </w:tc>
        <w:tc>
          <w:tcPr>
            <w:tcW w:w="1808" w:type="dxa"/>
            <w:tcBorders>
              <w:left w:val="nil"/>
              <w:right w:val="nil"/>
            </w:tcBorders>
            <w:vAlign w:val="top"/>
          </w:tcPr>
          <w:p>
            <w:pPr>
              <w:spacing w:before="265" w:line="183" w:lineRule="auto"/>
              <w:ind w:left="86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-6.5</w:t>
            </w:r>
          </w:p>
        </w:tc>
        <w:tc>
          <w:tcPr>
            <w:tcW w:w="1313" w:type="dxa"/>
            <w:tcBorders>
              <w:left w:val="nil"/>
            </w:tcBorders>
            <w:vAlign w:val="top"/>
          </w:tcPr>
          <w:p>
            <w:pPr>
              <w:spacing w:before="265" w:line="183" w:lineRule="auto"/>
              <w:ind w:left="38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-7.88%</w:t>
            </w:r>
          </w:p>
        </w:tc>
      </w:tr>
      <w:tr>
        <w:tblPrEx>
          <w:tblW w:w="7690" w:type="dxa"/>
          <w:tblInd w:w="2820" w:type="dxa"/>
          <w:tblLayout w:type="fixed"/>
        </w:tblPrEx>
        <w:trPr>
          <w:trHeight w:val="340"/>
        </w:trPr>
        <w:tc>
          <w:tcPr>
            <w:tcW w:w="2022" w:type="dxa"/>
            <w:tcBorders>
              <w:bottom w:val="nil"/>
              <w:right w:val="nil"/>
            </w:tcBorders>
            <w:vAlign w:val="top"/>
          </w:tcPr>
          <w:p>
            <w:pPr>
              <w:spacing w:before="96" w:line="215" w:lineRule="auto"/>
              <w:ind w:left="37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Hudbay</w:t>
            </w:r>
            <w:r>
              <w:rPr>
                <w:rFonts w:ascii="SimSun" w:eastAsia="SimSun" w:hAnsi="SimSun" w:cs="SimSun"/>
                <w:spacing w:val="7"/>
                <w:sz w:val="18"/>
                <w:szCs w:val="18"/>
              </w:rPr>
              <w:t>(哈德贝)</w:t>
            </w:r>
          </w:p>
        </w:tc>
        <w:tc>
          <w:tcPr>
            <w:tcW w:w="1299" w:type="dxa"/>
            <w:tcBorders>
              <w:left w:val="nil"/>
              <w:bottom w:val="nil"/>
              <w:right w:val="nil"/>
            </w:tcBorders>
            <w:vAlign w:val="top"/>
          </w:tcPr>
          <w:p>
            <w:pPr>
              <w:spacing w:before="145" w:line="184" w:lineRule="auto"/>
              <w:ind w:left="46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13.2</w:t>
            </w:r>
          </w:p>
        </w:tc>
        <w:tc>
          <w:tcPr>
            <w:tcW w:w="1248" w:type="dxa"/>
            <w:tcBorders>
              <w:left w:val="nil"/>
              <w:bottom w:val="nil"/>
              <w:right w:val="nil"/>
            </w:tcBorders>
            <w:vAlign w:val="top"/>
          </w:tcPr>
          <w:p>
            <w:pPr>
              <w:spacing w:before="145" w:line="184" w:lineRule="auto"/>
              <w:ind w:left="57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15.6</w:t>
            </w:r>
          </w:p>
        </w:tc>
        <w:tc>
          <w:tcPr>
            <w:tcW w:w="1808" w:type="dxa"/>
            <w:tcBorders>
              <w:left w:val="nil"/>
              <w:bottom w:val="nil"/>
              <w:right w:val="nil"/>
            </w:tcBorders>
            <w:vAlign w:val="top"/>
          </w:tcPr>
          <w:p>
            <w:pPr>
              <w:spacing w:before="146" w:line="183" w:lineRule="auto"/>
              <w:ind w:left="90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FF0008"/>
                <w:spacing w:val="-3"/>
                <w:sz w:val="18"/>
                <w:szCs w:val="18"/>
              </w:rPr>
              <w:t>2.4</w:t>
            </w:r>
          </w:p>
        </w:tc>
        <w:tc>
          <w:tcPr>
            <w:tcW w:w="1313" w:type="dxa"/>
            <w:tcBorders>
              <w:left w:val="nil"/>
              <w:bottom w:val="nil"/>
            </w:tcBorders>
            <w:vAlign w:val="top"/>
          </w:tcPr>
          <w:p>
            <w:pPr>
              <w:spacing w:before="156" w:line="178" w:lineRule="auto"/>
              <w:ind w:left="38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FF0900"/>
                <w:spacing w:val="-4"/>
                <w:sz w:val="18"/>
                <w:szCs w:val="18"/>
              </w:rPr>
              <w:t>18.18%</w:t>
            </w:r>
          </w:p>
        </w:tc>
      </w:tr>
      <w:tr>
        <w:tblPrEx>
          <w:tblW w:w="7690" w:type="dxa"/>
          <w:tblInd w:w="2820" w:type="dxa"/>
          <w:tblLayout w:type="fixed"/>
        </w:tblPrEx>
        <w:trPr>
          <w:trHeight w:val="289"/>
        </w:trPr>
        <w:tc>
          <w:tcPr>
            <w:tcW w:w="2022" w:type="dxa"/>
            <w:tcBorders>
              <w:top w:val="nil"/>
              <w:right w:val="nil"/>
            </w:tcBorders>
            <w:vAlign w:val="top"/>
          </w:tcPr>
          <w:p>
            <w:pPr>
              <w:spacing w:before="60" w:line="219" w:lineRule="auto"/>
              <w:ind w:left="32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Rio</w:t>
            </w:r>
            <w:r>
              <w:rPr>
                <w:rFonts w:ascii="SimSun" w:eastAsia="SimSun" w:hAnsi="SimSun" w:cs="SimSun"/>
                <w:spacing w:val="7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z w:val="18"/>
                <w:szCs w:val="18"/>
              </w:rPr>
              <w:t>Tinto</w:t>
            </w:r>
            <w:r>
              <w:rPr>
                <w:rFonts w:ascii="SimSun" w:eastAsia="SimSun" w:hAnsi="SimSun" w:cs="SimSun"/>
                <w:spacing w:val="7"/>
                <w:sz w:val="18"/>
                <w:szCs w:val="18"/>
              </w:rPr>
              <w:t>(力拓)</w:t>
            </w:r>
          </w:p>
        </w:tc>
        <w:tc>
          <w:tcPr>
            <w:tcW w:w="1299" w:type="dxa"/>
            <w:tcBorders>
              <w:top w:val="nil"/>
              <w:left w:val="nil"/>
              <w:right w:val="nil"/>
            </w:tcBorders>
            <w:vAlign w:val="top"/>
          </w:tcPr>
          <w:p>
            <w:pPr>
              <w:spacing w:before="117" w:line="166" w:lineRule="auto"/>
              <w:ind w:left="55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62</w:t>
            </w:r>
          </w:p>
        </w:tc>
        <w:tc>
          <w:tcPr>
            <w:tcW w:w="1248" w:type="dxa"/>
            <w:tcBorders>
              <w:top w:val="nil"/>
              <w:left w:val="nil"/>
              <w:right w:val="nil"/>
            </w:tcBorders>
            <w:vAlign w:val="top"/>
          </w:tcPr>
          <w:p>
            <w:pPr>
              <w:spacing w:before="136" w:line="143" w:lineRule="exact"/>
              <w:ind w:left="57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8"/>
                <w:szCs w:val="18"/>
              </w:rPr>
              <w:t>69.0</w:t>
            </w:r>
          </w:p>
        </w:tc>
        <w:tc>
          <w:tcPr>
            <w:tcW w:w="1808" w:type="dxa"/>
            <w:tcBorders>
              <w:top w:val="nil"/>
              <w:left w:val="nil"/>
              <w:right w:val="nil"/>
            </w:tcBorders>
            <w:vAlign w:val="top"/>
          </w:tcPr>
          <w:p>
            <w:pPr>
              <w:spacing w:before="136" w:line="143" w:lineRule="exact"/>
              <w:ind w:left="90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FF0019"/>
                <w:spacing w:val="-3"/>
                <w:position w:val="-2"/>
                <w:sz w:val="18"/>
                <w:szCs w:val="18"/>
              </w:rPr>
              <w:t>7.0</w:t>
            </w:r>
          </w:p>
        </w:tc>
        <w:tc>
          <w:tcPr>
            <w:tcW w:w="1313" w:type="dxa"/>
            <w:tcBorders>
              <w:top w:val="nil"/>
              <w:left w:val="nil"/>
            </w:tcBorders>
            <w:vAlign w:val="top"/>
          </w:tcPr>
          <w:p>
            <w:pPr>
              <w:spacing w:before="146" w:line="133" w:lineRule="exact"/>
              <w:ind w:left="38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FF0008"/>
                <w:spacing w:val="-4"/>
                <w:position w:val="-2"/>
                <w:sz w:val="18"/>
                <w:szCs w:val="18"/>
              </w:rPr>
              <w:t>11.29%</w:t>
            </w:r>
          </w:p>
        </w:tc>
      </w:tr>
      <w:tr>
        <w:tblPrEx>
          <w:tblW w:w="7690" w:type="dxa"/>
          <w:tblInd w:w="2820" w:type="dxa"/>
          <w:tblLayout w:type="fixed"/>
        </w:tblPrEx>
        <w:trPr>
          <w:trHeight w:val="629"/>
        </w:trPr>
        <w:tc>
          <w:tcPr>
            <w:tcW w:w="2022" w:type="dxa"/>
            <w:tcBorders>
              <w:right w:val="nil"/>
            </w:tcBorders>
            <w:vAlign w:val="top"/>
          </w:tcPr>
          <w:p>
            <w:pPr>
              <w:spacing w:before="96" w:line="214" w:lineRule="auto"/>
              <w:ind w:left="58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Southern Copper</w:t>
            </w:r>
          </w:p>
          <w:p>
            <w:pPr>
              <w:spacing w:before="107" w:line="212" w:lineRule="auto"/>
              <w:ind w:left="55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7C1900"/>
                <w:spacing w:val="6"/>
                <w:sz w:val="18"/>
                <w:szCs w:val="18"/>
              </w:rPr>
              <w:t>(南方铜业)</w:t>
            </w:r>
          </w:p>
        </w:tc>
        <w:tc>
          <w:tcPr>
            <w:tcW w:w="1299" w:type="dxa"/>
            <w:tcBorders>
              <w:left w:val="nil"/>
              <w:right w:val="nil"/>
            </w:tcBorders>
            <w:vAlign w:val="top"/>
          </w:tcPr>
          <w:p>
            <w:pPr>
              <w:spacing w:before="276" w:line="184" w:lineRule="auto"/>
              <w:ind w:left="46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91.1</w:t>
            </w:r>
          </w:p>
        </w:tc>
        <w:tc>
          <w:tcPr>
            <w:tcW w:w="1248" w:type="dxa"/>
            <w:tcBorders>
              <w:left w:val="nil"/>
              <w:right w:val="nil"/>
            </w:tcBorders>
            <w:vAlign w:val="top"/>
          </w:tcPr>
          <w:p>
            <w:pPr>
              <w:spacing w:before="277" w:line="183" w:lineRule="auto"/>
              <w:ind w:left="57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93.6</w:t>
            </w:r>
          </w:p>
        </w:tc>
        <w:tc>
          <w:tcPr>
            <w:tcW w:w="1808" w:type="dxa"/>
            <w:tcBorders>
              <w:left w:val="nil"/>
              <w:right w:val="nil"/>
            </w:tcBorders>
            <w:vAlign w:val="top"/>
          </w:tcPr>
          <w:p>
            <w:pPr>
              <w:spacing w:before="277" w:line="183" w:lineRule="auto"/>
              <w:ind w:left="90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FF0008"/>
                <w:spacing w:val="-3"/>
                <w:sz w:val="18"/>
                <w:szCs w:val="18"/>
              </w:rPr>
              <w:t>2.5</w:t>
            </w:r>
          </w:p>
        </w:tc>
        <w:tc>
          <w:tcPr>
            <w:tcW w:w="1313" w:type="dxa"/>
            <w:tcBorders>
              <w:left w:val="nil"/>
            </w:tcBorders>
            <w:vAlign w:val="top"/>
          </w:tcPr>
          <w:p>
            <w:pPr>
              <w:spacing w:before="277" w:line="183" w:lineRule="auto"/>
              <w:ind w:left="43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FF0011"/>
                <w:spacing w:val="-2"/>
                <w:sz w:val="18"/>
                <w:szCs w:val="18"/>
              </w:rPr>
              <w:t>2.73%</w:t>
            </w:r>
          </w:p>
        </w:tc>
      </w:tr>
      <w:tr>
        <w:tblPrEx>
          <w:tblW w:w="7690" w:type="dxa"/>
          <w:tblInd w:w="2820" w:type="dxa"/>
          <w:tblLayout w:type="fixed"/>
        </w:tblPrEx>
        <w:trPr>
          <w:trHeight w:val="619"/>
        </w:trPr>
        <w:tc>
          <w:tcPr>
            <w:tcW w:w="2022" w:type="dxa"/>
            <w:tcBorders>
              <w:right w:val="nil"/>
            </w:tcBorders>
            <w:vAlign w:val="top"/>
          </w:tcPr>
          <w:p>
            <w:pPr>
              <w:spacing w:before="133" w:line="244" w:lineRule="auto"/>
              <w:ind w:left="375" w:right="263" w:firstLine="38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Antofagasta</w:t>
            </w:r>
            <w:r>
              <w:rPr>
                <w:rFonts w:ascii="SimSun" w:eastAsia="SimSun" w:hAnsi="SimSun" w:cs="SimSun"/>
                <w:spacing w:val="8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4"/>
                <w:sz w:val="18"/>
                <w:szCs w:val="18"/>
              </w:rPr>
              <w:t>(安托法加斯塔)</w:t>
            </w:r>
          </w:p>
        </w:tc>
        <w:tc>
          <w:tcPr>
            <w:tcW w:w="1299" w:type="dxa"/>
            <w:tcBorders>
              <w:left w:val="nil"/>
              <w:right w:val="nil"/>
            </w:tcBorders>
            <w:vAlign w:val="top"/>
          </w:tcPr>
          <w:p>
            <w:pPr>
              <w:spacing w:before="268" w:line="183" w:lineRule="auto"/>
              <w:ind w:left="46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66.6</w:t>
            </w:r>
          </w:p>
        </w:tc>
        <w:tc>
          <w:tcPr>
            <w:tcW w:w="1248" w:type="dxa"/>
            <w:tcBorders>
              <w:left w:val="nil"/>
              <w:right w:val="nil"/>
            </w:tcBorders>
            <w:vAlign w:val="top"/>
          </w:tcPr>
          <w:p>
            <w:pPr>
              <w:spacing w:before="268" w:line="183" w:lineRule="auto"/>
              <w:ind w:left="57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69.0</w:t>
            </w:r>
          </w:p>
        </w:tc>
        <w:tc>
          <w:tcPr>
            <w:tcW w:w="1808" w:type="dxa"/>
            <w:tcBorders>
              <w:left w:val="nil"/>
              <w:right w:val="nil"/>
            </w:tcBorders>
            <w:vAlign w:val="top"/>
          </w:tcPr>
          <w:p>
            <w:pPr>
              <w:spacing w:before="268" w:line="183" w:lineRule="auto"/>
              <w:ind w:left="90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FF0000"/>
                <w:spacing w:val="-3"/>
                <w:sz w:val="18"/>
                <w:szCs w:val="18"/>
              </w:rPr>
              <w:t>2.4</w:t>
            </w:r>
          </w:p>
        </w:tc>
        <w:tc>
          <w:tcPr>
            <w:tcW w:w="1313" w:type="dxa"/>
            <w:tcBorders>
              <w:left w:val="nil"/>
            </w:tcBorders>
            <w:vAlign w:val="top"/>
          </w:tcPr>
          <w:p>
            <w:pPr>
              <w:spacing w:before="268" w:line="183" w:lineRule="auto"/>
              <w:ind w:left="38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FF0011"/>
                <w:spacing w:val="-2"/>
                <w:sz w:val="18"/>
                <w:szCs w:val="18"/>
              </w:rPr>
              <w:t>3.600%</w:t>
            </w:r>
          </w:p>
        </w:tc>
      </w:tr>
      <w:tr>
        <w:tblPrEx>
          <w:tblW w:w="7690" w:type="dxa"/>
          <w:tblInd w:w="2820" w:type="dxa"/>
          <w:tblLayout w:type="fixed"/>
        </w:tblPrEx>
        <w:trPr>
          <w:trHeight w:val="629"/>
        </w:trPr>
        <w:tc>
          <w:tcPr>
            <w:tcW w:w="2022" w:type="dxa"/>
            <w:tcBorders>
              <w:right w:val="nil"/>
            </w:tcBorders>
            <w:vAlign w:val="top"/>
          </w:tcPr>
          <w:p>
            <w:pPr>
              <w:spacing w:before="146" w:line="183" w:lineRule="auto"/>
              <w:ind w:left="68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First Quantum</w:t>
            </w:r>
          </w:p>
          <w:p>
            <w:pPr>
              <w:spacing w:before="78" w:line="219" w:lineRule="auto"/>
              <w:ind w:left="55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7C1900"/>
                <w:spacing w:val="6"/>
                <w:sz w:val="18"/>
                <w:szCs w:val="18"/>
              </w:rPr>
              <w:t>(第一量子)</w:t>
            </w:r>
          </w:p>
        </w:tc>
        <w:tc>
          <w:tcPr>
            <w:tcW w:w="1299" w:type="dxa"/>
            <w:tcBorders>
              <w:left w:val="nil"/>
              <w:right w:val="nil"/>
            </w:tcBorders>
            <w:vAlign w:val="top"/>
          </w:tcPr>
          <w:p>
            <w:pPr>
              <w:spacing w:before="279" w:line="183" w:lineRule="auto"/>
              <w:ind w:left="46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70.8</w:t>
            </w:r>
          </w:p>
        </w:tc>
        <w:tc>
          <w:tcPr>
            <w:tcW w:w="1248" w:type="dxa"/>
            <w:tcBorders>
              <w:left w:val="nil"/>
              <w:right w:val="nil"/>
            </w:tcBorders>
            <w:vAlign w:val="top"/>
          </w:tcPr>
          <w:p>
            <w:pPr>
              <w:spacing w:before="279" w:line="183" w:lineRule="auto"/>
              <w:ind w:left="57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39.5</w:t>
            </w:r>
          </w:p>
        </w:tc>
        <w:tc>
          <w:tcPr>
            <w:tcW w:w="1808" w:type="dxa"/>
            <w:tcBorders>
              <w:left w:val="nil"/>
              <w:right w:val="nil"/>
            </w:tcBorders>
            <w:vAlign w:val="top"/>
          </w:tcPr>
          <w:p>
            <w:pPr>
              <w:spacing w:before="278" w:line="184" w:lineRule="auto"/>
              <w:ind w:left="81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-31.3</w:t>
            </w:r>
          </w:p>
        </w:tc>
        <w:tc>
          <w:tcPr>
            <w:tcW w:w="1313" w:type="dxa"/>
            <w:tcBorders>
              <w:left w:val="nil"/>
            </w:tcBorders>
            <w:vAlign w:val="top"/>
          </w:tcPr>
          <w:p>
            <w:pPr>
              <w:spacing w:before="251" w:line="239" w:lineRule="auto"/>
              <w:ind w:left="24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934500"/>
                <w:spacing w:val="-1"/>
                <w:sz w:val="18"/>
                <w:szCs w:val="18"/>
              </w:rPr>
              <w:t>-44.21</w:t>
            </w: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%</w:t>
            </w:r>
          </w:p>
        </w:tc>
      </w:tr>
    </w:tbl>
    <w:p>
      <w:pPr>
        <w:sectPr>
          <w:footerReference w:type="default" r:id="rId19"/>
          <w:pgSz w:w="11910" w:h="16840"/>
          <w:pgMar w:top="156" w:right="660" w:bottom="1129" w:left="719" w:header="0" w:footer="856" w:gutter="0"/>
          <w:pgNumType w:start="12"/>
          <w:cols w:space="708"/>
        </w:sectPr>
      </w:pPr>
    </w:p>
    <w:tbl>
      <w:tblPr>
        <w:tblStyle w:val="TableNormal1"/>
        <w:tblW w:w="7690" w:type="dxa"/>
        <w:tblInd w:w="28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022"/>
        <w:gridCol w:w="1299"/>
        <w:gridCol w:w="1248"/>
        <w:gridCol w:w="1808"/>
        <w:gridCol w:w="1313"/>
      </w:tblGrid>
      <w:tr>
        <w:tblPrEx>
          <w:tblW w:w="7690" w:type="dxa"/>
          <w:tblInd w:w="282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609"/>
        </w:trPr>
        <w:tc>
          <w:tcPr>
            <w:tcW w:w="2022" w:type="dxa"/>
            <w:tcBorders>
              <w:right w:val="nil"/>
            </w:tcBorders>
            <w:vAlign w:val="top"/>
          </w:tcPr>
          <w:p>
            <w:pPr>
              <w:spacing w:before="121"/>
              <w:ind w:left="59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Nornickel</w:t>
            </w:r>
          </w:p>
          <w:p>
            <w:pPr>
              <w:spacing w:before="48" w:line="200" w:lineRule="auto"/>
              <w:ind w:left="19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3"/>
                <w:sz w:val="18"/>
                <w:szCs w:val="18"/>
              </w:rPr>
              <w:t>(诺里尔斯克镍公司)</w:t>
            </w:r>
          </w:p>
        </w:tc>
        <w:tc>
          <w:tcPr>
            <w:tcW w:w="1299" w:type="dxa"/>
            <w:tcBorders>
              <w:left w:val="nil"/>
              <w:right w:val="nil"/>
            </w:tcBorders>
            <w:vAlign w:val="top"/>
          </w:tcPr>
          <w:p>
            <w:pPr>
              <w:spacing w:before="270" w:line="183" w:lineRule="auto"/>
              <w:ind w:left="46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42.5</w:t>
            </w:r>
          </w:p>
        </w:tc>
        <w:tc>
          <w:tcPr>
            <w:tcW w:w="1248" w:type="dxa"/>
            <w:tcBorders>
              <w:left w:val="nil"/>
              <w:right w:val="nil"/>
            </w:tcBorders>
            <w:vAlign w:val="top"/>
          </w:tcPr>
          <w:p>
            <w:pPr>
              <w:spacing w:before="269" w:line="184" w:lineRule="auto"/>
              <w:ind w:left="57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41.0</w:t>
            </w:r>
          </w:p>
        </w:tc>
        <w:tc>
          <w:tcPr>
            <w:tcW w:w="1808" w:type="dxa"/>
            <w:tcBorders>
              <w:left w:val="nil"/>
              <w:right w:val="nil"/>
            </w:tcBorders>
            <w:vAlign w:val="top"/>
          </w:tcPr>
          <w:p>
            <w:pPr>
              <w:spacing w:before="269" w:line="184" w:lineRule="auto"/>
              <w:ind w:left="86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-1.5</w:t>
            </w:r>
          </w:p>
        </w:tc>
        <w:tc>
          <w:tcPr>
            <w:tcW w:w="1313" w:type="dxa"/>
            <w:tcBorders>
              <w:left w:val="nil"/>
            </w:tcBorders>
            <w:vAlign w:val="top"/>
          </w:tcPr>
          <w:p>
            <w:pPr>
              <w:spacing w:before="270" w:line="183" w:lineRule="auto"/>
              <w:ind w:left="38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-3.53%</w:t>
            </w:r>
          </w:p>
        </w:tc>
      </w:tr>
      <w:tr>
        <w:tblPrEx>
          <w:tblW w:w="7690" w:type="dxa"/>
          <w:tblInd w:w="2820" w:type="dxa"/>
          <w:tblLayout w:type="fixed"/>
        </w:tblPrEx>
        <w:trPr>
          <w:trHeight w:val="320"/>
        </w:trPr>
        <w:tc>
          <w:tcPr>
            <w:tcW w:w="2022" w:type="dxa"/>
            <w:tcBorders>
              <w:right w:val="nil"/>
            </w:tcBorders>
            <w:vAlign w:val="top"/>
          </w:tcPr>
          <w:p>
            <w:pPr>
              <w:spacing w:before="75" w:line="219" w:lineRule="auto"/>
              <w:ind w:left="10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Barrick</w:t>
            </w:r>
            <w:r>
              <w:rPr>
                <w:rFonts w:ascii="SimSun" w:eastAsia="SimSun" w:hAnsi="SimSun" w:cs="SimSun"/>
                <w:spacing w:val="6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z w:val="18"/>
                <w:szCs w:val="18"/>
              </w:rPr>
              <w:t>Gold</w:t>
            </w:r>
            <w:r>
              <w:rPr>
                <w:rFonts w:ascii="SimSun" w:eastAsia="SimSun" w:hAnsi="SimSun" w:cs="SimSun"/>
                <w:spacing w:val="6"/>
                <w:sz w:val="18"/>
                <w:szCs w:val="18"/>
              </w:rPr>
              <w:t>(巴里克)</w:t>
            </w:r>
          </w:p>
        </w:tc>
        <w:tc>
          <w:tcPr>
            <w:tcW w:w="1299" w:type="dxa"/>
            <w:tcBorders>
              <w:left w:val="nil"/>
              <w:right w:val="nil"/>
            </w:tcBorders>
            <w:vAlign w:val="top"/>
          </w:tcPr>
          <w:p>
            <w:pPr>
              <w:spacing w:before="161" w:line="148" w:lineRule="exact"/>
              <w:ind w:left="55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6"/>
                <w:position w:val="-2"/>
                <w:sz w:val="18"/>
                <w:szCs w:val="18"/>
              </w:rPr>
              <w:t>19</w:t>
            </w:r>
          </w:p>
        </w:tc>
        <w:tc>
          <w:tcPr>
            <w:tcW w:w="1248" w:type="dxa"/>
            <w:tcBorders>
              <w:left w:val="nil"/>
              <w:right w:val="nil"/>
            </w:tcBorders>
            <w:vAlign w:val="top"/>
          </w:tcPr>
          <w:p>
            <w:pPr>
              <w:spacing w:before="181" w:line="128" w:lineRule="exact"/>
              <w:ind w:left="57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4"/>
                <w:position w:val="-2"/>
                <w:sz w:val="18"/>
                <w:szCs w:val="18"/>
              </w:rPr>
              <w:t>19.5</w:t>
            </w:r>
          </w:p>
        </w:tc>
        <w:tc>
          <w:tcPr>
            <w:tcW w:w="1808" w:type="dxa"/>
            <w:tcBorders>
              <w:left w:val="nil"/>
              <w:right w:val="nil"/>
            </w:tcBorders>
            <w:vAlign w:val="top"/>
          </w:tcPr>
          <w:p>
            <w:pPr>
              <w:spacing w:before="171" w:line="138" w:lineRule="exact"/>
              <w:ind w:left="90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8"/>
                <w:szCs w:val="18"/>
              </w:rPr>
              <w:t>0.5</w:t>
            </w:r>
          </w:p>
        </w:tc>
        <w:tc>
          <w:tcPr>
            <w:tcW w:w="1313" w:type="dxa"/>
            <w:tcBorders>
              <w:left w:val="nil"/>
            </w:tcBorders>
            <w:vAlign w:val="top"/>
          </w:tcPr>
          <w:p>
            <w:pPr>
              <w:spacing w:before="181" w:line="128" w:lineRule="exact"/>
              <w:ind w:left="433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8"/>
                <w:szCs w:val="18"/>
              </w:rPr>
              <w:t>2.63%</w:t>
            </w:r>
          </w:p>
        </w:tc>
      </w:tr>
      <w:tr>
        <w:tblPrEx>
          <w:tblW w:w="7690" w:type="dxa"/>
          <w:tblInd w:w="2820" w:type="dxa"/>
          <w:tblLayout w:type="fixed"/>
        </w:tblPrEx>
        <w:trPr>
          <w:trHeight w:val="619"/>
        </w:trPr>
        <w:tc>
          <w:tcPr>
            <w:tcW w:w="2022" w:type="dxa"/>
            <w:tcBorders>
              <w:right w:val="nil"/>
            </w:tcBorders>
            <w:vAlign w:val="top"/>
          </w:tcPr>
          <w:p>
            <w:pPr>
              <w:spacing w:before="109" w:line="214" w:lineRule="auto"/>
              <w:ind w:left="62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Lunding Mining</w:t>
            </w:r>
          </w:p>
          <w:p>
            <w:pPr>
              <w:spacing w:before="77" w:line="219" w:lineRule="auto"/>
              <w:ind w:left="55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7D1100"/>
                <w:spacing w:val="6"/>
                <w:sz w:val="18"/>
                <w:szCs w:val="18"/>
              </w:rPr>
              <w:t>(伦丁矿业)</w:t>
            </w:r>
          </w:p>
        </w:tc>
        <w:tc>
          <w:tcPr>
            <w:tcW w:w="1299" w:type="dxa"/>
            <w:tcBorders>
              <w:left w:val="nil"/>
              <w:right w:val="nil"/>
            </w:tcBorders>
            <w:vAlign w:val="top"/>
          </w:tcPr>
          <w:p>
            <w:pPr>
              <w:spacing w:before="270" w:line="184" w:lineRule="auto"/>
              <w:ind w:left="46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31.5</w:t>
            </w:r>
          </w:p>
        </w:tc>
        <w:tc>
          <w:tcPr>
            <w:tcW w:w="1248" w:type="dxa"/>
            <w:tcBorders>
              <w:left w:val="nil"/>
              <w:right w:val="nil"/>
            </w:tcBorders>
            <w:vAlign w:val="top"/>
          </w:tcPr>
          <w:p>
            <w:pPr>
              <w:spacing w:before="271" w:line="183" w:lineRule="auto"/>
              <w:ind w:left="57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38.3</w:t>
            </w:r>
          </w:p>
        </w:tc>
        <w:tc>
          <w:tcPr>
            <w:tcW w:w="1808" w:type="dxa"/>
            <w:tcBorders>
              <w:left w:val="nil"/>
              <w:right w:val="nil"/>
            </w:tcBorders>
            <w:vAlign w:val="top"/>
          </w:tcPr>
          <w:p>
            <w:pPr>
              <w:spacing w:before="271" w:line="183" w:lineRule="auto"/>
              <w:ind w:left="90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FF0011"/>
                <w:spacing w:val="-2"/>
                <w:sz w:val="18"/>
                <w:szCs w:val="18"/>
              </w:rPr>
              <w:t>6.8</w:t>
            </w:r>
          </w:p>
        </w:tc>
        <w:tc>
          <w:tcPr>
            <w:tcW w:w="1313" w:type="dxa"/>
            <w:tcBorders>
              <w:left w:val="nil"/>
            </w:tcBorders>
            <w:vAlign w:val="top"/>
          </w:tcPr>
          <w:p>
            <w:pPr>
              <w:spacing w:before="270" w:line="184" w:lineRule="auto"/>
              <w:ind w:left="38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color w:val="FF0008"/>
                <w:spacing w:val="-2"/>
                <w:sz w:val="18"/>
                <w:szCs w:val="18"/>
              </w:rPr>
              <w:t>21.59%</w:t>
            </w:r>
          </w:p>
        </w:tc>
      </w:tr>
      <w:tr>
        <w:tblPrEx>
          <w:tblW w:w="7690" w:type="dxa"/>
          <w:tblInd w:w="2820" w:type="dxa"/>
          <w:tblLayout w:type="fixed"/>
        </w:tblPrEx>
        <w:trPr>
          <w:trHeight w:val="629"/>
        </w:trPr>
        <w:tc>
          <w:tcPr>
            <w:tcW w:w="2022" w:type="dxa"/>
            <w:tcBorders>
              <w:right w:val="nil"/>
            </w:tcBorders>
            <w:vAlign w:val="top"/>
          </w:tcPr>
          <w:p>
            <w:pPr>
              <w:spacing w:before="141" w:line="245" w:lineRule="auto"/>
              <w:ind w:left="644" w:right="66" w:hanging="13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Freeport-Mcmoran</w:t>
            </w:r>
            <w:r>
              <w:rPr>
                <w:rFonts w:ascii="SimSun" w:eastAsia="SimSun" w:hAnsi="SimSun" w:cs="SimSun"/>
                <w:spacing w:val="10"/>
                <w:sz w:val="18"/>
                <w:szCs w:val="18"/>
              </w:rPr>
              <w:t xml:space="preserve"> </w:t>
            </w:r>
            <w:r>
              <w:rPr>
                <w:rFonts w:ascii="SimSun" w:eastAsia="SimSun" w:hAnsi="SimSun" w:cs="SimSun"/>
                <w:spacing w:val="7"/>
                <w:sz w:val="18"/>
                <w:szCs w:val="18"/>
              </w:rPr>
              <w:t>(自由港)</w:t>
            </w:r>
          </w:p>
        </w:tc>
        <w:tc>
          <w:tcPr>
            <w:tcW w:w="1299" w:type="dxa"/>
            <w:tcBorders>
              <w:left w:val="nil"/>
              <w:right w:val="nil"/>
            </w:tcBorders>
            <w:vAlign w:val="top"/>
          </w:tcPr>
          <w:p>
            <w:pPr>
              <w:spacing w:before="281" w:line="184" w:lineRule="auto"/>
              <w:ind w:left="50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5"/>
                <w:sz w:val="18"/>
                <w:szCs w:val="18"/>
              </w:rPr>
              <w:t>190</w:t>
            </w:r>
          </w:p>
        </w:tc>
        <w:tc>
          <w:tcPr>
            <w:tcW w:w="1248" w:type="dxa"/>
            <w:tcBorders>
              <w:left w:val="nil"/>
              <w:right w:val="nil"/>
            </w:tcBorders>
            <w:vAlign w:val="top"/>
          </w:tcPr>
          <w:p>
            <w:pPr>
              <w:spacing w:before="281" w:line="184" w:lineRule="auto"/>
              <w:ind w:left="52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185.0</w:t>
            </w:r>
          </w:p>
        </w:tc>
        <w:tc>
          <w:tcPr>
            <w:tcW w:w="1808" w:type="dxa"/>
            <w:tcBorders>
              <w:left w:val="nil"/>
              <w:right w:val="nil"/>
            </w:tcBorders>
            <w:vAlign w:val="top"/>
          </w:tcPr>
          <w:p>
            <w:pPr>
              <w:spacing w:before="282" w:line="183" w:lineRule="auto"/>
              <w:ind w:left="861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-5.0</w:t>
            </w:r>
          </w:p>
        </w:tc>
        <w:tc>
          <w:tcPr>
            <w:tcW w:w="1313" w:type="dxa"/>
            <w:tcBorders>
              <w:left w:val="nil"/>
            </w:tcBorders>
            <w:vAlign w:val="top"/>
          </w:tcPr>
          <w:p>
            <w:pPr>
              <w:spacing w:before="282" w:line="183" w:lineRule="auto"/>
              <w:ind w:left="38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-2.63%</w:t>
            </w:r>
          </w:p>
        </w:tc>
      </w:tr>
      <w:tr>
        <w:tblPrEx>
          <w:tblW w:w="7690" w:type="dxa"/>
          <w:tblInd w:w="2820" w:type="dxa"/>
          <w:tblLayout w:type="fixed"/>
        </w:tblPrEx>
        <w:trPr>
          <w:trHeight w:val="335"/>
        </w:trPr>
        <w:tc>
          <w:tcPr>
            <w:tcW w:w="2022" w:type="dxa"/>
            <w:tcBorders>
              <w:right w:val="nil"/>
            </w:tcBorders>
            <w:vAlign w:val="top"/>
          </w:tcPr>
          <w:p>
            <w:pPr>
              <w:spacing w:before="87" w:line="219" w:lineRule="auto"/>
              <w:ind w:left="32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KAZ</w:t>
            </w:r>
            <w:r>
              <w:rPr>
                <w:rFonts w:ascii="SimSun" w:eastAsia="SimSun" w:hAnsi="SimSun" w:cs="SimSun"/>
                <w:spacing w:val="5"/>
                <w:sz w:val="18"/>
                <w:szCs w:val="18"/>
              </w:rPr>
              <w:t>(哈萨克矿业)</w:t>
            </w:r>
          </w:p>
        </w:tc>
        <w:tc>
          <w:tcPr>
            <w:tcW w:w="1299" w:type="dxa"/>
            <w:tcBorders>
              <w:left w:val="nil"/>
              <w:right w:val="nil"/>
            </w:tcBorders>
            <w:vAlign w:val="top"/>
          </w:tcPr>
          <w:p>
            <w:pPr>
              <w:spacing w:before="134" w:line="183" w:lineRule="auto"/>
              <w:ind w:left="46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40.4</w:t>
            </w:r>
          </w:p>
        </w:tc>
        <w:tc>
          <w:tcPr>
            <w:tcW w:w="1248" w:type="dxa"/>
            <w:tcBorders>
              <w:left w:val="nil"/>
              <w:right w:val="nil"/>
            </w:tcBorders>
            <w:vAlign w:val="top"/>
          </w:tcPr>
          <w:p>
            <w:pPr>
              <w:spacing w:before="92" w:line="224" w:lineRule="auto"/>
              <w:ind w:left="70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/</w:t>
            </w:r>
          </w:p>
        </w:tc>
        <w:tc>
          <w:tcPr>
            <w:tcW w:w="1808" w:type="dxa"/>
            <w:tcBorders>
              <w:left w:val="nil"/>
              <w:right w:val="nil"/>
            </w:tcBorders>
            <w:vAlign w:val="top"/>
          </w:tcPr>
          <w:p>
            <w:pPr>
              <w:spacing w:before="92" w:line="224" w:lineRule="auto"/>
              <w:ind w:left="99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/</w:t>
            </w:r>
          </w:p>
        </w:tc>
        <w:tc>
          <w:tcPr>
            <w:tcW w:w="1313" w:type="dxa"/>
            <w:tcBorders>
              <w:left w:val="nil"/>
            </w:tcBorders>
            <w:vAlign w:val="top"/>
          </w:tcPr>
          <w:p>
            <w:pPr>
              <w:spacing w:before="92" w:line="224" w:lineRule="auto"/>
              <w:ind w:left="612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/</w:t>
            </w:r>
          </w:p>
        </w:tc>
      </w:tr>
    </w:tbl>
    <w:p>
      <w:pPr>
        <w:spacing w:line="225" w:lineRule="exact"/>
        <w:rPr>
          <w:rFonts w:ascii="Arial"/>
          <w:sz w:val="19"/>
        </w:rPr>
      </w:pPr>
    </w:p>
    <w:p>
      <w:pPr>
        <w:spacing w:line="225" w:lineRule="exact"/>
        <w:rPr>
          <w:rFonts w:ascii="Arial" w:eastAsia="Arial" w:hAnsi="Arial" w:cs="Arial"/>
          <w:sz w:val="19"/>
          <w:szCs w:val="19"/>
        </w:rPr>
        <w:sectPr>
          <w:footerReference w:type="default" r:id="rId20"/>
          <w:type w:val="nextPage"/>
          <w:pgSz w:w="11910" w:h="16840"/>
          <w:pgMar w:top="156" w:right="660" w:bottom="1129" w:left="719" w:header="0" w:footer="856" w:gutter="0"/>
          <w:pgNumType w:start="13"/>
          <w:cols w:space="708"/>
          <w:titlePg w:val="0"/>
        </w:sectPr>
      </w:pPr>
    </w:p>
    <w:p>
      <w:pPr>
        <w:spacing w:before="153" w:line="226" w:lineRule="auto"/>
        <w:ind w:left="170"/>
        <w:rPr>
          <w:rFonts w:ascii="YouYuan" w:eastAsia="YouYuan" w:hAnsi="YouYuan" w:cs="YouYuan"/>
          <w:sz w:val="60"/>
          <w:szCs w:val="60"/>
        </w:rPr>
      </w:pPr>
      <w:bookmarkStart w:id="7" w:name="bookmark7"/>
      <w:bookmarkEnd w:id="7"/>
      <w:bookmarkStart w:id="8" w:name="bookmark8"/>
      <w:bookmarkEnd w:id="8"/>
      <w:r>
        <w:rPr>
          <w:rFonts w:ascii="YouYuan" w:eastAsia="YouYuan" w:hAnsi="YouYuan" w:cs="YouYuan"/>
          <w:position w:val="-21"/>
          <w:sz w:val="60"/>
          <w:szCs w:val="60"/>
        </w:rPr>
        <w:drawing>
          <wp:inline distT="0" distB="0" distL="0" distR="0">
            <wp:extent cx="577801" cy="488901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7801" cy="488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YouYuan" w:eastAsia="YouYuan" w:hAnsi="YouYuan" w:cs="YouYuan"/>
          <w:b/>
          <w:bCs/>
          <w:spacing w:val="28"/>
          <w:sz w:val="60"/>
          <w:szCs w:val="60"/>
        </w:rPr>
        <w:t>开源证券</w:t>
      </w:r>
    </w:p>
    <w:p>
      <w:pPr>
        <w:pStyle w:val="BodyText"/>
        <w:spacing w:before="34" w:line="227" w:lineRule="auto"/>
        <w:ind w:left="9107"/>
        <w:rPr>
          <w:sz w:val="22"/>
          <w:szCs w:val="22"/>
        </w:rPr>
      </w:pPr>
      <w:r>
        <w:pict>
          <v:rect id="_x0000_s1032" style="width:516.55pt;height:0.55pt;margin-top:12.17pt;margin-left:1.5pt;position:absolute;z-index:251664384" filled="t" fillcolor="black" stroked="f"/>
        </w:pict>
      </w:r>
      <w:r>
        <w:rPr>
          <w:b/>
          <w:bCs/>
          <w:spacing w:val="-12"/>
          <w:sz w:val="22"/>
          <w:szCs w:val="22"/>
        </w:rPr>
        <w:t>行</w:t>
      </w:r>
      <w:r>
        <w:rPr>
          <w:spacing w:val="37"/>
          <w:sz w:val="22"/>
          <w:szCs w:val="22"/>
        </w:rPr>
        <w:t xml:space="preserve"> </w:t>
      </w:r>
      <w:r>
        <w:rPr>
          <w:b/>
          <w:bCs/>
          <w:spacing w:val="-12"/>
          <w:sz w:val="22"/>
          <w:szCs w:val="22"/>
        </w:rPr>
        <w:t>业</w:t>
      </w:r>
      <w:r>
        <w:rPr>
          <w:spacing w:val="25"/>
          <w:sz w:val="22"/>
          <w:szCs w:val="22"/>
        </w:rPr>
        <w:t xml:space="preserve"> </w:t>
      </w:r>
      <w:r>
        <w:rPr>
          <w:b/>
          <w:bCs/>
          <w:spacing w:val="-12"/>
          <w:sz w:val="22"/>
          <w:szCs w:val="22"/>
        </w:rPr>
        <w:t>周</w:t>
      </w:r>
      <w:r>
        <w:rPr>
          <w:spacing w:val="23"/>
          <w:sz w:val="22"/>
          <w:szCs w:val="22"/>
        </w:rPr>
        <w:t xml:space="preserve"> </w:t>
      </w:r>
      <w:r>
        <w:rPr>
          <w:b/>
          <w:bCs/>
          <w:spacing w:val="-12"/>
          <w:sz w:val="22"/>
          <w:szCs w:val="22"/>
        </w:rPr>
        <w:t>报</w:t>
      </w:r>
    </w:p>
    <w:p>
      <w:pPr>
        <w:spacing w:line="49" w:lineRule="exact"/>
      </w:pPr>
    </w:p>
    <w:tbl>
      <w:tblPr>
        <w:tblStyle w:val="TableNormal2"/>
        <w:tblW w:w="7630" w:type="dxa"/>
        <w:tblInd w:w="28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000080"/>
        <w:tblLayout w:type="fixed"/>
      </w:tblPr>
      <w:tblGrid>
        <w:gridCol w:w="7630"/>
      </w:tblGrid>
      <w:tr>
        <w:tblPrEx>
          <w:tblW w:w="7630" w:type="dxa"/>
          <w:tblInd w:w="284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  <w:shd w:val="clear" w:color="auto" w:fill="000080"/>
          <w:tblLayout w:type="fixed"/>
        </w:tblPrEx>
        <w:trPr>
          <w:trHeight w:val="309"/>
        </w:trPr>
        <w:tc>
          <w:tcPr>
            <w:tcW w:w="7630" w:type="dxa"/>
            <w:shd w:val="clear" w:color="auto" w:fill="000080"/>
            <w:vAlign w:val="top"/>
          </w:tcPr>
          <w:p>
            <w:pPr>
              <w:spacing w:before="70" w:line="211" w:lineRule="auto"/>
              <w:ind w:left="617"/>
              <w:rPr>
                <w:rFonts w:ascii="SimSun" w:eastAsia="SimSun" w:hAnsi="SimSun" w:cs="SimSun"/>
                <w:sz w:val="20"/>
                <w:szCs w:val="20"/>
              </w:rPr>
            </w:pPr>
            <w:r>
              <w:rPr>
                <w:rFonts w:ascii="SimSun" w:eastAsia="SimSun" w:hAnsi="SimSun" w:cs="SimSun"/>
                <w:b/>
                <w:bCs/>
                <w:color w:val="FFFFFF"/>
                <w:spacing w:val="2"/>
                <w:sz w:val="20"/>
                <w:szCs w:val="20"/>
              </w:rPr>
              <w:t>公司名称</w:t>
            </w:r>
            <w:r>
              <w:rPr>
                <w:rFonts w:ascii="SimSun" w:eastAsia="SimSun" w:hAnsi="SimSun" w:cs="SimSun"/>
                <w:color w:val="FFFFFF"/>
                <w:spacing w:val="16"/>
                <w:sz w:val="20"/>
                <w:szCs w:val="20"/>
              </w:rPr>
              <w:t xml:space="preserve">      </w:t>
            </w:r>
            <w:r>
              <w:rPr>
                <w:rFonts w:ascii="SimSun" w:eastAsia="SimSun" w:hAnsi="SimSun" w:cs="SimSun"/>
                <w:b/>
                <w:bCs/>
                <w:color w:val="FFFFFF"/>
                <w:spacing w:val="2"/>
                <w:sz w:val="20"/>
                <w:szCs w:val="20"/>
              </w:rPr>
              <w:t>2023A(万吨)</w:t>
            </w:r>
            <w:r>
              <w:rPr>
                <w:rFonts w:ascii="SimSun" w:eastAsia="SimSun" w:hAnsi="SimSun" w:cs="SimSun"/>
                <w:color w:val="FFFFFF"/>
                <w:spacing w:val="2"/>
                <w:sz w:val="20"/>
                <w:szCs w:val="20"/>
              </w:rPr>
              <w:t xml:space="preserve">  </w:t>
            </w:r>
            <w:r>
              <w:rPr>
                <w:rFonts w:ascii="SimSun" w:eastAsia="SimSun" w:hAnsi="SimSun" w:cs="SimSun"/>
                <w:b/>
                <w:bCs/>
                <w:color w:val="FFFFFF"/>
                <w:spacing w:val="2"/>
                <w:sz w:val="20"/>
                <w:szCs w:val="20"/>
              </w:rPr>
              <w:t>2024E(万吨)</w:t>
            </w:r>
            <w:r>
              <w:rPr>
                <w:rFonts w:ascii="SimSun" w:eastAsia="SimSun" w:hAnsi="SimSun" w:cs="SimSun"/>
                <w:color w:val="FFFFFF"/>
                <w:spacing w:val="65"/>
                <w:sz w:val="20"/>
                <w:szCs w:val="20"/>
              </w:rPr>
              <w:t xml:space="preserve"> </w:t>
            </w:r>
            <w:r>
              <w:rPr>
                <w:rFonts w:ascii="SimSun" w:eastAsia="SimSun" w:hAnsi="SimSun" w:cs="SimSun"/>
                <w:b/>
                <w:bCs/>
                <w:color w:val="FFFFFF"/>
                <w:spacing w:val="2"/>
                <w:sz w:val="20"/>
                <w:szCs w:val="20"/>
              </w:rPr>
              <w:t>产量变动(万吨)</w:t>
            </w:r>
            <w:r>
              <w:rPr>
                <w:rFonts w:ascii="SimSun" w:eastAsia="SimSun" w:hAnsi="SimSun" w:cs="SimSun"/>
                <w:color w:val="FFFFFF"/>
                <w:spacing w:val="14"/>
                <w:sz w:val="20"/>
                <w:szCs w:val="20"/>
              </w:rPr>
              <w:t xml:space="preserve">   </w:t>
            </w:r>
            <w:r>
              <w:rPr>
                <w:rFonts w:ascii="SimSun" w:eastAsia="SimSun" w:hAnsi="SimSun" w:cs="SimSun"/>
                <w:b/>
                <w:bCs/>
                <w:color w:val="FFFFFF"/>
                <w:spacing w:val="2"/>
                <w:sz w:val="20"/>
                <w:szCs w:val="20"/>
              </w:rPr>
              <w:t>同比变动</w:t>
            </w:r>
          </w:p>
        </w:tc>
      </w:tr>
    </w:tbl>
    <w:p>
      <w:pPr>
        <w:spacing w:line="74" w:lineRule="exact"/>
      </w:pPr>
    </w:p>
    <w:tbl>
      <w:tblPr>
        <w:tblStyle w:val="TableNormal2"/>
        <w:tblW w:w="7144" w:type="dxa"/>
        <w:tblInd w:w="28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060"/>
        <w:gridCol w:w="1345"/>
        <w:gridCol w:w="1440"/>
        <w:gridCol w:w="1307"/>
        <w:gridCol w:w="992"/>
      </w:tblGrid>
      <w:tr>
        <w:tblPrEx>
          <w:tblW w:w="7144" w:type="dxa"/>
          <w:tblInd w:w="287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264"/>
        </w:trPr>
        <w:tc>
          <w:tcPr>
            <w:tcW w:w="2060" w:type="dxa"/>
            <w:vAlign w:val="top"/>
          </w:tcPr>
          <w:p>
            <w:pPr>
              <w:spacing w:line="221" w:lineRule="auto"/>
              <w:ind w:left="25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BHP</w:t>
            </w:r>
            <w:r>
              <w:rPr>
                <w:rFonts w:ascii="SimSun" w:eastAsia="SimSun" w:hAnsi="SimSun" w:cs="SimSun"/>
                <w:spacing w:val="6"/>
                <w:sz w:val="18"/>
                <w:szCs w:val="18"/>
              </w:rPr>
              <w:t>(必和必拓)</w:t>
            </w:r>
          </w:p>
        </w:tc>
        <w:tc>
          <w:tcPr>
            <w:tcW w:w="1345" w:type="dxa"/>
            <w:vAlign w:val="top"/>
          </w:tcPr>
          <w:p>
            <w:pPr>
              <w:spacing w:before="73" w:line="184" w:lineRule="auto"/>
              <w:ind w:left="43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177.6</w:t>
            </w:r>
          </w:p>
        </w:tc>
        <w:tc>
          <w:tcPr>
            <w:tcW w:w="1440" w:type="dxa"/>
            <w:vAlign w:val="top"/>
          </w:tcPr>
          <w:p>
            <w:pPr>
              <w:spacing w:before="73" w:line="184" w:lineRule="auto"/>
              <w:ind w:left="49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4"/>
                <w:sz w:val="18"/>
                <w:szCs w:val="18"/>
              </w:rPr>
              <w:t>181.5</w:t>
            </w:r>
          </w:p>
        </w:tc>
        <w:tc>
          <w:tcPr>
            <w:tcW w:w="1307" w:type="dxa"/>
            <w:vAlign w:val="top"/>
          </w:tcPr>
          <w:p>
            <w:pPr>
              <w:spacing w:before="64" w:line="183" w:lineRule="auto"/>
              <w:ind w:left="52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3"/>
                <w:sz w:val="18"/>
                <w:szCs w:val="18"/>
              </w:rPr>
              <w:t>3.9</w:t>
            </w:r>
          </w:p>
        </w:tc>
        <w:tc>
          <w:tcPr>
            <w:tcW w:w="992" w:type="dxa"/>
            <w:vAlign w:val="top"/>
          </w:tcPr>
          <w:p>
            <w:pPr>
              <w:spacing w:before="44" w:line="183" w:lineRule="auto"/>
              <w:ind w:left="47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2.20%</w:t>
            </w:r>
          </w:p>
        </w:tc>
      </w:tr>
      <w:tr>
        <w:tblPrEx>
          <w:tblW w:w="7144" w:type="dxa"/>
          <w:tblInd w:w="2870" w:type="dxa"/>
          <w:tblLayout w:type="fixed"/>
        </w:tblPrEx>
        <w:trPr>
          <w:trHeight w:val="315"/>
        </w:trPr>
        <w:tc>
          <w:tcPr>
            <w:tcW w:w="2060" w:type="dxa"/>
            <w:vAlign w:val="top"/>
          </w:tcPr>
          <w:p>
            <w:pPr>
              <w:spacing w:before="64" w:line="220" w:lineRule="auto"/>
              <w:ind w:left="18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Glencore</w:t>
            </w:r>
            <w:r>
              <w:rPr>
                <w:rFonts w:ascii="SimSun" w:eastAsia="SimSun" w:hAnsi="SimSun" w:cs="SimSun"/>
                <w:spacing w:val="7"/>
                <w:sz w:val="18"/>
                <w:szCs w:val="18"/>
              </w:rPr>
              <w:t>(嘉能可)</w:t>
            </w:r>
          </w:p>
        </w:tc>
        <w:tc>
          <w:tcPr>
            <w:tcW w:w="1345" w:type="dxa"/>
            <w:vAlign w:val="top"/>
          </w:tcPr>
          <w:p>
            <w:pPr>
              <w:spacing w:before="119" w:line="184" w:lineRule="auto"/>
              <w:ind w:left="49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5"/>
                <w:sz w:val="18"/>
                <w:szCs w:val="18"/>
              </w:rPr>
              <w:t>101</w:t>
            </w:r>
          </w:p>
        </w:tc>
        <w:tc>
          <w:tcPr>
            <w:tcW w:w="1440" w:type="dxa"/>
            <w:vAlign w:val="top"/>
          </w:tcPr>
          <w:p>
            <w:pPr>
              <w:spacing w:before="120" w:line="183" w:lineRule="auto"/>
              <w:ind w:left="52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98.0</w:t>
            </w:r>
          </w:p>
        </w:tc>
        <w:tc>
          <w:tcPr>
            <w:tcW w:w="1307" w:type="dxa"/>
            <w:vAlign w:val="top"/>
          </w:tcPr>
          <w:p>
            <w:pPr>
              <w:spacing w:before="90" w:line="183" w:lineRule="auto"/>
              <w:ind w:left="48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-3.0</w:t>
            </w:r>
          </w:p>
        </w:tc>
        <w:tc>
          <w:tcPr>
            <w:tcW w:w="992" w:type="dxa"/>
            <w:vAlign w:val="top"/>
          </w:tcPr>
          <w:p>
            <w:pPr>
              <w:spacing w:before="90" w:line="183" w:lineRule="auto"/>
              <w:jc w:val="right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-2.97%</w:t>
            </w:r>
          </w:p>
        </w:tc>
      </w:tr>
      <w:tr>
        <w:tblPrEx>
          <w:tblW w:w="7144" w:type="dxa"/>
          <w:tblInd w:w="2870" w:type="dxa"/>
          <w:tblLayout w:type="fixed"/>
        </w:tblPrEx>
        <w:trPr>
          <w:trHeight w:val="325"/>
        </w:trPr>
        <w:tc>
          <w:tcPr>
            <w:tcW w:w="2060" w:type="dxa"/>
            <w:vAlign w:val="top"/>
          </w:tcPr>
          <w:p>
            <w:pPr>
              <w:spacing w:before="69" w:line="219" w:lineRule="auto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KGHM</w:t>
            </w:r>
            <w:r>
              <w:rPr>
                <w:rFonts w:ascii="SimSun" w:eastAsia="SimSun" w:hAnsi="SimSun" w:cs="SimSun"/>
                <w:spacing w:val="4"/>
                <w:sz w:val="18"/>
                <w:szCs w:val="18"/>
              </w:rPr>
              <w:t>(波兰铜业集团)</w:t>
            </w:r>
          </w:p>
        </w:tc>
        <w:tc>
          <w:tcPr>
            <w:tcW w:w="1345" w:type="dxa"/>
            <w:vAlign w:val="top"/>
          </w:tcPr>
          <w:p>
            <w:pPr>
              <w:spacing w:before="114" w:line="184" w:lineRule="auto"/>
              <w:ind w:left="45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51.3</w:t>
            </w:r>
          </w:p>
        </w:tc>
        <w:tc>
          <w:tcPr>
            <w:tcW w:w="1440" w:type="dxa"/>
            <w:vAlign w:val="top"/>
          </w:tcPr>
          <w:p>
            <w:pPr>
              <w:spacing w:before="74" w:line="224" w:lineRule="auto"/>
              <w:ind w:left="62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/</w:t>
            </w:r>
          </w:p>
        </w:tc>
        <w:tc>
          <w:tcPr>
            <w:tcW w:w="1307" w:type="dxa"/>
            <w:vAlign w:val="top"/>
          </w:tcPr>
          <w:p>
            <w:pPr>
              <w:spacing w:before="74" w:line="224" w:lineRule="auto"/>
              <w:ind w:left="57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/</w:t>
            </w:r>
          </w:p>
        </w:tc>
        <w:tc>
          <w:tcPr>
            <w:tcW w:w="992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7144" w:type="dxa"/>
          <w:tblInd w:w="2870" w:type="dxa"/>
          <w:tblLayout w:type="fixed"/>
        </w:tblPrEx>
        <w:trPr>
          <w:trHeight w:val="326"/>
        </w:trPr>
        <w:tc>
          <w:tcPr>
            <w:tcW w:w="2060" w:type="dxa"/>
            <w:vAlign w:val="top"/>
          </w:tcPr>
          <w:p>
            <w:pPr>
              <w:spacing w:before="71"/>
              <w:ind w:left="66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1"/>
                <w:sz w:val="18"/>
                <w:szCs w:val="18"/>
              </w:rPr>
              <w:t>Boliden</w:t>
            </w:r>
          </w:p>
        </w:tc>
        <w:tc>
          <w:tcPr>
            <w:tcW w:w="1345" w:type="dxa"/>
            <w:vAlign w:val="top"/>
          </w:tcPr>
          <w:p>
            <w:pPr>
              <w:spacing w:before="120" w:line="183" w:lineRule="auto"/>
              <w:ind w:left="519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8.9</w:t>
            </w:r>
          </w:p>
        </w:tc>
        <w:tc>
          <w:tcPr>
            <w:tcW w:w="1440" w:type="dxa"/>
            <w:vAlign w:val="top"/>
          </w:tcPr>
          <w:p>
            <w:pPr>
              <w:spacing w:before="89" w:line="224" w:lineRule="auto"/>
              <w:ind w:left="63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/</w:t>
            </w:r>
          </w:p>
        </w:tc>
        <w:tc>
          <w:tcPr>
            <w:tcW w:w="1307" w:type="dxa"/>
            <w:vAlign w:val="top"/>
          </w:tcPr>
          <w:p>
            <w:pPr>
              <w:spacing w:before="89" w:line="224" w:lineRule="auto"/>
              <w:ind w:left="58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/</w:t>
            </w:r>
          </w:p>
        </w:tc>
        <w:tc>
          <w:tcPr>
            <w:tcW w:w="992" w:type="dxa"/>
            <w:vAlign w:val="top"/>
          </w:tcPr>
          <w:p>
            <w:pPr>
              <w:spacing w:before="89" w:line="224" w:lineRule="auto"/>
              <w:ind w:left="707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/</w:t>
            </w:r>
          </w:p>
        </w:tc>
      </w:tr>
      <w:tr>
        <w:tblPrEx>
          <w:tblW w:w="7144" w:type="dxa"/>
          <w:tblInd w:w="2870" w:type="dxa"/>
          <w:tblLayout w:type="fixed"/>
        </w:tblPrEx>
        <w:trPr>
          <w:trHeight w:val="252"/>
        </w:trPr>
        <w:tc>
          <w:tcPr>
            <w:tcW w:w="2060" w:type="dxa"/>
            <w:vAlign w:val="top"/>
          </w:tcPr>
          <w:p>
            <w:pPr>
              <w:spacing w:before="59" w:line="187" w:lineRule="auto"/>
              <w:ind w:left="82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sz w:val="18"/>
                <w:szCs w:val="18"/>
              </w:rPr>
              <w:t>合计</w:t>
            </w:r>
          </w:p>
        </w:tc>
        <w:tc>
          <w:tcPr>
            <w:tcW w:w="1345" w:type="dxa"/>
            <w:vAlign w:val="top"/>
          </w:tcPr>
          <w:p>
            <w:pPr>
              <w:spacing w:before="113" w:line="128" w:lineRule="exact"/>
              <w:ind w:left="390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8"/>
                <w:szCs w:val="18"/>
              </w:rPr>
              <w:t>1110.7</w:t>
            </w:r>
          </w:p>
        </w:tc>
        <w:tc>
          <w:tcPr>
            <w:tcW w:w="1440" w:type="dxa"/>
            <w:vAlign w:val="top"/>
          </w:tcPr>
          <w:p>
            <w:pPr>
              <w:spacing w:before="113" w:line="128" w:lineRule="exact"/>
              <w:ind w:left="435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8"/>
                <w:szCs w:val="18"/>
              </w:rPr>
              <w:t>1010.0</w:t>
            </w:r>
          </w:p>
        </w:tc>
        <w:tc>
          <w:tcPr>
            <w:tcW w:w="1307" w:type="dxa"/>
            <w:vAlign w:val="top"/>
          </w:tcPr>
          <w:p>
            <w:pPr>
              <w:spacing w:before="123" w:line="118" w:lineRule="exact"/>
              <w:ind w:left="494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pacing w:val="-2"/>
                <w:position w:val="-3"/>
                <w:sz w:val="18"/>
                <w:szCs w:val="18"/>
              </w:rPr>
              <w:t>-0.1</w:t>
            </w:r>
          </w:p>
        </w:tc>
        <w:tc>
          <w:tcPr>
            <w:tcW w:w="992" w:type="dxa"/>
            <w:vAlign w:val="top"/>
          </w:tcPr>
          <w:p>
            <w:pPr>
              <w:spacing w:before="73" w:line="173" w:lineRule="auto"/>
              <w:ind w:left="678"/>
              <w:rPr>
                <w:rFonts w:ascii="SimSun" w:eastAsia="SimSun" w:hAnsi="SimSun" w:cs="SimSun"/>
                <w:sz w:val="18"/>
                <w:szCs w:val="18"/>
              </w:rPr>
            </w:pPr>
            <w:r>
              <w:rPr>
                <w:rFonts w:ascii="SimSun" w:eastAsia="SimSun" w:hAnsi="SimSun" w:cs="SimSun"/>
                <w:sz w:val="18"/>
                <w:szCs w:val="18"/>
              </w:rPr>
              <w:t>/</w:t>
            </w:r>
          </w:p>
        </w:tc>
      </w:tr>
    </w:tbl>
    <w:p>
      <w:pPr>
        <w:pStyle w:val="BodyText"/>
        <w:spacing w:before="94" w:line="224" w:lineRule="auto"/>
        <w:ind w:left="2810"/>
        <w:rPr>
          <w:sz w:val="21"/>
          <w:szCs w:val="21"/>
        </w:rPr>
      </w:pPr>
      <w:r>
        <w:rPr>
          <w:spacing w:val="-21"/>
          <w:w w:val="96"/>
          <w:sz w:val="21"/>
          <w:szCs w:val="21"/>
        </w:rPr>
        <w:t>数据来源：公司公告、开源证券研究所</w:t>
      </w:r>
    </w:p>
    <w:p>
      <w:pPr>
        <w:pStyle w:val="BodyText"/>
        <w:spacing w:before="220" w:line="224" w:lineRule="auto"/>
        <w:ind w:left="2812"/>
        <w:outlineLvl w:val="2"/>
        <w:rPr>
          <w:sz w:val="21"/>
          <w:szCs w:val="21"/>
        </w:rPr>
      </w:pPr>
      <w:r>
        <w:rPr>
          <w:b/>
          <w:bCs/>
          <w:color w:val="000080"/>
          <w:spacing w:val="-7"/>
          <w:sz w:val="21"/>
          <w:szCs w:val="21"/>
        </w:rPr>
        <w:t>1.2.2、</w:t>
      </w:r>
      <w:r>
        <w:rPr>
          <w:color w:val="000080"/>
          <w:spacing w:val="-53"/>
          <w:sz w:val="21"/>
          <w:szCs w:val="21"/>
        </w:rPr>
        <w:t xml:space="preserve"> </w:t>
      </w:r>
      <w:r>
        <w:rPr>
          <w:b/>
          <w:bCs/>
          <w:color w:val="000080"/>
          <w:spacing w:val="-7"/>
          <w:sz w:val="21"/>
          <w:szCs w:val="21"/>
        </w:rPr>
        <w:t>锡：供需边际变化优选锡品种</w:t>
      </w:r>
    </w:p>
    <w:p>
      <w:pPr>
        <w:pStyle w:val="BodyText"/>
        <w:spacing w:before="199" w:line="271" w:lineRule="auto"/>
        <w:ind w:left="2810" w:right="27" w:firstLine="432"/>
        <w:jc w:val="both"/>
        <w:rPr>
          <w:sz w:val="21"/>
          <w:szCs w:val="21"/>
        </w:rPr>
      </w:pPr>
      <w:r>
        <w:rPr>
          <w:b/>
          <w:bCs/>
          <w:spacing w:val="-1"/>
          <w:sz w:val="21"/>
          <w:szCs w:val="21"/>
        </w:rPr>
        <w:t>锡供给侧扰动频发，半导体消费复苏在即。供给端来看，近期全球锡供给</w:t>
      </w:r>
      <w:r>
        <w:rPr>
          <w:b/>
          <w:bCs/>
          <w:spacing w:val="-2"/>
          <w:sz w:val="21"/>
          <w:szCs w:val="21"/>
        </w:rPr>
        <w:t>主要</w:t>
      </w:r>
      <w:r>
        <w:rPr>
          <w:sz w:val="21"/>
          <w:szCs w:val="21"/>
        </w:rPr>
        <w:t xml:space="preserve">  </w:t>
      </w:r>
      <w:r>
        <w:rPr>
          <w:b/>
          <w:bCs/>
          <w:spacing w:val="-3"/>
          <w:sz w:val="21"/>
          <w:szCs w:val="21"/>
        </w:rPr>
        <w:t>受缅甸出口税收政策改动及印尼</w:t>
      </w:r>
      <w:r>
        <w:rPr>
          <w:rFonts w:ascii="Times New Roman" w:eastAsia="Times New Roman" w:hAnsi="Times New Roman" w:cs="Times New Roman"/>
          <w:b/>
          <w:bCs/>
          <w:spacing w:val="-3"/>
          <w:sz w:val="21"/>
          <w:szCs w:val="21"/>
        </w:rPr>
        <w:t>RKAB</w:t>
      </w:r>
      <w:r>
        <w:rPr>
          <w:rFonts w:ascii="Times New Roman" w:eastAsia="Times New Roman" w:hAnsi="Times New Roman" w:cs="Times New Roman"/>
          <w:b/>
          <w:bCs/>
          <w:spacing w:val="46"/>
          <w:w w:val="101"/>
          <w:sz w:val="21"/>
          <w:szCs w:val="21"/>
        </w:rPr>
        <w:t xml:space="preserve"> </w:t>
      </w:r>
      <w:r>
        <w:rPr>
          <w:b/>
          <w:bCs/>
          <w:spacing w:val="-3"/>
          <w:sz w:val="21"/>
          <w:szCs w:val="21"/>
        </w:rPr>
        <w:t>出口许可证发放延迟影响，加剧供给紧张局</w:t>
      </w:r>
      <w:r>
        <w:rPr>
          <w:sz w:val="21"/>
          <w:szCs w:val="21"/>
        </w:rPr>
        <w:t xml:space="preserve">  </w:t>
      </w:r>
      <w:r>
        <w:rPr>
          <w:b/>
          <w:bCs/>
          <w:spacing w:val="1"/>
          <w:sz w:val="21"/>
          <w:szCs w:val="21"/>
        </w:rPr>
        <w:t>面：(1)缅甸佤邦出口税政策改动：</w:t>
      </w:r>
      <w:r>
        <w:rPr>
          <w:spacing w:val="1"/>
          <w:sz w:val="21"/>
          <w:szCs w:val="21"/>
        </w:rPr>
        <w:t xml:space="preserve"> </w:t>
      </w:r>
      <w:r>
        <w:rPr>
          <w:spacing w:val="1"/>
          <w:sz w:val="21"/>
          <w:szCs w:val="21"/>
        </w:rPr>
        <w:t>据</w:t>
      </w:r>
      <w:r>
        <w:rPr>
          <w:spacing w:val="-16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Mysteel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 xml:space="preserve">,2    </w:t>
      </w:r>
      <w:r>
        <w:rPr>
          <w:spacing w:val="1"/>
          <w:sz w:val="21"/>
          <w:szCs w:val="21"/>
        </w:rPr>
        <w:t>月7日缅甸佤邦发布《关于锡精</w:t>
      </w:r>
      <w:r>
        <w:rPr>
          <w:sz w:val="21"/>
          <w:szCs w:val="21"/>
        </w:rPr>
        <w:t xml:space="preserve">  </w:t>
      </w:r>
      <w:r>
        <w:rPr>
          <w:spacing w:val="-2"/>
          <w:sz w:val="21"/>
          <w:szCs w:val="21"/>
        </w:rPr>
        <w:t>矿出口统一收取实物税的通知》,全邦锡精矿出口暂停征收现金税，无论锡精矿品位</w:t>
      </w:r>
      <w:r>
        <w:rPr>
          <w:spacing w:val="3"/>
          <w:sz w:val="21"/>
          <w:szCs w:val="21"/>
        </w:rPr>
        <w:t xml:space="preserve">  </w:t>
      </w:r>
      <w:r>
        <w:rPr>
          <w:spacing w:val="1"/>
          <w:sz w:val="21"/>
          <w:szCs w:val="21"/>
        </w:rPr>
        <w:t>高低，</w:t>
      </w:r>
      <w:r>
        <w:rPr>
          <w:spacing w:val="1"/>
          <w:sz w:val="21"/>
          <w:szCs w:val="21"/>
        </w:rPr>
        <w:t xml:space="preserve"> </w:t>
      </w:r>
      <w:r>
        <w:rPr>
          <w:spacing w:val="1"/>
          <w:sz w:val="21"/>
          <w:szCs w:val="21"/>
        </w:rPr>
        <w:t>一律统一按30%税率收取实物税，何时恢复征收现金税，待中央经济委另行</w:t>
      </w:r>
      <w:r>
        <w:rPr>
          <w:sz w:val="21"/>
          <w:szCs w:val="21"/>
        </w:rPr>
        <w:t xml:space="preserve">  </w:t>
      </w:r>
      <w:r>
        <w:rPr>
          <w:spacing w:val="1"/>
          <w:sz w:val="21"/>
          <w:szCs w:val="21"/>
        </w:rPr>
        <w:t>通知。据</w:t>
      </w:r>
      <w:r>
        <w:rPr>
          <w:spacing w:val="-1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SMM</w:t>
      </w:r>
      <w:r>
        <w:rPr>
          <w:rFonts w:ascii="Times New Roman" w:eastAsia="Times New Roman" w:hAnsi="Times New Roman" w:cs="Times New Roman"/>
          <w:spacing w:val="1"/>
          <w:sz w:val="21"/>
          <w:szCs w:val="21"/>
        </w:rPr>
        <w:t>,</w:t>
      </w:r>
      <w:r>
        <w:rPr>
          <w:rFonts w:ascii="Times New Roman" w:eastAsia="Times New Roman" w:hAnsi="Times New Roman" w:cs="Times New Roman"/>
          <w:spacing w:val="22"/>
          <w:w w:val="101"/>
          <w:sz w:val="21"/>
          <w:szCs w:val="21"/>
        </w:rPr>
        <w:t xml:space="preserve">  </w:t>
      </w:r>
      <w:r>
        <w:rPr>
          <w:spacing w:val="1"/>
          <w:sz w:val="21"/>
          <w:szCs w:val="21"/>
        </w:rPr>
        <w:t>此前佤邦通常对锡矿品位在20</w:t>
      </w:r>
      <w:r>
        <w:rPr>
          <w:spacing w:val="-45"/>
          <w:sz w:val="21"/>
          <w:szCs w:val="21"/>
        </w:rPr>
        <w:t xml:space="preserve"> </w:t>
      </w:r>
      <w:r>
        <w:rPr>
          <w:spacing w:val="1"/>
          <w:sz w:val="21"/>
          <w:szCs w:val="21"/>
        </w:rPr>
        <w:t>度以内的矿石征收现金税，导致矿</w:t>
      </w:r>
      <w:r>
        <w:rPr>
          <w:sz w:val="21"/>
          <w:szCs w:val="21"/>
        </w:rPr>
        <w:t xml:space="preserve">  </w:t>
      </w:r>
      <w:r>
        <w:rPr>
          <w:spacing w:val="1"/>
          <w:sz w:val="21"/>
          <w:szCs w:val="21"/>
        </w:rPr>
        <w:t>山和选厂倾向于控制矿石品位，新政策的实施可能会导致出口至中国的锡矿量级下</w:t>
      </w:r>
      <w:r>
        <w:rPr>
          <w:spacing w:val="4"/>
          <w:sz w:val="21"/>
          <w:szCs w:val="21"/>
        </w:rPr>
        <w:t xml:space="preserve">  </w:t>
      </w:r>
      <w:r>
        <w:rPr>
          <w:spacing w:val="1"/>
          <w:sz w:val="21"/>
          <w:szCs w:val="21"/>
        </w:rPr>
        <w:t>降，被征收为实物税的锡矿将成为佤邦库存，其何时流入市场尚不可知，</w:t>
      </w:r>
      <w:r>
        <w:rPr>
          <w:b/>
          <w:bCs/>
          <w:spacing w:val="1"/>
          <w:sz w:val="21"/>
          <w:szCs w:val="21"/>
        </w:rPr>
        <w:t>我们认为</w:t>
      </w:r>
      <w:r>
        <w:rPr>
          <w:spacing w:val="1"/>
          <w:sz w:val="21"/>
          <w:szCs w:val="21"/>
        </w:rPr>
        <w:t xml:space="preserve"> </w:t>
      </w:r>
      <w:r>
        <w:rPr>
          <w:b/>
          <w:bCs/>
          <w:spacing w:val="-4"/>
          <w:sz w:val="21"/>
          <w:szCs w:val="21"/>
        </w:rPr>
        <w:t>这将导致缅甸佤邦锡矿供应的连续性受到影响，国内锡</w:t>
      </w:r>
      <w:r>
        <w:rPr>
          <w:b/>
          <w:bCs/>
          <w:spacing w:val="-5"/>
          <w:sz w:val="21"/>
          <w:szCs w:val="21"/>
        </w:rPr>
        <w:t>精矿进口量级也将受到影响，</w:t>
      </w:r>
      <w:r>
        <w:rPr>
          <w:sz w:val="21"/>
          <w:szCs w:val="21"/>
        </w:rPr>
        <w:t xml:space="preserve"> </w:t>
      </w:r>
      <w:r>
        <w:rPr>
          <w:b/>
          <w:bCs/>
          <w:spacing w:val="-1"/>
          <w:sz w:val="21"/>
          <w:szCs w:val="21"/>
        </w:rPr>
        <w:t>锡市场供应趋紧。(2)印尼</w:t>
      </w:r>
      <w:r>
        <w:rPr>
          <w:rFonts w:ascii="Times New Roman" w:eastAsia="Times New Roman" w:hAnsi="Times New Roman" w:cs="Times New Roman"/>
          <w:b/>
          <w:bCs/>
          <w:spacing w:val="-1"/>
          <w:sz w:val="21"/>
          <w:szCs w:val="21"/>
        </w:rPr>
        <w:t>RKAB</w:t>
      </w:r>
      <w:r>
        <w:rPr>
          <w:rFonts w:ascii="Times New Roman" w:eastAsia="Times New Roman" w:hAnsi="Times New Roman" w:cs="Times New Roman"/>
          <w:b/>
          <w:bCs/>
          <w:spacing w:val="38"/>
          <w:sz w:val="21"/>
          <w:szCs w:val="21"/>
        </w:rPr>
        <w:t xml:space="preserve"> </w:t>
      </w:r>
      <w:r>
        <w:rPr>
          <w:b/>
          <w:bCs/>
          <w:spacing w:val="-1"/>
          <w:sz w:val="21"/>
          <w:szCs w:val="21"/>
        </w:rPr>
        <w:t>发放延迟：</w:t>
      </w:r>
      <w:r>
        <w:rPr>
          <w:spacing w:val="-1"/>
          <w:sz w:val="21"/>
          <w:szCs w:val="21"/>
        </w:rPr>
        <w:t xml:space="preserve"> </w:t>
      </w:r>
      <w:r>
        <w:rPr>
          <w:spacing w:val="-1"/>
          <w:sz w:val="21"/>
          <w:szCs w:val="21"/>
        </w:rPr>
        <w:t>据</w:t>
      </w:r>
      <w:r>
        <w:rPr>
          <w:spacing w:val="-4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ITA,   </w:t>
      </w:r>
      <w:r>
        <w:rPr>
          <w:spacing w:val="-1"/>
          <w:sz w:val="21"/>
          <w:szCs w:val="21"/>
        </w:rPr>
        <w:t>根据印尼贸易部数据，2</w:t>
      </w:r>
      <w:r>
        <w:rPr>
          <w:spacing w:val="-2"/>
          <w:sz w:val="21"/>
          <w:szCs w:val="21"/>
        </w:rPr>
        <w:t>024</w:t>
      </w:r>
      <w:r>
        <w:rPr>
          <w:sz w:val="21"/>
          <w:szCs w:val="21"/>
        </w:rPr>
        <w:t xml:space="preserve">  </w:t>
      </w:r>
      <w:r>
        <w:rPr>
          <w:spacing w:val="12"/>
          <w:sz w:val="21"/>
          <w:szCs w:val="21"/>
        </w:rPr>
        <w:t>年1月印尼锡出口量仅为400公斤，同比下降99%,主要系</w:t>
      </w:r>
      <w:r>
        <w:rPr>
          <w:rFonts w:ascii="SimSun" w:eastAsia="SimSun" w:hAnsi="SimSun" w:cs="SimSun"/>
          <w:sz w:val="21"/>
          <w:szCs w:val="21"/>
        </w:rPr>
        <w:t>RKAB</w:t>
      </w:r>
      <w:r>
        <w:rPr>
          <w:rFonts w:ascii="SimSun" w:eastAsia="SimSun" w:hAnsi="SimSun" w:cs="SimSun"/>
          <w:spacing w:val="12"/>
          <w:sz w:val="21"/>
          <w:szCs w:val="21"/>
        </w:rPr>
        <w:t xml:space="preserve">  </w:t>
      </w:r>
      <w:r>
        <w:rPr>
          <w:spacing w:val="12"/>
          <w:sz w:val="21"/>
          <w:szCs w:val="21"/>
        </w:rPr>
        <w:t>出口许可证发放</w:t>
      </w:r>
      <w:r>
        <w:rPr>
          <w:sz w:val="21"/>
          <w:szCs w:val="21"/>
        </w:rPr>
        <w:t xml:space="preserve">  </w:t>
      </w:r>
      <w:r>
        <w:rPr>
          <w:spacing w:val="4"/>
          <w:sz w:val="21"/>
          <w:szCs w:val="21"/>
        </w:rPr>
        <w:t>延迟所致，回顾历史，印尼通常在1月中旬颁发一年期</w:t>
      </w:r>
      <w:r>
        <w:rPr>
          <w:rFonts w:ascii="SimSun" w:eastAsia="SimSun" w:hAnsi="SimSun" w:cs="SimSun"/>
          <w:sz w:val="21"/>
          <w:szCs w:val="21"/>
        </w:rPr>
        <w:t>RKAB</w:t>
      </w:r>
      <w:r>
        <w:rPr>
          <w:rFonts w:ascii="SimSun" w:eastAsia="SimSun" w:hAnsi="SimSun" w:cs="SimSun"/>
          <w:spacing w:val="3"/>
          <w:sz w:val="21"/>
          <w:szCs w:val="21"/>
        </w:rPr>
        <w:t xml:space="preserve">  </w:t>
      </w:r>
      <w:r>
        <w:rPr>
          <w:spacing w:val="3"/>
          <w:sz w:val="21"/>
          <w:szCs w:val="21"/>
        </w:rPr>
        <w:t>出口许可证，这会导</w:t>
      </w:r>
      <w:r>
        <w:rPr>
          <w:sz w:val="21"/>
          <w:szCs w:val="21"/>
        </w:rPr>
        <w:t xml:space="preserve">  </w:t>
      </w:r>
      <w:r>
        <w:rPr>
          <w:spacing w:val="1"/>
          <w:sz w:val="21"/>
          <w:szCs w:val="21"/>
        </w:rPr>
        <w:t>致出口量季节性减少，2024年是印尼生产商首次必须申请三年期许可</w:t>
      </w:r>
      <w:r>
        <w:rPr>
          <w:sz w:val="21"/>
          <w:szCs w:val="21"/>
        </w:rPr>
        <w:t>证的年份，拿</w:t>
      </w:r>
      <w:r>
        <w:rPr>
          <w:sz w:val="21"/>
          <w:szCs w:val="21"/>
        </w:rPr>
        <w:t xml:space="preserve">  </w:t>
      </w:r>
      <w:r>
        <w:rPr>
          <w:sz w:val="21"/>
          <w:szCs w:val="21"/>
        </w:rPr>
        <w:t>到许可证后每年要接受监管审查，但目前只有国有</w:t>
      </w:r>
      <w:r>
        <w:rPr>
          <w:spacing w:val="-1"/>
          <w:sz w:val="21"/>
          <w:szCs w:val="21"/>
        </w:rPr>
        <w:t>企业</w:t>
      </w:r>
      <w:r>
        <w:rPr>
          <w:spacing w:val="-1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 xml:space="preserve">PT  Timah  </w:t>
      </w:r>
      <w:r>
        <w:rPr>
          <w:spacing w:val="-1"/>
          <w:sz w:val="21"/>
          <w:szCs w:val="21"/>
        </w:rPr>
        <w:t>公开确认收到了</w:t>
      </w:r>
    </w:p>
    <w:p>
      <w:pPr>
        <w:pStyle w:val="BodyText"/>
        <w:spacing w:before="53" w:line="253" w:lineRule="auto"/>
        <w:ind w:left="2813" w:right="89" w:hanging="3"/>
        <w:rPr>
          <w:sz w:val="21"/>
          <w:szCs w:val="21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RKAB</w:t>
      </w:r>
      <w:r>
        <w:rPr>
          <w:rFonts w:ascii="Times New Roman" w:eastAsia="Times New Roman" w:hAnsi="Times New Roman" w:cs="Times New Roman"/>
          <w:b/>
          <w:bCs/>
          <w:spacing w:val="7"/>
          <w:sz w:val="21"/>
          <w:szCs w:val="21"/>
        </w:rPr>
        <w:t>,2023</w:t>
      </w:r>
      <w:r>
        <w:rPr>
          <w:rFonts w:ascii="Times New Roman" w:eastAsia="Times New Roman" w:hAnsi="Times New Roman" w:cs="Times New Roman"/>
          <w:b/>
          <w:bCs/>
          <w:spacing w:val="17"/>
          <w:sz w:val="21"/>
          <w:szCs w:val="21"/>
        </w:rPr>
        <w:t xml:space="preserve">  </w:t>
      </w:r>
      <w:r>
        <w:rPr>
          <w:b/>
          <w:bCs/>
          <w:spacing w:val="7"/>
          <w:sz w:val="21"/>
          <w:szCs w:val="21"/>
        </w:rPr>
        <w:t>年印尼生产商的精锡产量占全球精炼锡供应量的19%,锡锭出口的扰</w:t>
      </w:r>
      <w:r>
        <w:rPr>
          <w:sz w:val="21"/>
          <w:szCs w:val="21"/>
        </w:rPr>
        <w:t xml:space="preserve"> </w:t>
      </w:r>
      <w:r>
        <w:rPr>
          <w:b/>
          <w:bCs/>
          <w:spacing w:val="-3"/>
          <w:sz w:val="21"/>
          <w:szCs w:val="21"/>
        </w:rPr>
        <w:t>动或将加剧全球锡锭供给紧张。</w:t>
      </w:r>
      <w:r>
        <w:rPr>
          <w:spacing w:val="-3"/>
          <w:sz w:val="21"/>
          <w:szCs w:val="21"/>
        </w:rPr>
        <w:t>推荐标的</w:t>
      </w:r>
      <w:r>
        <w:rPr>
          <w:b/>
          <w:bCs/>
          <w:spacing w:val="-3"/>
          <w:sz w:val="21"/>
          <w:szCs w:val="21"/>
        </w:rPr>
        <w:t>有锡业股</w:t>
      </w:r>
      <w:r>
        <w:rPr>
          <w:b/>
          <w:bCs/>
          <w:spacing w:val="-4"/>
          <w:sz w:val="21"/>
          <w:szCs w:val="21"/>
        </w:rPr>
        <w:t>份。</w:t>
      </w:r>
    </w:p>
    <w:p>
      <w:pPr>
        <w:pStyle w:val="BodyText"/>
        <w:spacing w:before="204" w:line="224" w:lineRule="auto"/>
        <w:ind w:left="2813"/>
        <w:outlineLvl w:val="2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1.3、</w:t>
      </w:r>
      <w:r>
        <w:rPr>
          <w:spacing w:val="-65"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>博弈反弹：建议2024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M3</w:t>
      </w:r>
      <w:r>
        <w:rPr>
          <w:rFonts w:ascii="Times New Roman" w:eastAsia="Times New Roman" w:hAnsi="Times New Roman" w:cs="Times New Roman"/>
          <w:b/>
          <w:bCs/>
          <w:spacing w:val="21"/>
          <w:w w:val="101"/>
          <w:sz w:val="24"/>
          <w:szCs w:val="24"/>
        </w:rPr>
        <w:t xml:space="preserve"> </w:t>
      </w:r>
      <w:r>
        <w:rPr>
          <w:b/>
          <w:bCs/>
          <w:spacing w:val="-3"/>
          <w:sz w:val="24"/>
          <w:szCs w:val="24"/>
        </w:rPr>
        <w:t>继续逢低布局锂矿板块</w:t>
      </w:r>
    </w:p>
    <w:p>
      <w:pPr>
        <w:pStyle w:val="BodyText"/>
        <w:spacing w:before="202" w:line="268" w:lineRule="auto"/>
        <w:ind w:left="2810" w:right="95" w:firstLine="432"/>
        <w:jc w:val="both"/>
        <w:rPr>
          <w:sz w:val="21"/>
          <w:szCs w:val="21"/>
        </w:rPr>
      </w:pPr>
      <w:r>
        <w:rPr>
          <w:b/>
          <w:bCs/>
          <w:spacing w:val="-1"/>
          <w:sz w:val="21"/>
          <w:szCs w:val="21"/>
        </w:rPr>
        <w:t>下游补库周期来临，供给扰动催化碳酸锂价格上涨。</w:t>
      </w:r>
      <w:r>
        <w:rPr>
          <w:spacing w:val="-1"/>
          <w:sz w:val="21"/>
          <w:szCs w:val="21"/>
        </w:rPr>
        <w:t>本月碳酸锂现货价格环比</w:t>
      </w:r>
      <w:r>
        <w:rPr>
          <w:spacing w:val="12"/>
          <w:sz w:val="21"/>
          <w:szCs w:val="21"/>
        </w:rPr>
        <w:t xml:space="preserve"> </w:t>
      </w:r>
      <w:r>
        <w:rPr>
          <w:spacing w:val="4"/>
          <w:sz w:val="21"/>
          <w:szCs w:val="21"/>
        </w:rPr>
        <w:t>上涨8%,主要系下游补库周期来临，碳酸锂基本面较前期有所改善，叠加供给端有</w:t>
      </w:r>
      <w:r>
        <w:rPr>
          <w:sz w:val="21"/>
          <w:szCs w:val="21"/>
        </w:rPr>
        <w:t xml:space="preserve"> </w:t>
      </w:r>
      <w:r>
        <w:rPr>
          <w:spacing w:val="-3"/>
          <w:sz w:val="21"/>
          <w:szCs w:val="21"/>
        </w:rPr>
        <w:t>澳矿减产、江西环保督查扰动，带动市场看涨情绪</w:t>
      </w:r>
      <w:r>
        <w:rPr>
          <w:spacing w:val="-4"/>
          <w:sz w:val="21"/>
          <w:szCs w:val="21"/>
        </w:rPr>
        <w:t>走强。</w:t>
      </w:r>
      <w:r>
        <w:rPr>
          <w:spacing w:val="28"/>
          <w:sz w:val="21"/>
          <w:szCs w:val="21"/>
        </w:rPr>
        <w:t xml:space="preserve"> </w:t>
      </w:r>
      <w:r>
        <w:rPr>
          <w:b/>
          <w:bCs/>
          <w:spacing w:val="-4"/>
          <w:sz w:val="21"/>
          <w:szCs w:val="21"/>
        </w:rPr>
        <w:t>需求端来看，</w:t>
      </w:r>
      <w:r>
        <w:rPr>
          <w:spacing w:val="-4"/>
          <w:sz w:val="21"/>
          <w:szCs w:val="21"/>
        </w:rPr>
        <w:t>在“以旧换</w:t>
      </w:r>
      <w:r>
        <w:rPr>
          <w:sz w:val="21"/>
          <w:szCs w:val="21"/>
        </w:rPr>
        <w:t xml:space="preserve"> </w:t>
      </w:r>
      <w:r>
        <w:rPr>
          <w:spacing w:val="1"/>
          <w:sz w:val="21"/>
          <w:szCs w:val="21"/>
        </w:rPr>
        <w:t>新”政策的推动下，上海推出新一轮燃油车以旧换新补贴政策和新</w:t>
      </w:r>
      <w:r>
        <w:rPr>
          <w:sz w:val="21"/>
          <w:szCs w:val="21"/>
        </w:rPr>
        <w:t>能源汽车置换政</w:t>
      </w:r>
      <w:r>
        <w:rPr>
          <w:sz w:val="21"/>
          <w:szCs w:val="21"/>
        </w:rPr>
        <w:t xml:space="preserve"> </w:t>
      </w:r>
      <w:r>
        <w:rPr>
          <w:spacing w:val="-3"/>
          <w:sz w:val="21"/>
          <w:szCs w:val="21"/>
        </w:rPr>
        <w:t>策，提振终端需求，同时电池厂和正极厂也进入补库周期，</w:t>
      </w:r>
      <w:r>
        <w:rPr>
          <w:spacing w:val="-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1"/>
          <w:szCs w:val="21"/>
        </w:rPr>
        <w:t xml:space="preserve">SMM </w:t>
      </w:r>
      <w:r>
        <w:rPr>
          <w:spacing w:val="-3"/>
          <w:sz w:val="21"/>
          <w:szCs w:val="21"/>
        </w:rPr>
        <w:t>预计3月电池产量</w:t>
      </w:r>
      <w:r>
        <w:rPr>
          <w:spacing w:val="18"/>
          <w:sz w:val="21"/>
          <w:szCs w:val="21"/>
        </w:rPr>
        <w:t xml:space="preserve"> </w:t>
      </w:r>
      <w:r>
        <w:rPr>
          <w:spacing w:val="-2"/>
          <w:sz w:val="21"/>
          <w:szCs w:val="21"/>
        </w:rPr>
        <w:t>同比增幅在35%左右，刺激价格上涨；</w:t>
      </w:r>
      <w:r>
        <w:rPr>
          <w:spacing w:val="-2"/>
          <w:sz w:val="21"/>
          <w:szCs w:val="21"/>
        </w:rPr>
        <w:t xml:space="preserve"> </w:t>
      </w:r>
      <w:r>
        <w:rPr>
          <w:b/>
          <w:bCs/>
          <w:spacing w:val="-3"/>
          <w:sz w:val="21"/>
          <w:szCs w:val="21"/>
        </w:rPr>
        <w:t>供给端来看，</w:t>
      </w:r>
      <w:r>
        <w:rPr>
          <w:spacing w:val="-3"/>
          <w:sz w:val="21"/>
          <w:szCs w:val="21"/>
        </w:rPr>
        <w:t xml:space="preserve"> </w:t>
      </w:r>
      <w:r>
        <w:rPr>
          <w:spacing w:val="-3"/>
          <w:sz w:val="21"/>
          <w:szCs w:val="21"/>
        </w:rPr>
        <w:t>部分澳矿减产叠加江西环保督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查不断发酵，引发市场对供给侧的担忧。</w:t>
      </w:r>
      <w:r>
        <w:rPr>
          <w:b/>
          <w:bCs/>
          <w:sz w:val="21"/>
          <w:szCs w:val="21"/>
        </w:rPr>
        <w:t>我们认为在供需格局过剩的大背景下，供</w:t>
      </w:r>
      <w:r>
        <w:rPr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>给侧扰动对价格带来的振幅和时间长度均比</w:t>
      </w:r>
      <w:r>
        <w:rPr>
          <w:b/>
          <w:bCs/>
          <w:spacing w:val="-1"/>
          <w:sz w:val="21"/>
          <w:szCs w:val="21"/>
        </w:rPr>
        <w:t>较有限，价格持续上涨的驱动力仍是需</w:t>
      </w:r>
      <w:r>
        <w:rPr>
          <w:sz w:val="21"/>
          <w:szCs w:val="21"/>
        </w:rPr>
        <w:t xml:space="preserve"> </w:t>
      </w:r>
      <w:r>
        <w:rPr>
          <w:b/>
          <w:bCs/>
          <w:spacing w:val="-3"/>
          <w:sz w:val="21"/>
          <w:szCs w:val="21"/>
        </w:rPr>
        <w:t>求侧出现持续好转。</w:t>
      </w:r>
      <w:r>
        <w:rPr>
          <w:spacing w:val="-3"/>
          <w:sz w:val="21"/>
          <w:szCs w:val="21"/>
        </w:rPr>
        <w:t>相关受益标的</w:t>
      </w:r>
      <w:r>
        <w:rPr>
          <w:b/>
          <w:bCs/>
          <w:spacing w:val="-3"/>
          <w:sz w:val="21"/>
          <w:szCs w:val="21"/>
        </w:rPr>
        <w:t>有藏格矿业、永兴材料和中矿资源。</w:t>
      </w:r>
    </w:p>
    <w:p>
      <w:pPr>
        <w:pStyle w:val="BodyText"/>
        <w:spacing w:before="218" w:line="263" w:lineRule="auto"/>
        <w:ind w:left="2810" w:right="99" w:firstLine="432"/>
        <w:jc w:val="both"/>
        <w:rPr>
          <w:sz w:val="21"/>
          <w:szCs w:val="21"/>
        </w:rPr>
        <w:sectPr>
          <w:footerReference w:type="default" r:id="rId21"/>
          <w:pgSz w:w="11910" w:h="16840"/>
          <w:pgMar w:top="156" w:right="660" w:bottom="1129" w:left="719" w:header="0" w:footer="856" w:gutter="0"/>
          <w:pgNumType w:start="14"/>
          <w:cols w:space="708"/>
        </w:sectPr>
      </w:pPr>
      <w:r>
        <w:rPr>
          <w:b/>
          <w:bCs/>
          <w:sz w:val="21"/>
          <w:szCs w:val="21"/>
        </w:rPr>
        <w:t>澳矿当下减产程度难对供给过剩格局有实质性影响。</w:t>
      </w:r>
      <w:r>
        <w:rPr>
          <w:sz w:val="21"/>
          <w:szCs w:val="21"/>
        </w:rPr>
        <w:t>据我们统计，</w:t>
      </w:r>
      <w:r>
        <w:rPr>
          <w:spacing w:val="-1"/>
          <w:sz w:val="21"/>
          <w:szCs w:val="21"/>
        </w:rPr>
        <w:t>截至目前为</w:t>
      </w:r>
      <w:r>
        <w:rPr>
          <w:sz w:val="21"/>
          <w:szCs w:val="21"/>
        </w:rPr>
        <w:t xml:space="preserve"> </w:t>
      </w:r>
      <w:r>
        <w:rPr>
          <w:spacing w:val="-1"/>
          <w:sz w:val="21"/>
          <w:szCs w:val="21"/>
        </w:rPr>
        <w:t>止仅</w:t>
      </w:r>
      <w:r>
        <w:rPr>
          <w:spacing w:val="-48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Greenbushes</w:t>
      </w:r>
      <w:r>
        <w:rPr>
          <w:rFonts w:ascii="Times New Roman" w:eastAsia="Times New Roman" w:hAnsi="Times New Roman" w:cs="Times New Roman"/>
          <w:spacing w:val="21"/>
          <w:w w:val="101"/>
          <w:sz w:val="21"/>
          <w:szCs w:val="21"/>
        </w:rPr>
        <w:t xml:space="preserve"> </w:t>
      </w:r>
      <w:r>
        <w:rPr>
          <w:spacing w:val="-1"/>
          <w:sz w:val="21"/>
          <w:szCs w:val="21"/>
        </w:rPr>
        <w:t>和</w:t>
      </w:r>
      <w:r>
        <w:rPr>
          <w:spacing w:val="-5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1"/>
          <w:szCs w:val="21"/>
        </w:rPr>
        <w:t>Mt  Cattlin</w:t>
      </w:r>
      <w:r>
        <w:rPr>
          <w:rFonts w:ascii="Times New Roman" w:eastAsia="Times New Roman" w:hAnsi="Times New Roman" w:cs="Times New Roman"/>
          <w:spacing w:val="-13"/>
          <w:sz w:val="21"/>
          <w:szCs w:val="21"/>
        </w:rPr>
        <w:t xml:space="preserve"> </w:t>
      </w:r>
      <w:r>
        <w:rPr>
          <w:spacing w:val="-1"/>
          <w:sz w:val="21"/>
          <w:szCs w:val="21"/>
        </w:rPr>
        <w:t>有</w:t>
      </w:r>
      <w:r>
        <w:rPr>
          <w:spacing w:val="-2"/>
          <w:sz w:val="21"/>
          <w:szCs w:val="21"/>
        </w:rPr>
        <w:t>明确减产计划，</w:t>
      </w: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Greenbushes  2024</w:t>
      </w:r>
      <w:r>
        <w:rPr>
          <w:rFonts w:ascii="Times New Roman" w:eastAsia="Times New Roman" w:hAnsi="Times New Roman" w:cs="Times New Roman"/>
          <w:spacing w:val="20"/>
          <w:sz w:val="21"/>
          <w:szCs w:val="21"/>
        </w:rPr>
        <w:t xml:space="preserve"> </w:t>
      </w:r>
      <w:r>
        <w:rPr>
          <w:spacing w:val="-2"/>
          <w:sz w:val="21"/>
          <w:szCs w:val="21"/>
        </w:rPr>
        <w:t>财年产量指引减</w:t>
      </w:r>
      <w:r>
        <w:rPr>
          <w:sz w:val="21"/>
          <w:szCs w:val="21"/>
        </w:rPr>
        <w:t xml:space="preserve"> </w:t>
      </w:r>
      <w:r>
        <w:rPr>
          <w:spacing w:val="4"/>
          <w:sz w:val="21"/>
          <w:szCs w:val="21"/>
        </w:rPr>
        <w:t>少约1.25万吨</w:t>
      </w:r>
      <w:r>
        <w:rPr>
          <w:rFonts w:ascii="SimSun" w:eastAsia="SimSun" w:hAnsi="SimSun" w:cs="SimSun"/>
          <w:sz w:val="21"/>
          <w:szCs w:val="21"/>
        </w:rPr>
        <w:t>LCE</w:t>
      </w:r>
      <w:r>
        <w:rPr>
          <w:rFonts w:ascii="SimSun" w:eastAsia="SimSun" w:hAnsi="SimSun" w:cs="SimSun"/>
          <w:spacing w:val="4"/>
          <w:sz w:val="21"/>
          <w:szCs w:val="21"/>
        </w:rPr>
        <w:t>,</w:t>
      </w:r>
      <w:r>
        <w:rPr>
          <w:rFonts w:ascii="SimSun" w:eastAsia="SimSun" w:hAnsi="SimSun" w:cs="SimSun"/>
          <w:sz w:val="21"/>
          <w:szCs w:val="21"/>
        </w:rPr>
        <w:t>Mt</w:t>
      </w:r>
      <w:r>
        <w:rPr>
          <w:rFonts w:ascii="SimSun" w:eastAsia="SimSun" w:hAnsi="SimSun" w:cs="SimSun"/>
          <w:spacing w:val="4"/>
          <w:sz w:val="21"/>
          <w:szCs w:val="21"/>
        </w:rPr>
        <w:t xml:space="preserve"> </w:t>
      </w:r>
      <w:r>
        <w:rPr>
          <w:rFonts w:ascii="SimSun" w:eastAsia="SimSun" w:hAnsi="SimSun" w:cs="SimSun"/>
          <w:sz w:val="21"/>
          <w:szCs w:val="21"/>
        </w:rPr>
        <w:t>Cattlin</w:t>
      </w:r>
      <w:r>
        <w:rPr>
          <w:rFonts w:ascii="SimSun" w:eastAsia="SimSun" w:hAnsi="SimSun" w:cs="SimSun"/>
          <w:spacing w:val="4"/>
          <w:sz w:val="21"/>
          <w:szCs w:val="21"/>
        </w:rPr>
        <w:t xml:space="preserve"> </w:t>
      </w:r>
      <w:r>
        <w:rPr>
          <w:spacing w:val="4"/>
          <w:sz w:val="21"/>
          <w:szCs w:val="21"/>
        </w:rPr>
        <w:t>为优化成本进行减产，2024自然年销量指引较</w:t>
      </w:r>
      <w:r>
        <w:rPr>
          <w:spacing w:val="3"/>
          <w:sz w:val="21"/>
          <w:szCs w:val="21"/>
        </w:rPr>
        <w:t>2023</w:t>
      </w:r>
      <w:r>
        <w:rPr>
          <w:sz w:val="21"/>
          <w:szCs w:val="21"/>
        </w:rPr>
        <w:t xml:space="preserve"> </w:t>
      </w:r>
      <w:r>
        <w:rPr>
          <w:spacing w:val="11"/>
          <w:sz w:val="21"/>
          <w:szCs w:val="21"/>
        </w:rPr>
        <w:t>年减少约0.95万吨</w:t>
      </w:r>
      <w:r>
        <w:rPr>
          <w:rFonts w:ascii="Times New Roman" w:eastAsia="Times New Roman" w:hAnsi="Times New Roman" w:cs="Times New Roman"/>
          <w:sz w:val="21"/>
          <w:szCs w:val="21"/>
        </w:rPr>
        <w:t>LCE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>;</w:t>
      </w:r>
      <w:r>
        <w:rPr>
          <w:rFonts w:ascii="Times New Roman" w:eastAsia="Times New Roman" w:hAnsi="Times New Roman" w:cs="Times New Roman"/>
          <w:sz w:val="21"/>
          <w:szCs w:val="21"/>
        </w:rPr>
        <w:t>Mt</w:t>
      </w:r>
      <w:r>
        <w:rPr>
          <w:rFonts w:ascii="Times New Roman" w:eastAsia="Times New Roman" w:hAnsi="Times New Roman" w:cs="Times New Roman"/>
          <w:spacing w:val="11"/>
          <w:sz w:val="21"/>
          <w:szCs w:val="21"/>
        </w:rPr>
        <w:t xml:space="preserve">    </w:t>
      </w:r>
      <w:r>
        <w:rPr>
          <w:rFonts w:ascii="Times New Roman" w:eastAsia="Times New Roman" w:hAnsi="Times New Roman" w:cs="Times New Roman"/>
          <w:sz w:val="21"/>
          <w:szCs w:val="21"/>
        </w:rPr>
        <w:t>Finniss</w:t>
      </w:r>
      <w:r>
        <w:rPr>
          <w:spacing w:val="11"/>
          <w:sz w:val="21"/>
          <w:szCs w:val="21"/>
        </w:rPr>
        <w:t>于2024年1月5日宣布暂停矿石开采，预计矿</w:t>
      </w:r>
      <w:r>
        <w:rPr>
          <w:spacing w:val="7"/>
          <w:sz w:val="21"/>
          <w:szCs w:val="21"/>
        </w:rPr>
        <w:t xml:space="preserve"> </w:t>
      </w:r>
    </w:p>
    <w:p>
      <w:pPr>
        <w:pStyle w:val="BodyText"/>
        <w:spacing w:before="218" w:line="263" w:lineRule="auto"/>
        <w:ind w:left="2810" w:right="99" w:firstLine="432"/>
        <w:jc w:val="both"/>
        <w:rPr>
          <w:sz w:val="21"/>
          <w:szCs w:val="21"/>
        </w:rPr>
      </w:pPr>
      <w:r>
        <w:rPr>
          <w:spacing w:val="1"/>
          <w:sz w:val="21"/>
          <w:szCs w:val="21"/>
        </w:rPr>
        <w:t>石库存能够维持选矿厂运营至2024年年中，若此后矿山仍处于暂停状态，预计</w:t>
      </w:r>
      <w:r>
        <w:rPr>
          <w:sz w:val="21"/>
          <w:szCs w:val="21"/>
        </w:rPr>
        <w:t>近两</w:t>
      </w:r>
      <w:r>
        <w:rPr>
          <w:sz w:val="21"/>
          <w:szCs w:val="21"/>
        </w:rPr>
        <w:t xml:space="preserve"> </w:t>
      </w:r>
      <w:r>
        <w:rPr>
          <w:spacing w:val="3"/>
          <w:sz w:val="21"/>
          <w:szCs w:val="21"/>
        </w:rPr>
        <w:t>年每年将减少约1万吨</w:t>
      </w:r>
      <w:r>
        <w:rPr>
          <w:spacing w:val="-5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LCE</w:t>
      </w:r>
      <w:r>
        <w:rPr>
          <w:rFonts w:ascii="Times New Roman" w:eastAsia="Times New Roman" w:hAnsi="Times New Roman" w:cs="Times New Roman"/>
          <w:spacing w:val="3"/>
          <w:sz w:val="21"/>
          <w:szCs w:val="21"/>
        </w:rPr>
        <w:t xml:space="preserve">;   </w:t>
      </w:r>
      <w:r>
        <w:rPr>
          <w:spacing w:val="3"/>
          <w:sz w:val="21"/>
          <w:szCs w:val="21"/>
        </w:rPr>
        <w:t>上述三座矿山减产或停产对目前的供需过</w:t>
      </w:r>
      <w:r>
        <w:rPr>
          <w:spacing w:val="2"/>
          <w:sz w:val="21"/>
          <w:szCs w:val="21"/>
        </w:rPr>
        <w:t>剩格局并没</w:t>
      </w:r>
      <w:r>
        <w:rPr>
          <w:sz w:val="21"/>
          <w:szCs w:val="21"/>
        </w:rPr>
        <w:t xml:space="preserve"> </w:t>
      </w:r>
      <w:r>
        <w:rPr>
          <w:spacing w:val="1"/>
          <w:sz w:val="21"/>
          <w:szCs w:val="21"/>
        </w:rPr>
        <w:t>有太大影响。从成本端来看，锂盐价格需要继续下跌至6~7万/吨才能引起澳矿矿山</w:t>
      </w:r>
      <w:r>
        <w:rPr>
          <w:spacing w:val="13"/>
          <w:sz w:val="21"/>
          <w:szCs w:val="21"/>
        </w:rPr>
        <w:t xml:space="preserve"> </w:t>
      </w:r>
      <w:r>
        <w:rPr>
          <w:spacing w:val="-1"/>
          <w:sz w:val="21"/>
          <w:szCs w:val="21"/>
        </w:rPr>
        <w:t>较大规模产能在全成本线以下运营，供给端出现</w:t>
      </w:r>
      <w:r>
        <w:rPr>
          <w:spacing w:val="-2"/>
          <w:sz w:val="21"/>
          <w:szCs w:val="21"/>
        </w:rPr>
        <w:t>实质性扰动。</w:t>
      </w:r>
    </w:p>
    <w:p>
      <w:pPr>
        <w:spacing w:line="263" w:lineRule="auto"/>
        <w:rPr>
          <w:sz w:val="21"/>
          <w:szCs w:val="21"/>
        </w:rPr>
        <w:sectPr>
          <w:footerReference w:type="default" r:id="rId22"/>
          <w:type w:val="nextPage"/>
          <w:pgSz w:w="11910" w:h="16840"/>
          <w:pgMar w:top="156" w:right="660" w:bottom="1129" w:left="719" w:header="0" w:footer="856" w:gutter="0"/>
          <w:pgNumType w:start="15"/>
          <w:cols w:space="708"/>
          <w:titlePg w:val="0"/>
        </w:sectPr>
      </w:pPr>
    </w:p>
    <w:p>
      <w:pPr>
        <w:spacing w:before="153" w:line="226" w:lineRule="auto"/>
        <w:ind w:left="170"/>
        <w:rPr>
          <w:rFonts w:ascii="YouYuan" w:eastAsia="YouYuan" w:hAnsi="YouYuan" w:cs="YouYuan"/>
          <w:sz w:val="60"/>
          <w:szCs w:val="60"/>
        </w:rPr>
      </w:pPr>
      <w:bookmarkStart w:id="9" w:name="bookmark10"/>
      <w:bookmarkEnd w:id="9"/>
      <w:bookmarkStart w:id="10" w:name="bookmark9"/>
      <w:bookmarkEnd w:id="10"/>
      <w:r>
        <w:rPr>
          <w:rFonts w:ascii="YouYuan" w:eastAsia="YouYuan" w:hAnsi="YouYuan" w:cs="YouYuan"/>
          <w:position w:val="-21"/>
          <w:sz w:val="60"/>
          <w:szCs w:val="60"/>
        </w:rPr>
        <w:drawing>
          <wp:inline distT="0" distB="0" distL="0" distR="0">
            <wp:extent cx="577801" cy="488901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7801" cy="488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YouYuan" w:eastAsia="YouYuan" w:hAnsi="YouYuan" w:cs="YouYuan"/>
          <w:b/>
          <w:bCs/>
          <w:spacing w:val="33"/>
          <w:sz w:val="60"/>
          <w:szCs w:val="60"/>
        </w:rPr>
        <w:t>开源证券</w:t>
      </w:r>
    </w:p>
    <w:p>
      <w:pPr>
        <w:pStyle w:val="BodyText"/>
        <w:spacing w:before="34" w:line="227" w:lineRule="auto"/>
        <w:ind w:left="9107"/>
        <w:rPr>
          <w:sz w:val="22"/>
          <w:szCs w:val="22"/>
        </w:rPr>
      </w:pPr>
      <w:r>
        <w:pict>
          <v:rect id="_x0000_s1033" style="width:516.55pt;height:0.55pt;margin-top:12.17pt;margin-left:1.5pt;position:absolute;z-index:251665408" filled="t" fillcolor="black" stroked="f"/>
        </w:pict>
      </w:r>
      <w:r>
        <w:rPr>
          <w:b/>
          <w:bCs/>
          <w:spacing w:val="-12"/>
          <w:sz w:val="22"/>
          <w:szCs w:val="22"/>
        </w:rPr>
        <w:t>行</w:t>
      </w:r>
      <w:r>
        <w:rPr>
          <w:spacing w:val="37"/>
          <w:sz w:val="22"/>
          <w:szCs w:val="22"/>
        </w:rPr>
        <w:t xml:space="preserve"> </w:t>
      </w:r>
      <w:r>
        <w:rPr>
          <w:b/>
          <w:bCs/>
          <w:spacing w:val="-12"/>
          <w:sz w:val="22"/>
          <w:szCs w:val="22"/>
        </w:rPr>
        <w:t>业</w:t>
      </w:r>
      <w:r>
        <w:rPr>
          <w:spacing w:val="25"/>
          <w:sz w:val="22"/>
          <w:szCs w:val="22"/>
        </w:rPr>
        <w:t xml:space="preserve"> </w:t>
      </w:r>
      <w:r>
        <w:rPr>
          <w:b/>
          <w:bCs/>
          <w:spacing w:val="-12"/>
          <w:sz w:val="22"/>
          <w:szCs w:val="22"/>
        </w:rPr>
        <w:t>周</w:t>
      </w:r>
      <w:r>
        <w:rPr>
          <w:spacing w:val="23"/>
          <w:sz w:val="22"/>
          <w:szCs w:val="22"/>
        </w:rPr>
        <w:t xml:space="preserve"> </w:t>
      </w:r>
      <w:r>
        <w:rPr>
          <w:b/>
          <w:bCs/>
          <w:spacing w:val="-12"/>
          <w:sz w:val="22"/>
          <w:szCs w:val="22"/>
        </w:rPr>
        <w:t>报</w:t>
      </w:r>
    </w:p>
    <w:p>
      <w:pPr>
        <w:pStyle w:val="BodyText"/>
        <w:spacing w:before="106" w:line="269" w:lineRule="auto"/>
        <w:ind w:left="2810" w:right="27" w:firstLine="432"/>
        <w:rPr>
          <w:sz w:val="21"/>
          <w:szCs w:val="21"/>
        </w:rPr>
      </w:pPr>
      <w:r>
        <w:rPr>
          <w:b/>
          <w:bCs/>
          <w:spacing w:val="-4"/>
          <w:sz w:val="21"/>
          <w:szCs w:val="21"/>
        </w:rPr>
        <w:t>江西环保督查或影响当地云母企业一季度产量，需持续关注。</w:t>
      </w:r>
      <w:r>
        <w:rPr>
          <w:spacing w:val="-4"/>
          <w:sz w:val="21"/>
          <w:szCs w:val="21"/>
        </w:rPr>
        <w:t>据</w:t>
      </w:r>
      <w:r>
        <w:rPr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1"/>
          <w:szCs w:val="21"/>
        </w:rPr>
        <w:t>SMM</w:t>
      </w:r>
      <w:r>
        <w:rPr>
          <w:rFonts w:ascii="Times New Roman" w:eastAsia="Times New Roman" w:hAnsi="Times New Roman" w:cs="Times New Roman"/>
          <w:spacing w:val="-5"/>
          <w:sz w:val="21"/>
          <w:szCs w:val="21"/>
        </w:rPr>
        <w:t xml:space="preserve">  </w:t>
      </w:r>
      <w:r>
        <w:rPr>
          <w:spacing w:val="-5"/>
          <w:sz w:val="21"/>
          <w:szCs w:val="21"/>
        </w:rPr>
        <w:t>数据，</w:t>
      </w:r>
      <w:r>
        <w:rPr>
          <w:spacing w:val="-5"/>
          <w:sz w:val="21"/>
          <w:szCs w:val="21"/>
        </w:rPr>
        <w:t xml:space="preserve">  </w:t>
      </w:r>
      <w:r>
        <w:rPr>
          <w:spacing w:val="6"/>
          <w:sz w:val="21"/>
          <w:szCs w:val="21"/>
        </w:rPr>
        <w:t>2023年中国以锂云母为原料的碳酸锂产量约13万吨，占中国锂盐产量约28%,20</w:t>
      </w:r>
      <w:r>
        <w:rPr>
          <w:spacing w:val="5"/>
          <w:sz w:val="21"/>
          <w:szCs w:val="21"/>
        </w:rPr>
        <w:t>23</w:t>
      </w:r>
      <w:r>
        <w:rPr>
          <w:spacing w:val="5"/>
          <w:sz w:val="21"/>
          <w:szCs w:val="21"/>
        </w:rPr>
        <w:t xml:space="preserve"> </w:t>
      </w:r>
      <w:r>
        <w:rPr>
          <w:spacing w:val="-3"/>
          <w:sz w:val="21"/>
          <w:szCs w:val="21"/>
        </w:rPr>
        <w:t>年上半年也因环保问题导致供应减少。根据</w:t>
      </w:r>
      <w:r>
        <w:rPr>
          <w:spacing w:val="-40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1"/>
          <w:szCs w:val="21"/>
        </w:rPr>
        <w:t xml:space="preserve">Mysteel </w:t>
      </w:r>
      <w:r>
        <w:rPr>
          <w:spacing w:val="-3"/>
          <w:sz w:val="21"/>
          <w:szCs w:val="21"/>
        </w:rPr>
        <w:t>调研，江西头部锂盐企业目前正</w:t>
      </w:r>
      <w:r>
        <w:rPr>
          <w:sz w:val="21"/>
          <w:szCs w:val="21"/>
        </w:rPr>
        <w:t xml:space="preserve">  </w:t>
      </w:r>
      <w:r>
        <w:rPr>
          <w:spacing w:val="-2"/>
          <w:sz w:val="21"/>
          <w:szCs w:val="21"/>
        </w:rPr>
        <w:t>常生产，</w:t>
      </w:r>
      <w:r>
        <w:rPr>
          <w:spacing w:val="-2"/>
          <w:sz w:val="21"/>
          <w:szCs w:val="21"/>
        </w:rPr>
        <w:t xml:space="preserve"> </w:t>
      </w:r>
      <w:r>
        <w:rPr>
          <w:spacing w:val="-2"/>
          <w:sz w:val="21"/>
          <w:szCs w:val="21"/>
        </w:rPr>
        <w:t>一半的江西锂盐企业仍处于检修状态，大部分江西锂盐厂反馈，认为江西</w:t>
      </w:r>
      <w:r>
        <w:rPr>
          <w:spacing w:val="15"/>
          <w:sz w:val="21"/>
          <w:szCs w:val="21"/>
        </w:rPr>
        <w:t xml:space="preserve"> </w:t>
      </w:r>
      <w:r>
        <w:rPr>
          <w:spacing w:val="2"/>
          <w:sz w:val="21"/>
          <w:szCs w:val="21"/>
        </w:rPr>
        <w:t>环保压力影响较大，环保可能影响1-2月</w:t>
      </w:r>
      <w:r>
        <w:rPr>
          <w:b/>
          <w:bCs/>
          <w:spacing w:val="2"/>
          <w:sz w:val="21"/>
          <w:szCs w:val="21"/>
        </w:rPr>
        <w:t>，根据</w:t>
      </w: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Mysteel</w:t>
      </w:r>
      <w:r>
        <w:rPr>
          <w:rFonts w:ascii="Times New Roman" w:eastAsia="Times New Roman" w:hAnsi="Times New Roman" w:cs="Times New Roman"/>
          <w:b/>
          <w:bCs/>
          <w:spacing w:val="43"/>
          <w:w w:val="101"/>
          <w:sz w:val="21"/>
          <w:szCs w:val="21"/>
        </w:rPr>
        <w:t xml:space="preserve"> </w:t>
      </w:r>
      <w:r>
        <w:rPr>
          <w:b/>
          <w:bCs/>
          <w:spacing w:val="2"/>
          <w:sz w:val="21"/>
          <w:szCs w:val="21"/>
        </w:rPr>
        <w:t>调研，停产检修和放假对2</w:t>
      </w:r>
      <w:r>
        <w:rPr>
          <w:spacing w:val="2"/>
          <w:sz w:val="21"/>
          <w:szCs w:val="21"/>
        </w:rPr>
        <w:t xml:space="preserve"> </w:t>
      </w:r>
      <w:r>
        <w:rPr>
          <w:b/>
          <w:bCs/>
          <w:spacing w:val="-4"/>
          <w:sz w:val="21"/>
          <w:szCs w:val="21"/>
        </w:rPr>
        <w:t>月江西样本企业的产量影响为-4280吨，3月江西碳酸锂样本企业检修完</w:t>
      </w:r>
      <w:r>
        <w:rPr>
          <w:b/>
          <w:bCs/>
          <w:spacing w:val="-5"/>
          <w:sz w:val="21"/>
          <w:szCs w:val="21"/>
        </w:rPr>
        <w:t>毕陆续开工</w:t>
      </w:r>
      <w:r>
        <w:rPr>
          <w:spacing w:val="-5"/>
          <w:sz w:val="21"/>
          <w:szCs w:val="21"/>
        </w:rPr>
        <w:t>，</w:t>
      </w:r>
      <w:r>
        <w:rPr>
          <w:sz w:val="21"/>
          <w:szCs w:val="21"/>
        </w:rPr>
        <w:t xml:space="preserve"> </w:t>
      </w:r>
      <w:r>
        <w:rPr>
          <w:b/>
          <w:bCs/>
          <w:spacing w:val="3"/>
          <w:sz w:val="21"/>
          <w:szCs w:val="21"/>
        </w:rPr>
        <w:t>预计产量环比2月增加1200吨，</w:t>
      </w:r>
      <w:r>
        <w:rPr>
          <w:spacing w:val="3"/>
          <w:sz w:val="21"/>
          <w:szCs w:val="21"/>
        </w:rPr>
        <w:t>另一方面，环保督察可能将重点关注锂渣去向和处</w:t>
      </w:r>
      <w:r>
        <w:rPr>
          <w:spacing w:val="3"/>
          <w:sz w:val="21"/>
          <w:szCs w:val="21"/>
        </w:rPr>
        <w:t xml:space="preserve"> </w:t>
      </w:r>
      <w:r>
        <w:rPr>
          <w:spacing w:val="-3"/>
          <w:sz w:val="21"/>
          <w:szCs w:val="21"/>
        </w:rPr>
        <w:t>理方法，同时禁止锂渣跨区域运输处理，根据</w:t>
      </w:r>
      <w:r>
        <w:rPr>
          <w:spacing w:val="-37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1"/>
          <w:szCs w:val="21"/>
        </w:rPr>
        <w:t>Mysteel</w:t>
      </w:r>
      <w:r>
        <w:rPr>
          <w:rFonts w:ascii="Times New Roman" w:eastAsia="Times New Roman" w:hAnsi="Times New Roman" w:cs="Times New Roman"/>
          <w:spacing w:val="25"/>
          <w:w w:val="101"/>
          <w:sz w:val="21"/>
          <w:szCs w:val="21"/>
        </w:rPr>
        <w:t xml:space="preserve"> </w:t>
      </w:r>
      <w:r>
        <w:rPr>
          <w:spacing w:val="-3"/>
          <w:sz w:val="21"/>
          <w:szCs w:val="21"/>
        </w:rPr>
        <w:t>了解，目前地方管理部门对于</w:t>
      </w:r>
      <w:r>
        <w:rPr>
          <w:sz w:val="21"/>
          <w:szCs w:val="21"/>
        </w:rPr>
        <w:t xml:space="preserve"> </w:t>
      </w:r>
      <w:r>
        <w:rPr>
          <w:spacing w:val="1"/>
          <w:sz w:val="21"/>
          <w:szCs w:val="21"/>
        </w:rPr>
        <w:t>锂渣是固废还是危废还没有明确认定尾渣储存处理价格为35元/吨/年，若认定为危</w:t>
      </w:r>
      <w:r>
        <w:rPr>
          <w:spacing w:val="2"/>
          <w:sz w:val="21"/>
          <w:szCs w:val="21"/>
        </w:rPr>
        <w:t xml:space="preserve">  </w:t>
      </w:r>
      <w:r>
        <w:rPr>
          <w:spacing w:val="-1"/>
          <w:sz w:val="21"/>
          <w:szCs w:val="21"/>
        </w:rPr>
        <w:t>废，则储存处理需要2000</w:t>
      </w:r>
      <w:r>
        <w:rPr>
          <w:spacing w:val="-1"/>
          <w:sz w:val="21"/>
          <w:szCs w:val="21"/>
        </w:rPr>
        <w:t xml:space="preserve"> </w:t>
      </w:r>
      <w:r>
        <w:rPr>
          <w:spacing w:val="-1"/>
          <w:sz w:val="21"/>
          <w:szCs w:val="21"/>
        </w:rPr>
        <w:t>元/吨/年，碳酸</w:t>
      </w:r>
      <w:r>
        <w:rPr>
          <w:spacing w:val="-2"/>
          <w:sz w:val="21"/>
          <w:szCs w:val="21"/>
        </w:rPr>
        <w:t>锂生产成本曲线或将右移，因此需持续关</w:t>
      </w:r>
      <w:r>
        <w:rPr>
          <w:spacing w:val="-2"/>
          <w:sz w:val="21"/>
          <w:szCs w:val="21"/>
        </w:rPr>
        <w:t xml:space="preserve"> </w:t>
      </w:r>
      <w:r>
        <w:rPr>
          <w:spacing w:val="-3"/>
          <w:sz w:val="21"/>
          <w:szCs w:val="21"/>
        </w:rPr>
        <w:t>注环保督查对于当地生产的影响。</w:t>
      </w:r>
    </w:p>
    <w:p>
      <w:pPr>
        <w:pStyle w:val="BodyText"/>
        <w:spacing w:before="233" w:line="224" w:lineRule="auto"/>
        <w:ind w:left="2813"/>
        <w:outlineLvl w:val="3"/>
        <w:rPr>
          <w:sz w:val="21"/>
          <w:szCs w:val="21"/>
        </w:rPr>
      </w:pPr>
      <w:r>
        <w:rPr>
          <w:b/>
          <w:bCs/>
          <w:color w:val="000080"/>
          <w:spacing w:val="21"/>
          <w:sz w:val="21"/>
          <w:szCs w:val="21"/>
        </w:rPr>
        <w:t>1.4、</w:t>
      </w:r>
      <w:r>
        <w:rPr>
          <w:color w:val="000080"/>
          <w:spacing w:val="45"/>
          <w:sz w:val="21"/>
          <w:szCs w:val="21"/>
        </w:rPr>
        <w:t xml:space="preserve"> </w:t>
      </w:r>
      <w:r>
        <w:rPr>
          <w:b/>
          <w:bCs/>
          <w:color w:val="000080"/>
          <w:spacing w:val="21"/>
          <w:sz w:val="21"/>
          <w:szCs w:val="21"/>
        </w:rPr>
        <w:t>股息策略：铝、钼有望成为金属板块高股息品种</w:t>
      </w:r>
    </w:p>
    <w:p>
      <w:pPr>
        <w:pStyle w:val="BodyText"/>
        <w:spacing w:before="214" w:line="267" w:lineRule="auto"/>
        <w:ind w:left="2810" w:right="102" w:firstLine="432"/>
        <w:jc w:val="both"/>
        <w:rPr>
          <w:sz w:val="21"/>
          <w:szCs w:val="21"/>
        </w:rPr>
      </w:pPr>
      <w:r>
        <w:rPr>
          <w:b/>
          <w:bCs/>
          <w:spacing w:val="-9"/>
          <w:sz w:val="21"/>
          <w:szCs w:val="21"/>
        </w:rPr>
        <w:t>铝：低库存支撑铝价维持高位，关注云南来水时间对供给侧的影响。产量：</w:t>
      </w:r>
      <w:r>
        <w:rPr>
          <w:spacing w:val="-35"/>
          <w:sz w:val="21"/>
          <w:szCs w:val="21"/>
        </w:rPr>
        <w:t xml:space="preserve"> </w:t>
      </w:r>
      <w:r>
        <w:rPr>
          <w:spacing w:val="-9"/>
          <w:sz w:val="21"/>
          <w:szCs w:val="21"/>
        </w:rPr>
        <w:t>2024</w:t>
      </w:r>
      <w:r>
        <w:rPr>
          <w:spacing w:val="-9"/>
          <w:sz w:val="21"/>
          <w:szCs w:val="21"/>
        </w:rPr>
        <w:t xml:space="preserve"> </w:t>
      </w:r>
      <w:r>
        <w:rPr>
          <w:spacing w:val="9"/>
          <w:sz w:val="21"/>
          <w:szCs w:val="21"/>
        </w:rPr>
        <w:t>年1月我国电解铝产量约359万吨，同比增长5.08%。产</w:t>
      </w:r>
      <w:r>
        <w:rPr>
          <w:spacing w:val="8"/>
          <w:sz w:val="21"/>
          <w:szCs w:val="21"/>
        </w:rPr>
        <w:t>能利用率达93.5%,由于春</w:t>
      </w:r>
      <w:r>
        <w:rPr>
          <w:sz w:val="21"/>
          <w:szCs w:val="21"/>
        </w:rPr>
        <w:t xml:space="preserve"> </w:t>
      </w:r>
      <w:r>
        <w:rPr>
          <w:spacing w:val="1"/>
          <w:sz w:val="21"/>
          <w:szCs w:val="21"/>
        </w:rPr>
        <w:t>节假期影响铝加工企业开工率，1月电解铝供给过剩13.2</w:t>
      </w:r>
      <w:r>
        <w:rPr>
          <w:sz w:val="21"/>
          <w:szCs w:val="21"/>
        </w:rPr>
        <w:t>万吨。</w:t>
      </w:r>
      <w:r>
        <w:rPr>
          <w:b/>
          <w:bCs/>
          <w:sz w:val="21"/>
          <w:szCs w:val="21"/>
        </w:rPr>
        <w:t>库</w:t>
      </w:r>
      <w:r>
        <w:rPr>
          <w:spacing w:val="-45"/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>存</w:t>
      </w:r>
      <w:r>
        <w:rPr>
          <w:spacing w:val="-54"/>
          <w:sz w:val="21"/>
          <w:szCs w:val="21"/>
        </w:rPr>
        <w:t xml:space="preserve"> </w:t>
      </w:r>
      <w:r>
        <w:rPr>
          <w:b/>
          <w:bCs/>
          <w:sz w:val="21"/>
          <w:szCs w:val="21"/>
        </w:rPr>
        <w:t>：</w:t>
      </w:r>
      <w:r>
        <w:rPr>
          <w:sz w:val="21"/>
          <w:szCs w:val="21"/>
        </w:rPr>
        <w:t>截至2024年</w:t>
      </w:r>
      <w:r>
        <w:rPr>
          <w:sz w:val="21"/>
          <w:szCs w:val="21"/>
        </w:rPr>
        <w:t xml:space="preserve"> </w:t>
      </w:r>
      <w:r>
        <w:rPr>
          <w:spacing w:val="15"/>
          <w:sz w:val="21"/>
          <w:szCs w:val="21"/>
        </w:rPr>
        <w:t>3</w:t>
      </w:r>
      <w:r>
        <w:rPr>
          <w:spacing w:val="-9"/>
          <w:sz w:val="21"/>
          <w:szCs w:val="21"/>
        </w:rPr>
        <w:t xml:space="preserve"> </w:t>
      </w:r>
      <w:r>
        <w:rPr>
          <w:spacing w:val="15"/>
          <w:sz w:val="21"/>
          <w:szCs w:val="21"/>
        </w:rPr>
        <w:t>月</w:t>
      </w:r>
      <w:r>
        <w:rPr>
          <w:spacing w:val="-21"/>
          <w:sz w:val="21"/>
          <w:szCs w:val="21"/>
        </w:rPr>
        <w:t xml:space="preserve"> </w:t>
      </w:r>
      <w:r>
        <w:rPr>
          <w:spacing w:val="15"/>
          <w:sz w:val="21"/>
          <w:szCs w:val="21"/>
        </w:rPr>
        <w:t>1日</w:t>
      </w:r>
      <w:r>
        <w:rPr>
          <w:spacing w:val="-33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sz w:val="21"/>
          <w:szCs w:val="21"/>
        </w:rPr>
        <w:t>SHFE</w:t>
      </w:r>
      <w:r>
        <w:rPr>
          <w:rFonts w:ascii="Times New Roman" w:eastAsia="Times New Roman" w:hAnsi="Times New Roman" w:cs="Times New Roman"/>
          <w:spacing w:val="15"/>
          <w:sz w:val="21"/>
          <w:szCs w:val="21"/>
        </w:rPr>
        <w:t xml:space="preserve"> </w:t>
      </w:r>
      <w:r>
        <w:rPr>
          <w:spacing w:val="15"/>
          <w:sz w:val="21"/>
          <w:szCs w:val="21"/>
        </w:rPr>
        <w:t>铝锭库存19.1万吨，同比-37%(与2023年3月3日相比),库存水</w:t>
      </w:r>
      <w:r>
        <w:rPr>
          <w:sz w:val="21"/>
          <w:szCs w:val="21"/>
        </w:rPr>
        <w:t xml:space="preserve"> </w:t>
      </w:r>
      <w:r>
        <w:rPr>
          <w:spacing w:val="-2"/>
          <w:sz w:val="21"/>
          <w:szCs w:val="21"/>
        </w:rPr>
        <w:t>平处于历史低位。</w:t>
      </w:r>
      <w:r>
        <w:rPr>
          <w:b/>
          <w:bCs/>
          <w:spacing w:val="-2"/>
          <w:sz w:val="21"/>
          <w:szCs w:val="21"/>
        </w:rPr>
        <w:t>成本：</w:t>
      </w:r>
      <w:r>
        <w:rPr>
          <w:spacing w:val="-2"/>
          <w:sz w:val="21"/>
          <w:szCs w:val="21"/>
        </w:rPr>
        <w:t xml:space="preserve"> </w:t>
      </w:r>
      <w:r>
        <w:rPr>
          <w:spacing w:val="-2"/>
          <w:sz w:val="21"/>
          <w:szCs w:val="21"/>
        </w:rPr>
        <w:t>氧化铝价格依然维持高</w:t>
      </w:r>
      <w:r>
        <w:rPr>
          <w:spacing w:val="-3"/>
          <w:sz w:val="21"/>
          <w:szCs w:val="21"/>
        </w:rPr>
        <w:t>位。</w:t>
      </w:r>
      <w:r>
        <w:rPr>
          <w:b/>
          <w:bCs/>
          <w:spacing w:val="-3"/>
          <w:sz w:val="21"/>
          <w:szCs w:val="21"/>
        </w:rPr>
        <w:t>短期来看，受低库存、高成本</w:t>
      </w:r>
      <w:r>
        <w:rPr>
          <w:sz w:val="21"/>
          <w:szCs w:val="21"/>
        </w:rPr>
        <w:t xml:space="preserve"> </w:t>
      </w:r>
      <w:r>
        <w:rPr>
          <w:b/>
          <w:bCs/>
          <w:spacing w:val="1"/>
          <w:sz w:val="21"/>
          <w:szCs w:val="21"/>
        </w:rPr>
        <w:t>支撑，铝价下行动力较小；</w:t>
      </w:r>
      <w:r>
        <w:rPr>
          <w:spacing w:val="1"/>
          <w:sz w:val="21"/>
          <w:szCs w:val="21"/>
        </w:rPr>
        <w:t xml:space="preserve"> </w:t>
      </w:r>
      <w:r>
        <w:rPr>
          <w:spacing w:val="1"/>
          <w:sz w:val="21"/>
          <w:szCs w:val="21"/>
        </w:rPr>
        <w:t>此外，每年10月至次年4</w:t>
      </w:r>
      <w:r>
        <w:rPr>
          <w:sz w:val="21"/>
          <w:szCs w:val="21"/>
        </w:rPr>
        <w:t>月为云南枯水期，来水时间将</w:t>
      </w:r>
      <w:r>
        <w:rPr>
          <w:sz w:val="21"/>
          <w:szCs w:val="21"/>
        </w:rPr>
        <w:t xml:space="preserve"> </w:t>
      </w:r>
      <w:r>
        <w:rPr>
          <w:spacing w:val="1"/>
          <w:sz w:val="21"/>
          <w:szCs w:val="21"/>
        </w:rPr>
        <w:t>影响电解铝复产时间，因此需重点关注云南来水时间。受益标的有</w:t>
      </w:r>
      <w:r>
        <w:rPr>
          <w:b/>
          <w:bCs/>
          <w:spacing w:val="1"/>
          <w:sz w:val="21"/>
          <w:szCs w:val="21"/>
        </w:rPr>
        <w:t>神火股份、云铝</w:t>
      </w:r>
      <w:r>
        <w:rPr>
          <w:spacing w:val="5"/>
          <w:sz w:val="21"/>
          <w:szCs w:val="21"/>
        </w:rPr>
        <w:t xml:space="preserve"> </w:t>
      </w:r>
      <w:r>
        <w:rPr>
          <w:b/>
          <w:bCs/>
          <w:spacing w:val="-5"/>
          <w:sz w:val="21"/>
          <w:szCs w:val="21"/>
        </w:rPr>
        <w:t>股份、中国宏桥、天山铝业。</w:t>
      </w:r>
    </w:p>
    <w:p>
      <w:pPr>
        <w:pStyle w:val="BodyText"/>
        <w:spacing w:before="216" w:line="263" w:lineRule="auto"/>
        <w:ind w:left="2810" w:right="109" w:firstLine="432"/>
        <w:rPr>
          <w:sz w:val="21"/>
          <w:szCs w:val="21"/>
        </w:rPr>
      </w:pPr>
      <w:r>
        <w:rPr>
          <w:b/>
          <w:bCs/>
          <w:spacing w:val="-1"/>
          <w:sz w:val="21"/>
          <w:szCs w:val="21"/>
        </w:rPr>
        <w:t>钼：预计2024年钼利润中枢稳定，股息政策支撑中期配置价值。</w:t>
      </w:r>
      <w:r>
        <w:rPr>
          <w:spacing w:val="-1"/>
          <w:sz w:val="21"/>
          <w:szCs w:val="21"/>
        </w:rPr>
        <w:t>考虑到海外伴</w:t>
      </w:r>
      <w:r>
        <w:rPr>
          <w:spacing w:val="6"/>
          <w:sz w:val="21"/>
          <w:szCs w:val="21"/>
        </w:rPr>
        <w:t xml:space="preserve"> </w:t>
      </w:r>
      <w:r>
        <w:rPr>
          <w:sz w:val="21"/>
          <w:szCs w:val="21"/>
        </w:rPr>
        <w:t>生矿产量下降，以及国内供给增量有限，预计2024年全球钼产量维持25万吨左右，</w:t>
      </w:r>
      <w:r>
        <w:rPr>
          <w:spacing w:val="14"/>
          <w:sz w:val="21"/>
          <w:szCs w:val="21"/>
        </w:rPr>
        <w:t xml:space="preserve"> </w:t>
      </w:r>
      <w:r>
        <w:rPr>
          <w:spacing w:val="6"/>
          <w:sz w:val="21"/>
          <w:szCs w:val="21"/>
        </w:rPr>
        <w:t>预计2024年钼矿供给相对需求偏紧。近期钼价边际回升，我们预计2024年钼价有</w:t>
      </w:r>
      <w:r>
        <w:rPr>
          <w:spacing w:val="18"/>
          <w:sz w:val="21"/>
          <w:szCs w:val="21"/>
        </w:rPr>
        <w:t xml:space="preserve"> </w:t>
      </w:r>
      <w:r>
        <w:rPr>
          <w:sz w:val="21"/>
          <w:szCs w:val="21"/>
        </w:rPr>
        <w:t>望维持30-35</w:t>
      </w:r>
      <w:r>
        <w:rPr>
          <w:spacing w:val="-27"/>
          <w:sz w:val="21"/>
          <w:szCs w:val="21"/>
        </w:rPr>
        <w:t xml:space="preserve"> </w:t>
      </w:r>
      <w:r>
        <w:rPr>
          <w:sz w:val="21"/>
          <w:szCs w:val="21"/>
        </w:rPr>
        <w:t>万区间震荡运行。受益标的有</w:t>
      </w:r>
      <w:r>
        <w:rPr>
          <w:b/>
          <w:bCs/>
          <w:sz w:val="21"/>
          <w:szCs w:val="21"/>
        </w:rPr>
        <w:t>金钼股份</w:t>
      </w:r>
      <w:r>
        <w:rPr>
          <w:sz w:val="21"/>
          <w:szCs w:val="21"/>
        </w:rPr>
        <w:t>。</w:t>
      </w:r>
    </w:p>
    <w:p>
      <w:pPr>
        <w:pStyle w:val="BodyText"/>
        <w:spacing w:before="185" w:line="269" w:lineRule="auto"/>
        <w:ind w:left="2813" w:right="130"/>
        <w:rPr>
          <w:sz w:val="21"/>
          <w:szCs w:val="21"/>
        </w:rPr>
      </w:pPr>
      <w:r>
        <w:rPr>
          <w:b/>
          <w:bCs/>
          <w:color w:val="000080"/>
          <w:spacing w:val="19"/>
          <w:sz w:val="21"/>
          <w:szCs w:val="21"/>
        </w:rPr>
        <w:t>1.5、</w:t>
      </w:r>
      <w:r>
        <w:rPr>
          <w:color w:val="000080"/>
          <w:spacing w:val="19"/>
          <w:sz w:val="21"/>
          <w:szCs w:val="21"/>
        </w:rPr>
        <w:t xml:space="preserve"> </w:t>
      </w:r>
      <w:r>
        <w:rPr>
          <w:b/>
          <w:bCs/>
          <w:color w:val="000080"/>
          <w:spacing w:val="19"/>
          <w:sz w:val="21"/>
          <w:szCs w:val="21"/>
        </w:rPr>
        <w:t>跟踪品种：终端需求延迟启动，3-4</w:t>
      </w:r>
      <w:r>
        <w:rPr>
          <w:color w:val="000080"/>
          <w:spacing w:val="62"/>
          <w:sz w:val="21"/>
          <w:szCs w:val="21"/>
        </w:rPr>
        <w:t xml:space="preserve"> </w:t>
      </w:r>
      <w:r>
        <w:rPr>
          <w:b/>
          <w:bCs/>
          <w:color w:val="000080"/>
          <w:spacing w:val="19"/>
          <w:sz w:val="21"/>
          <w:szCs w:val="21"/>
        </w:rPr>
        <w:t>月铁矿、钢材价格或将迎来</w:t>
      </w:r>
      <w:r>
        <w:rPr>
          <w:color w:val="000080"/>
          <w:spacing w:val="19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80"/>
          <w:spacing w:val="19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b/>
          <w:bCs/>
          <w:color w:val="000080"/>
          <w:sz w:val="21"/>
          <w:szCs w:val="21"/>
        </w:rPr>
        <w:t xml:space="preserve">  </w:t>
      </w:r>
      <w:r>
        <w:rPr>
          <w:b/>
          <w:bCs/>
          <w:color w:val="000080"/>
          <w:spacing w:val="22"/>
          <w:sz w:val="21"/>
          <w:szCs w:val="21"/>
        </w:rPr>
        <w:t>型反转</w:t>
      </w:r>
    </w:p>
    <w:p>
      <w:pPr>
        <w:pStyle w:val="BodyText"/>
        <w:spacing w:before="181" w:line="265" w:lineRule="auto"/>
        <w:ind w:left="2810" w:right="78" w:firstLine="432"/>
        <w:rPr>
          <w:sz w:val="21"/>
          <w:szCs w:val="21"/>
        </w:rPr>
      </w:pPr>
      <w:r>
        <w:rPr>
          <w:b/>
          <w:bCs/>
          <w:spacing w:val="-1"/>
          <w:sz w:val="21"/>
          <w:szCs w:val="21"/>
        </w:rPr>
        <w:t>铁矿石：关注铁水复苏情况，若需求继续延迟，铁矿价格或将震荡下行。</w:t>
      </w:r>
      <w:r>
        <w:rPr>
          <w:b/>
          <w:bCs/>
          <w:spacing w:val="-2"/>
          <w:sz w:val="21"/>
          <w:szCs w:val="21"/>
        </w:rPr>
        <w:t>供给</w:t>
      </w:r>
      <w:r>
        <w:rPr>
          <w:spacing w:val="-2"/>
          <w:sz w:val="21"/>
          <w:szCs w:val="21"/>
        </w:rPr>
        <w:t xml:space="preserve"> </w:t>
      </w:r>
      <w:r>
        <w:rPr>
          <w:b/>
          <w:bCs/>
          <w:spacing w:val="6"/>
          <w:sz w:val="21"/>
          <w:szCs w:val="21"/>
        </w:rPr>
        <w:t>端，</w:t>
      </w:r>
      <w:r>
        <w:rPr>
          <w:spacing w:val="-57"/>
          <w:sz w:val="21"/>
          <w:szCs w:val="21"/>
        </w:rPr>
        <w:t xml:space="preserve"> </w:t>
      </w:r>
      <w:r>
        <w:rPr>
          <w:spacing w:val="6"/>
          <w:sz w:val="21"/>
          <w:szCs w:val="21"/>
        </w:rPr>
        <w:t>2024年受到厄尔尼诺现象的影响，澳大利亚铁矿石主产地区(</w:t>
      </w:r>
      <w:r>
        <w:rPr>
          <w:spacing w:val="5"/>
          <w:sz w:val="21"/>
          <w:szCs w:val="21"/>
        </w:rPr>
        <w:t>西澳地区)产量</w:t>
      </w:r>
      <w:r>
        <w:rPr>
          <w:sz w:val="21"/>
          <w:szCs w:val="21"/>
        </w:rPr>
        <w:t xml:space="preserve"> </w:t>
      </w:r>
      <w:r>
        <w:rPr>
          <w:spacing w:val="4"/>
          <w:sz w:val="21"/>
          <w:szCs w:val="21"/>
        </w:rPr>
        <w:t>将较往年有所提升，近两周铁矿石发运及到港量均较强，</w:t>
      </w:r>
      <w:r>
        <w:rPr>
          <w:b/>
          <w:bCs/>
          <w:spacing w:val="4"/>
          <w:sz w:val="21"/>
          <w:szCs w:val="21"/>
        </w:rPr>
        <w:t>预计3月铁矿石到港总量</w:t>
      </w:r>
      <w:r>
        <w:rPr>
          <w:spacing w:val="17"/>
          <w:sz w:val="21"/>
          <w:szCs w:val="21"/>
        </w:rPr>
        <w:t xml:space="preserve"> </w:t>
      </w:r>
      <w:r>
        <w:rPr>
          <w:b/>
          <w:bCs/>
          <w:spacing w:val="-7"/>
          <w:sz w:val="21"/>
          <w:szCs w:val="21"/>
        </w:rPr>
        <w:t>较2023年同比仍有所上升；需求端，受节后终端需求不</w:t>
      </w:r>
      <w:r>
        <w:rPr>
          <w:b/>
          <w:bCs/>
          <w:spacing w:val="-8"/>
          <w:sz w:val="21"/>
          <w:szCs w:val="21"/>
        </w:rPr>
        <w:t>及预期影响，钢厂利润承压，</w:t>
      </w:r>
      <w:r>
        <w:rPr>
          <w:sz w:val="21"/>
          <w:szCs w:val="21"/>
        </w:rPr>
        <w:t xml:space="preserve">  </w:t>
      </w:r>
      <w:r>
        <w:rPr>
          <w:b/>
          <w:bCs/>
          <w:spacing w:val="-2"/>
          <w:sz w:val="21"/>
          <w:szCs w:val="21"/>
        </w:rPr>
        <w:t>高炉、电炉复产积极性不高，铁水复苏拐头向下；关注3</w:t>
      </w:r>
      <w:r>
        <w:rPr>
          <w:spacing w:val="-2"/>
          <w:sz w:val="21"/>
          <w:szCs w:val="21"/>
        </w:rPr>
        <w:t xml:space="preserve"> </w:t>
      </w:r>
      <w:r>
        <w:rPr>
          <w:b/>
          <w:bCs/>
          <w:spacing w:val="-2"/>
          <w:sz w:val="21"/>
          <w:szCs w:val="21"/>
        </w:rPr>
        <w:t>月中上旬铁水复苏情况，</w:t>
      </w:r>
      <w:r>
        <w:rPr>
          <w:spacing w:val="1"/>
          <w:sz w:val="21"/>
          <w:szCs w:val="21"/>
        </w:rPr>
        <w:t xml:space="preserve">  </w:t>
      </w:r>
      <w:r>
        <w:rPr>
          <w:b/>
          <w:bCs/>
          <w:spacing w:val="-10"/>
          <w:sz w:val="21"/>
          <w:szCs w:val="21"/>
        </w:rPr>
        <w:t>若建材端需求复苏仍继续延迟，或将进一步拖累铁矿价格。库存端，</w:t>
      </w:r>
      <w:r>
        <w:rPr>
          <w:spacing w:val="-17"/>
          <w:sz w:val="21"/>
          <w:szCs w:val="21"/>
        </w:rPr>
        <w:t xml:space="preserve"> </w:t>
      </w:r>
      <w:r>
        <w:rPr>
          <w:spacing w:val="-10"/>
          <w:sz w:val="21"/>
          <w:szCs w:val="21"/>
        </w:rPr>
        <w:t>节后需求较差，</w:t>
      </w:r>
      <w:r>
        <w:rPr>
          <w:sz w:val="21"/>
          <w:szCs w:val="21"/>
        </w:rPr>
        <w:t xml:space="preserve">  </w:t>
      </w:r>
      <w:r>
        <w:rPr>
          <w:sz w:val="21"/>
          <w:szCs w:val="21"/>
        </w:rPr>
        <w:t>供给增量下，进口矿港口库存不断累库，截至3月1日当周，库存超越2023年水平。</w:t>
      </w:r>
    </w:p>
    <w:p>
      <w:pPr>
        <w:pStyle w:val="BodyText"/>
        <w:spacing w:before="58" w:line="246" w:lineRule="auto"/>
        <w:ind w:left="2813" w:right="107"/>
        <w:rPr>
          <w:sz w:val="21"/>
          <w:szCs w:val="21"/>
        </w:rPr>
      </w:pPr>
      <w:r>
        <w:rPr>
          <w:b/>
          <w:bCs/>
          <w:spacing w:val="2"/>
          <w:sz w:val="21"/>
          <w:szCs w:val="21"/>
        </w:rPr>
        <w:t>整体来看，预计3月中上旬铁矿石市场基本面供强需弱，下跌空间由建筑钢材需求</w:t>
      </w:r>
      <w:r>
        <w:rPr>
          <w:spacing w:val="1"/>
          <w:sz w:val="21"/>
          <w:szCs w:val="21"/>
        </w:rPr>
        <w:t xml:space="preserve"> </w:t>
      </w:r>
      <w:r>
        <w:rPr>
          <w:b/>
          <w:bCs/>
          <w:spacing w:val="-4"/>
          <w:sz w:val="21"/>
          <w:szCs w:val="21"/>
        </w:rPr>
        <w:t>主导，若强需求现实继续推迟，铁矿价格或将进一步下跌。</w:t>
      </w:r>
    </w:p>
    <w:p>
      <w:pPr>
        <w:pStyle w:val="BodyText"/>
        <w:spacing w:before="253" w:line="265" w:lineRule="auto"/>
        <w:ind w:left="2810" w:right="97" w:firstLine="432"/>
        <w:rPr>
          <w:sz w:val="21"/>
          <w:szCs w:val="21"/>
        </w:rPr>
        <w:sectPr>
          <w:footerReference w:type="default" r:id="rId23"/>
          <w:pgSz w:w="11910" w:h="16840"/>
          <w:pgMar w:top="156" w:right="660" w:bottom="1129" w:left="719" w:header="0" w:footer="856" w:gutter="0"/>
          <w:pgNumType w:start="16"/>
          <w:cols w:space="708"/>
        </w:sectPr>
      </w:pPr>
      <w:r>
        <w:rPr>
          <w:b/>
          <w:bCs/>
          <w:spacing w:val="-4"/>
          <w:sz w:val="21"/>
          <w:szCs w:val="21"/>
        </w:rPr>
        <w:t>钢材：制造业需求决定价格反弹空间，3-4</w:t>
      </w:r>
      <w:r>
        <w:rPr>
          <w:spacing w:val="-4"/>
          <w:sz w:val="21"/>
          <w:szCs w:val="21"/>
        </w:rPr>
        <w:t xml:space="preserve"> </w:t>
      </w:r>
      <w:r>
        <w:rPr>
          <w:b/>
          <w:bCs/>
          <w:spacing w:val="-4"/>
          <w:sz w:val="21"/>
          <w:szCs w:val="21"/>
        </w:rPr>
        <w:t>月或将迎来</w:t>
      </w:r>
      <w:r>
        <w:rPr>
          <w:spacing w:val="-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4"/>
          <w:sz w:val="21"/>
          <w:szCs w:val="21"/>
        </w:rPr>
        <w:t>V</w:t>
      </w:r>
      <w:r>
        <w:rPr>
          <w:rFonts w:ascii="Times New Roman" w:eastAsia="Times New Roman" w:hAnsi="Times New Roman" w:cs="Times New Roman"/>
          <w:b/>
          <w:bCs/>
          <w:spacing w:val="21"/>
          <w:w w:val="101"/>
          <w:sz w:val="21"/>
          <w:szCs w:val="21"/>
        </w:rPr>
        <w:t xml:space="preserve"> </w:t>
      </w:r>
      <w:r>
        <w:rPr>
          <w:b/>
          <w:bCs/>
          <w:spacing w:val="-4"/>
          <w:sz w:val="21"/>
          <w:szCs w:val="21"/>
        </w:rPr>
        <w:t>型反转。</w:t>
      </w:r>
      <w:r>
        <w:rPr>
          <w:spacing w:val="-4"/>
          <w:sz w:val="21"/>
          <w:szCs w:val="21"/>
        </w:rPr>
        <w:t>年后受下游</w:t>
      </w:r>
      <w:r>
        <w:rPr>
          <w:sz w:val="21"/>
          <w:szCs w:val="21"/>
        </w:rPr>
        <w:t xml:space="preserve"> </w:t>
      </w:r>
      <w:r>
        <w:rPr>
          <w:spacing w:val="2"/>
          <w:sz w:val="21"/>
          <w:szCs w:val="21"/>
        </w:rPr>
        <w:t>需求延迟兑现影响，钢厂复产积极性较差，钢材连同炉料</w:t>
      </w:r>
      <w:r>
        <w:rPr>
          <w:spacing w:val="1"/>
          <w:sz w:val="21"/>
          <w:szCs w:val="21"/>
        </w:rPr>
        <w:t>价格下跌。五大材产量同</w:t>
      </w:r>
      <w:r>
        <w:rPr>
          <w:sz w:val="21"/>
          <w:szCs w:val="21"/>
        </w:rPr>
        <w:t xml:space="preserve"> </w:t>
      </w:r>
      <w:r>
        <w:rPr>
          <w:spacing w:val="1"/>
          <w:sz w:val="21"/>
          <w:szCs w:val="21"/>
        </w:rPr>
        <w:t>比位于低点，下游需求较差，库存累库，但是五大材消费量开始出现反转迹象。我</w:t>
      </w:r>
      <w:r>
        <w:rPr>
          <w:spacing w:val="4"/>
          <w:sz w:val="21"/>
          <w:szCs w:val="21"/>
        </w:rPr>
        <w:t xml:space="preserve"> </w:t>
      </w:r>
      <w:r>
        <w:rPr>
          <w:spacing w:val="-11"/>
          <w:sz w:val="21"/>
          <w:szCs w:val="21"/>
        </w:rPr>
        <w:t>们预计当前钢材需求已近底部，需求启动仅为时间问题，“金三银四”需求终将兑现，</w:t>
      </w:r>
      <w:r>
        <w:rPr>
          <w:spacing w:val="11"/>
          <w:sz w:val="21"/>
          <w:szCs w:val="21"/>
        </w:rPr>
        <w:t xml:space="preserve"> </w:t>
      </w:r>
      <w:r>
        <w:rPr>
          <w:spacing w:val="1"/>
          <w:sz w:val="21"/>
          <w:szCs w:val="21"/>
        </w:rPr>
        <w:t>届时钢材主动补库，价格有望上涨，受房地产影响建筑业需求或不及预期</w:t>
      </w:r>
      <w:r>
        <w:rPr>
          <w:sz w:val="21"/>
          <w:szCs w:val="21"/>
        </w:rPr>
        <w:t>，价格反</w:t>
      </w:r>
      <w:r>
        <w:rPr>
          <w:sz w:val="21"/>
          <w:szCs w:val="21"/>
        </w:rPr>
        <w:t xml:space="preserve"> </w:t>
      </w:r>
    </w:p>
    <w:p>
      <w:pPr>
        <w:pStyle w:val="BodyText"/>
        <w:spacing w:before="253" w:line="265" w:lineRule="auto"/>
        <w:ind w:left="2810" w:right="97" w:firstLine="432"/>
        <w:rPr>
          <w:sz w:val="21"/>
          <w:szCs w:val="21"/>
        </w:rPr>
      </w:pPr>
      <w:r>
        <w:rPr>
          <w:spacing w:val="1"/>
          <w:sz w:val="21"/>
          <w:szCs w:val="21"/>
        </w:rPr>
        <w:t>弹空间由制造业需求决定。若两会政策不及预期，需求启动延迟至3</w:t>
      </w:r>
      <w:r>
        <w:rPr>
          <w:spacing w:val="1"/>
          <w:sz w:val="21"/>
          <w:szCs w:val="21"/>
        </w:rPr>
        <w:t xml:space="preserve"> </w:t>
      </w:r>
      <w:r>
        <w:rPr>
          <w:spacing w:val="1"/>
          <w:sz w:val="21"/>
          <w:szCs w:val="21"/>
        </w:rPr>
        <w:t>月底兑现，或</w:t>
      </w:r>
      <w:r>
        <w:rPr>
          <w:spacing w:val="13"/>
          <w:sz w:val="21"/>
          <w:szCs w:val="21"/>
        </w:rPr>
        <w:t xml:space="preserve"> </w:t>
      </w:r>
      <w:r>
        <w:rPr>
          <w:spacing w:val="1"/>
          <w:sz w:val="21"/>
          <w:szCs w:val="21"/>
        </w:rPr>
        <w:t>将导致钢材价格探底，然后形成</w:t>
      </w:r>
      <w:r>
        <w:rPr>
          <w:spacing w:val="-60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1"/>
          <w:sz w:val="21"/>
          <w:szCs w:val="21"/>
        </w:rPr>
        <w:t>V</w:t>
      </w:r>
      <w:r>
        <w:rPr>
          <w:rFonts w:ascii="SimSun" w:eastAsia="SimSun" w:hAnsi="SimSun" w:cs="SimSun"/>
          <w:spacing w:val="33"/>
          <w:sz w:val="21"/>
          <w:szCs w:val="21"/>
        </w:rPr>
        <w:t xml:space="preserve"> </w:t>
      </w:r>
      <w:r>
        <w:rPr>
          <w:spacing w:val="1"/>
          <w:sz w:val="21"/>
          <w:szCs w:val="21"/>
        </w:rPr>
        <w:t>型反转。</w:t>
      </w:r>
      <w:r>
        <w:rPr>
          <w:b/>
          <w:bCs/>
          <w:spacing w:val="1"/>
          <w:sz w:val="21"/>
          <w:szCs w:val="21"/>
        </w:rPr>
        <w:t>3月钢材将视下游需求兑现情况决定是</w:t>
      </w:r>
    </w:p>
    <w:p>
      <w:pPr>
        <w:spacing w:line="265" w:lineRule="auto"/>
        <w:rPr>
          <w:sz w:val="21"/>
          <w:szCs w:val="21"/>
        </w:rPr>
        <w:sectPr>
          <w:footerReference w:type="default" r:id="rId24"/>
          <w:type w:val="nextPage"/>
          <w:pgSz w:w="11910" w:h="16840"/>
          <w:pgMar w:top="156" w:right="660" w:bottom="1129" w:left="719" w:header="0" w:footer="856" w:gutter="0"/>
          <w:pgNumType w:start="17"/>
          <w:cols w:space="708"/>
          <w:titlePg w:val="0"/>
        </w:sectPr>
      </w:pPr>
    </w:p>
    <w:p>
      <w:pPr>
        <w:spacing w:before="154" w:line="229" w:lineRule="auto"/>
        <w:ind w:left="210"/>
        <w:rPr>
          <w:rFonts w:ascii="YouYuan" w:eastAsia="YouYuan" w:hAnsi="YouYuan" w:cs="YouYuan"/>
          <w:sz w:val="60"/>
          <w:szCs w:val="60"/>
        </w:rPr>
      </w:pPr>
      <w:r>
        <w:drawing>
          <wp:anchor distT="0" distB="0" distL="0" distR="0" simplePos="0" relativeHeight="251666432" behindDoc="0" locked="0" layoutInCell="0" allowOverlap="1">
            <wp:simplePos x="0" y="0"/>
            <wp:positionH relativeFrom="page">
              <wp:posOffset>438115</wp:posOffset>
            </wp:positionH>
            <wp:positionV relativeFrom="page">
              <wp:posOffset>5187903</wp:posOffset>
            </wp:positionV>
            <wp:extent cx="3282957" cy="6415"/>
            <wp:effectExtent l="0" t="0" r="0" b="0"/>
            <wp:wrapNone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282957" cy="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0528" behindDoc="0" locked="0" layoutInCell="0" allowOverlap="1">
            <wp:simplePos x="0" y="0"/>
            <wp:positionH relativeFrom="page">
              <wp:posOffset>444468</wp:posOffset>
            </wp:positionH>
            <wp:positionV relativeFrom="page">
              <wp:posOffset>8959873</wp:posOffset>
            </wp:positionV>
            <wp:extent cx="3270252" cy="6350"/>
            <wp:effectExtent l="0" t="0" r="0" b="0"/>
            <wp:wrapNone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270252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8480" behindDoc="0" locked="0" layoutInCell="0" allowOverlap="1">
            <wp:simplePos x="0" y="0"/>
            <wp:positionH relativeFrom="page">
              <wp:posOffset>3848129</wp:posOffset>
            </wp:positionH>
            <wp:positionV relativeFrom="page">
              <wp:posOffset>2406636</wp:posOffset>
            </wp:positionV>
            <wp:extent cx="3276604" cy="6350"/>
            <wp:effectExtent l="0" t="0" r="0" b="0"/>
            <wp:wrapNone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276604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7456" behindDoc="0" locked="0" layoutInCell="0" allowOverlap="1">
            <wp:simplePos x="0" y="0"/>
            <wp:positionH relativeFrom="page">
              <wp:posOffset>3835424</wp:posOffset>
            </wp:positionH>
            <wp:positionV relativeFrom="page">
              <wp:posOffset>5187903</wp:posOffset>
            </wp:positionV>
            <wp:extent cx="3282957" cy="6415"/>
            <wp:effectExtent l="0" t="0" r="0" b="0"/>
            <wp:wrapNone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282957" cy="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9504" behindDoc="0" locked="0" layoutInCell="0" allowOverlap="1">
            <wp:simplePos x="0" y="0"/>
            <wp:positionH relativeFrom="page">
              <wp:posOffset>3848129</wp:posOffset>
            </wp:positionH>
            <wp:positionV relativeFrom="page">
              <wp:posOffset>8959873</wp:posOffset>
            </wp:positionV>
            <wp:extent cx="3276604" cy="6350"/>
            <wp:effectExtent l="0" t="0" r="0" b="0"/>
            <wp:wrapNone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276604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1" w:name="bookmark11"/>
      <w:bookmarkEnd w:id="11"/>
      <w:bookmarkStart w:id="12" w:name="bookmark12"/>
      <w:bookmarkEnd w:id="12"/>
      <w:bookmarkStart w:id="13" w:name="bookmark20"/>
      <w:bookmarkEnd w:id="13"/>
      <w:bookmarkStart w:id="14" w:name="bookmark21"/>
      <w:bookmarkEnd w:id="14"/>
      <w:bookmarkStart w:id="15" w:name="bookmark22"/>
      <w:bookmarkEnd w:id="15"/>
      <w:bookmarkStart w:id="16" w:name="bookmark23"/>
      <w:bookmarkEnd w:id="16"/>
      <w:r>
        <w:rPr>
          <w:rFonts w:ascii="YouYuan" w:eastAsia="YouYuan" w:hAnsi="YouYuan" w:cs="YouYuan"/>
          <w:position w:val="-20"/>
          <w:sz w:val="60"/>
          <w:szCs w:val="60"/>
        </w:rPr>
        <w:drawing>
          <wp:inline distT="0" distB="0" distL="0" distR="0">
            <wp:extent cx="571449" cy="488901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449" cy="488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YouYuan" w:eastAsia="YouYuan" w:hAnsi="YouYuan" w:cs="YouYuan"/>
          <w:b/>
          <w:bCs/>
          <w:spacing w:val="28"/>
          <w:sz w:val="60"/>
          <w:szCs w:val="60"/>
        </w:rPr>
        <w:t>开源证券</w:t>
      </w:r>
    </w:p>
    <w:p>
      <w:pPr>
        <w:pStyle w:val="BodyText"/>
        <w:spacing w:before="37" w:line="227" w:lineRule="auto"/>
        <w:ind w:left="9120"/>
        <w:rPr>
          <w:sz w:val="22"/>
          <w:szCs w:val="22"/>
        </w:rPr>
      </w:pPr>
      <w:r>
        <w:pict>
          <v:rect id="_x0000_s1034" style="width:516.7pt;height:0.55pt;margin-top:12.32pt;margin-left:2pt;position:absolute;z-index:251671552" filled="t" fillcolor="black" stroked="f"/>
        </w:pict>
      </w:r>
      <w:r>
        <w:rPr>
          <w:spacing w:val="-10"/>
          <w:sz w:val="22"/>
          <w:szCs w:val="22"/>
        </w:rPr>
        <w:t>行</w:t>
      </w:r>
      <w:r>
        <w:rPr>
          <w:spacing w:val="37"/>
          <w:sz w:val="22"/>
          <w:szCs w:val="22"/>
        </w:rPr>
        <w:t xml:space="preserve"> </w:t>
      </w:r>
      <w:r>
        <w:rPr>
          <w:spacing w:val="-10"/>
          <w:sz w:val="22"/>
          <w:szCs w:val="22"/>
        </w:rPr>
        <w:t>业</w:t>
      </w:r>
      <w:r>
        <w:rPr>
          <w:spacing w:val="26"/>
          <w:sz w:val="22"/>
          <w:szCs w:val="22"/>
        </w:rPr>
        <w:t xml:space="preserve"> </w:t>
      </w:r>
      <w:r>
        <w:rPr>
          <w:spacing w:val="-10"/>
          <w:sz w:val="22"/>
          <w:szCs w:val="22"/>
        </w:rPr>
        <w:t>周</w:t>
      </w:r>
      <w:r>
        <w:rPr>
          <w:spacing w:val="23"/>
          <w:sz w:val="22"/>
          <w:szCs w:val="22"/>
        </w:rPr>
        <w:t xml:space="preserve"> </w:t>
      </w:r>
      <w:r>
        <w:rPr>
          <w:spacing w:val="-10"/>
          <w:sz w:val="22"/>
          <w:szCs w:val="22"/>
        </w:rPr>
        <w:t>报</w:t>
      </w:r>
    </w:p>
    <w:p>
      <w:pPr>
        <w:pStyle w:val="BodyText"/>
        <w:spacing w:before="129" w:line="220" w:lineRule="auto"/>
        <w:ind w:left="2842"/>
      </w:pPr>
      <w:r>
        <w:rPr>
          <w:b/>
          <w:bCs/>
          <w:spacing w:val="11"/>
        </w:rPr>
        <w:t>否迎来反转，4月或将迎较确定性的上涨</w:t>
      </w:r>
      <w:r>
        <w:rPr>
          <w:spacing w:val="11"/>
        </w:rPr>
        <w:t>。</w:t>
      </w:r>
    </w:p>
    <w:p>
      <w:pPr>
        <w:pStyle w:val="BodyText"/>
        <w:spacing w:before="320" w:line="640" w:lineRule="exact"/>
        <w:ind w:left="2844"/>
        <w:rPr>
          <w:sz w:val="29"/>
          <w:szCs w:val="29"/>
        </w:rPr>
      </w:pPr>
      <w:r>
        <w:rPr>
          <w:b/>
          <w:bCs/>
          <w:color w:val="000080"/>
          <w:spacing w:val="-15"/>
          <w:position w:val="26"/>
          <w:sz w:val="29"/>
          <w:szCs w:val="29"/>
        </w:rPr>
        <w:t>2、</w:t>
      </w:r>
      <w:r>
        <w:rPr>
          <w:color w:val="000080"/>
          <w:spacing w:val="-15"/>
          <w:position w:val="26"/>
          <w:sz w:val="29"/>
          <w:szCs w:val="29"/>
        </w:rPr>
        <w:t xml:space="preserve"> </w:t>
      </w:r>
      <w:r>
        <w:rPr>
          <w:b/>
          <w:bCs/>
          <w:color w:val="000080"/>
          <w:spacing w:val="-15"/>
          <w:position w:val="26"/>
          <w:sz w:val="29"/>
          <w:szCs w:val="29"/>
        </w:rPr>
        <w:t>月度跟踪：降息预期再起，金价走强</w:t>
      </w:r>
    </w:p>
    <w:p>
      <w:pPr>
        <w:pStyle w:val="BodyText"/>
        <w:spacing w:line="220" w:lineRule="auto"/>
        <w:ind w:left="2843"/>
        <w:rPr>
          <w:sz w:val="25"/>
          <w:szCs w:val="25"/>
        </w:rPr>
      </w:pPr>
      <w:r>
        <w:rPr>
          <w:b/>
          <w:bCs/>
          <w:color w:val="000080"/>
          <w:spacing w:val="-7"/>
          <w:sz w:val="25"/>
          <w:szCs w:val="25"/>
        </w:rPr>
        <w:t>2.1、</w:t>
      </w:r>
      <w:r>
        <w:rPr>
          <w:color w:val="000080"/>
          <w:spacing w:val="-62"/>
          <w:sz w:val="25"/>
          <w:szCs w:val="25"/>
        </w:rPr>
        <w:t xml:space="preserve"> </w:t>
      </w:r>
      <w:r>
        <w:rPr>
          <w:b/>
          <w:bCs/>
          <w:color w:val="000080"/>
          <w:spacing w:val="-7"/>
          <w:sz w:val="25"/>
          <w:szCs w:val="25"/>
        </w:rPr>
        <w:t>黄金：降息预期再起，金价创2024年</w:t>
      </w:r>
      <w:r>
        <w:rPr>
          <w:b/>
          <w:bCs/>
          <w:color w:val="000080"/>
          <w:spacing w:val="-8"/>
          <w:sz w:val="25"/>
          <w:szCs w:val="25"/>
        </w:rPr>
        <w:t>新高</w:t>
      </w:r>
    </w:p>
    <w:p>
      <w:pPr>
        <w:spacing w:line="111" w:lineRule="exact"/>
      </w:pPr>
    </w:p>
    <w:p>
      <w:pPr>
        <w:spacing w:line="111" w:lineRule="exact"/>
        <w:sectPr>
          <w:footerReference w:type="default" r:id="rId29"/>
          <w:pgSz w:w="11910" w:h="16840"/>
          <w:pgMar w:top="156" w:right="660" w:bottom="1129" w:left="689" w:header="0" w:footer="858" w:gutter="0"/>
          <w:pgNumType w:start="18"/>
          <w:cols w:num="1" w:space="708" w:equalWidth="0">
            <w:col w:w="10561" w:space="0"/>
          </w:cols>
        </w:sectPr>
      </w:pPr>
    </w:p>
    <w:p>
      <w:pPr>
        <w:pStyle w:val="BodyText"/>
        <w:spacing w:before="42" w:line="283" w:lineRule="auto"/>
        <w:ind w:left="42" w:right="126"/>
      </w:pPr>
      <w:r>
        <w:drawing>
          <wp:anchor distT="0" distB="0" distL="0" distR="0" simplePos="0" relativeHeight="251673600" behindDoc="0" locked="0" layoutInCell="1" allowOverlap="1">
            <wp:simplePos x="0" y="0"/>
            <wp:positionH relativeFrom="column">
              <wp:posOffset>20750</wp:posOffset>
            </wp:positionH>
            <wp:positionV relativeFrom="paragraph">
              <wp:posOffset>381130</wp:posOffset>
            </wp:positionV>
            <wp:extent cx="3230519" cy="6350"/>
            <wp:effectExtent l="0" t="0" r="0" b="0"/>
            <wp:wrapNone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230519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000080"/>
          <w:spacing w:val="26"/>
        </w:rPr>
        <w:t>图1:截至2024年3月4日，伦敦现货金</w:t>
      </w:r>
      <w:r>
        <w:rPr>
          <w:b/>
          <w:bCs/>
          <w:color w:val="000080"/>
          <w:spacing w:val="25"/>
        </w:rPr>
        <w:t>价2098美元/</w:t>
      </w:r>
      <w:r>
        <w:rPr>
          <w:color w:val="000080"/>
        </w:rPr>
        <w:t xml:space="preserve"> </w:t>
      </w:r>
      <w:r>
        <w:rPr>
          <w:b/>
          <w:bCs/>
          <w:color w:val="000080"/>
          <w:spacing w:val="-8"/>
        </w:rPr>
        <w:t>盎</w:t>
      </w:r>
      <w:r>
        <w:rPr>
          <w:color w:val="000080"/>
          <w:spacing w:val="62"/>
        </w:rPr>
        <w:t xml:space="preserve"> </w:t>
      </w:r>
      <w:r>
        <w:rPr>
          <w:b/>
          <w:bCs/>
          <w:color w:val="000080"/>
          <w:spacing w:val="-8"/>
        </w:rPr>
        <w:t>司</w:t>
      </w:r>
    </w:p>
    <w:p>
      <w:pPr>
        <w:spacing w:before="119" w:line="3690" w:lineRule="exact"/>
        <w:ind w:firstLine="130"/>
      </w:pPr>
      <w:r>
        <w:rPr>
          <w:position w:val="-73"/>
        </w:rPr>
        <w:drawing>
          <wp:inline distT="0" distB="0" distL="0" distR="0">
            <wp:extent cx="3098802" cy="2343137"/>
            <wp:effectExtent l="0" t="0" r="0" b="0"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098802" cy="2343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96" w:line="226" w:lineRule="auto"/>
        <w:ind w:left="920"/>
      </w:pPr>
      <w:r>
        <w:rPr>
          <w:spacing w:val="-16"/>
          <w:w w:val="98"/>
        </w:rPr>
        <w:t>——伦敦现货黄金：以美元计价(美元/盎司)</w:t>
      </w:r>
    </w:p>
    <w:p>
      <w:pPr>
        <w:pStyle w:val="BodyText"/>
        <w:spacing w:before="284" w:line="224" w:lineRule="auto"/>
        <w:ind w:left="40"/>
      </w:pPr>
      <w:r>
        <w:rPr>
          <w:spacing w:val="-18"/>
          <w:w w:val="98"/>
        </w:rPr>
        <w:t>数据来源：</w:t>
      </w:r>
      <w:r>
        <w:rPr>
          <w:spacing w:val="-35"/>
        </w:rPr>
        <w:t xml:space="preserve"> </w:t>
      </w:r>
      <w:r>
        <w:rPr>
          <w:rFonts w:ascii="Times New Roman" w:eastAsia="Times New Roman" w:hAnsi="Times New Roman" w:cs="Times New Roman"/>
          <w:spacing w:val="-18"/>
          <w:w w:val="98"/>
        </w:rPr>
        <w:t>Wind</w:t>
      </w:r>
      <w:r>
        <w:rPr>
          <w:rFonts w:ascii="SimSun" w:eastAsia="SimSun" w:hAnsi="SimSun" w:cs="SimSun"/>
          <w:spacing w:val="-18"/>
          <w:w w:val="98"/>
        </w:rPr>
        <w:t>、</w:t>
      </w:r>
      <w:r>
        <w:rPr>
          <w:spacing w:val="-18"/>
          <w:w w:val="98"/>
        </w:rPr>
        <w:t>开源证券研究所</w:t>
      </w:r>
    </w:p>
    <w:p>
      <w:pPr>
        <w:spacing w:line="295" w:lineRule="auto"/>
        <w:rPr>
          <w:rFonts w:ascii="Arial"/>
          <w:sz w:val="21"/>
        </w:rPr>
      </w:pPr>
    </w:p>
    <w:p>
      <w:pPr>
        <w:spacing w:line="295" w:lineRule="auto"/>
        <w:rPr>
          <w:rFonts w:ascii="Arial"/>
          <w:sz w:val="21"/>
        </w:rPr>
      </w:pPr>
    </w:p>
    <w:p>
      <w:pPr>
        <w:pStyle w:val="BodyText"/>
        <w:spacing w:before="66" w:line="380" w:lineRule="exact"/>
        <w:ind w:left="42"/>
      </w:pPr>
      <w:r>
        <w:drawing>
          <wp:anchor distT="0" distB="0" distL="0" distR="0" simplePos="0" relativeHeight="251672576" behindDoc="0" locked="0" layoutInCell="1" allowOverlap="1">
            <wp:simplePos x="0" y="0"/>
            <wp:positionH relativeFrom="column">
              <wp:posOffset>21258</wp:posOffset>
            </wp:positionH>
            <wp:positionV relativeFrom="paragraph">
              <wp:posOffset>403452</wp:posOffset>
            </wp:positionV>
            <wp:extent cx="3230011" cy="6350"/>
            <wp:effectExtent l="0" t="0" r="0" b="0"/>
            <wp:wrapNone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230011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000080"/>
          <w:spacing w:val="12"/>
          <w:position w:val="13"/>
        </w:rPr>
        <w:t>图3:截至2024年3月4日，黄金</w:t>
      </w:r>
      <w:r>
        <w:rPr>
          <w:rFonts w:ascii="SimSun" w:eastAsia="SimSun" w:hAnsi="SimSun" w:cs="SimSun"/>
          <w:b/>
          <w:bCs/>
          <w:color w:val="000080"/>
          <w:position w:val="13"/>
        </w:rPr>
        <w:t>ETF</w:t>
      </w:r>
      <w:r>
        <w:rPr>
          <w:rFonts w:ascii="SimSun" w:eastAsia="SimSun" w:hAnsi="SimSun" w:cs="SimSun"/>
          <w:color w:val="000080"/>
          <w:spacing w:val="55"/>
          <w:position w:val="13"/>
        </w:rPr>
        <w:t xml:space="preserve"> </w:t>
      </w:r>
      <w:r>
        <w:rPr>
          <w:b/>
          <w:bCs/>
          <w:color w:val="000080"/>
          <w:spacing w:val="12"/>
          <w:position w:val="13"/>
        </w:rPr>
        <w:t>持仓量达到</w:t>
      </w:r>
      <w:r>
        <w:rPr>
          <w:b/>
          <w:bCs/>
          <w:color w:val="000080"/>
          <w:spacing w:val="11"/>
          <w:position w:val="13"/>
        </w:rPr>
        <w:t>821.47</w:t>
      </w:r>
    </w:p>
    <w:p>
      <w:pPr>
        <w:pStyle w:val="BodyText"/>
        <w:spacing w:line="220" w:lineRule="auto"/>
        <w:ind w:left="42"/>
      </w:pPr>
      <w:r>
        <w:rPr>
          <w:b/>
          <w:bCs/>
          <w:color w:val="000080"/>
          <w:spacing w:val="-12"/>
        </w:rPr>
        <w:t>吨</w:t>
      </w:r>
      <w:r>
        <w:rPr>
          <w:color w:val="000080"/>
          <w:spacing w:val="21"/>
        </w:rPr>
        <w:t xml:space="preserve"> </w:t>
      </w:r>
      <w:r>
        <w:rPr>
          <w:b/>
          <w:bCs/>
          <w:color w:val="000080"/>
          <w:spacing w:val="-12"/>
        </w:rPr>
        <w:t>，</w:t>
      </w:r>
      <w:r>
        <w:rPr>
          <w:color w:val="000080"/>
          <w:spacing w:val="12"/>
        </w:rPr>
        <w:t xml:space="preserve"> </w:t>
      </w:r>
      <w:r>
        <w:rPr>
          <w:b/>
          <w:bCs/>
          <w:color w:val="000080"/>
          <w:spacing w:val="-12"/>
        </w:rPr>
        <w:t>月</w:t>
      </w:r>
      <w:r>
        <w:rPr>
          <w:color w:val="000080"/>
          <w:spacing w:val="-12"/>
        </w:rPr>
        <w:t xml:space="preserve"> </w:t>
      </w:r>
      <w:r>
        <w:rPr>
          <w:b/>
          <w:bCs/>
          <w:color w:val="000080"/>
          <w:spacing w:val="-12"/>
        </w:rPr>
        <w:t>环</w:t>
      </w:r>
      <w:r>
        <w:rPr>
          <w:color w:val="000080"/>
          <w:spacing w:val="21"/>
        </w:rPr>
        <w:t xml:space="preserve"> </w:t>
      </w:r>
      <w:r>
        <w:rPr>
          <w:b/>
          <w:bCs/>
          <w:color w:val="000080"/>
          <w:spacing w:val="-12"/>
        </w:rPr>
        <w:t>比</w:t>
      </w:r>
      <w:r>
        <w:rPr>
          <w:color w:val="000080"/>
          <w:spacing w:val="-1"/>
        </w:rPr>
        <w:t xml:space="preserve"> </w:t>
      </w:r>
      <w:r>
        <w:rPr>
          <w:b/>
          <w:bCs/>
          <w:color w:val="000080"/>
          <w:spacing w:val="-12"/>
        </w:rPr>
        <w:t>-</w:t>
      </w:r>
      <w:r>
        <w:rPr>
          <w:color w:val="000080"/>
          <w:spacing w:val="-2"/>
        </w:rPr>
        <w:t xml:space="preserve"> </w:t>
      </w:r>
      <w:r>
        <w:rPr>
          <w:b/>
          <w:bCs/>
          <w:color w:val="000080"/>
          <w:spacing w:val="-12"/>
        </w:rPr>
        <w:t>4</w:t>
      </w:r>
      <w:r>
        <w:rPr>
          <w:color w:val="000080"/>
          <w:spacing w:val="-1"/>
        </w:rPr>
        <w:t xml:space="preserve"> </w:t>
      </w:r>
      <w:r>
        <w:rPr>
          <w:b/>
          <w:bCs/>
          <w:color w:val="000080"/>
          <w:spacing w:val="-12"/>
        </w:rPr>
        <w:t>%</w:t>
      </w:r>
    </w:p>
    <w:p>
      <w:pPr>
        <w:spacing w:before="174" w:line="3590" w:lineRule="exact"/>
        <w:ind w:firstLine="280"/>
      </w:pPr>
      <w:r>
        <w:rPr>
          <w:position w:val="-71"/>
        </w:rPr>
        <w:drawing>
          <wp:inline distT="0" distB="0" distL="0" distR="0">
            <wp:extent cx="2863899" cy="2279619"/>
            <wp:effectExtent l="0" t="0" r="0" b="0"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863899" cy="2279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96" w:line="225" w:lineRule="auto"/>
        <w:ind w:left="1700"/>
      </w:pPr>
      <w:r>
        <w:rPr>
          <w:rFonts w:ascii="Times New Roman" w:eastAsia="Times New Roman" w:hAnsi="Times New Roman" w:cs="Times New Roman"/>
          <w:spacing w:val="-12"/>
        </w:rPr>
        <w:t>-SPDR:</w:t>
      </w:r>
      <w:r>
        <w:rPr>
          <w:spacing w:val="-12"/>
        </w:rPr>
        <w:t>黄金</w:t>
      </w:r>
      <w:r>
        <w:rPr>
          <w:rFonts w:ascii="Times New Roman" w:eastAsia="Times New Roman" w:hAnsi="Times New Roman" w:cs="Times New Roman"/>
          <w:spacing w:val="-12"/>
        </w:rPr>
        <w:t>ETF:</w:t>
      </w:r>
      <w:r>
        <w:rPr>
          <w:spacing w:val="-12"/>
        </w:rPr>
        <w:t>持有量(吨)</w:t>
      </w:r>
    </w:p>
    <w:p>
      <w:pPr>
        <w:spacing w:line="259" w:lineRule="auto"/>
        <w:rPr>
          <w:rFonts w:ascii="Arial"/>
          <w:sz w:val="21"/>
        </w:rPr>
      </w:pPr>
    </w:p>
    <w:p>
      <w:pPr>
        <w:pStyle w:val="BodyText"/>
        <w:spacing w:before="65" w:line="192" w:lineRule="auto"/>
        <w:ind w:left="40"/>
      </w:pPr>
      <w:r>
        <w:rPr>
          <w:spacing w:val="-18"/>
          <w:w w:val="98"/>
        </w:rPr>
        <w:t>数据来源：</w:t>
      </w:r>
      <w:r>
        <w:rPr>
          <w:spacing w:val="-35"/>
        </w:rPr>
        <w:t xml:space="preserve"> </w:t>
      </w:r>
      <w:r>
        <w:rPr>
          <w:rFonts w:ascii="Times New Roman" w:eastAsia="Times New Roman" w:hAnsi="Times New Roman" w:cs="Times New Roman"/>
          <w:spacing w:val="-18"/>
          <w:w w:val="98"/>
        </w:rPr>
        <w:t>Wind</w:t>
      </w:r>
      <w:r>
        <w:rPr>
          <w:rFonts w:ascii="SimSun" w:eastAsia="SimSun" w:hAnsi="SimSun" w:cs="SimSun"/>
          <w:spacing w:val="-18"/>
          <w:w w:val="98"/>
        </w:rPr>
        <w:t>、</w:t>
      </w:r>
      <w:r>
        <w:rPr>
          <w:spacing w:val="-18"/>
          <w:w w:val="98"/>
        </w:rPr>
        <w:t>开源证券研究所</w:t>
      </w:r>
    </w:p>
    <w:p>
      <w:pPr>
        <w:spacing w:line="14" w:lineRule="auto"/>
        <w:rPr>
          <w:rFonts w:ascii="Arial"/>
          <w:sz w:val="2"/>
        </w:rPr>
        <w:sectPr>
          <w:footerReference w:type="default" r:id="rId34"/>
          <w:type w:val="continuous"/>
          <w:pgSz w:w="11910" w:h="16840"/>
          <w:pgMar w:top="156" w:right="660" w:bottom="1129" w:left="689" w:header="0" w:footer="858" w:gutter="0"/>
          <w:pgNumType w:start="19"/>
          <w:cols w:num="2" w:space="708" w:equalWidth="0">
            <w:col w:w="5251" w:space="100"/>
            <w:col w:w="5210" w:space="0"/>
          </w:cols>
        </w:sect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40" w:line="220" w:lineRule="auto"/>
        <w:ind w:left="32"/>
      </w:pPr>
      <w:r>
        <w:rPr>
          <w:b/>
          <w:bCs/>
          <w:color w:val="000080"/>
          <w:spacing w:val="24"/>
        </w:rPr>
        <w:t>图2:截至2024年3月5日，上海现货金价497元</w:t>
      </w:r>
      <w:r>
        <w:rPr>
          <w:b/>
          <w:bCs/>
          <w:color w:val="000080"/>
          <w:spacing w:val="23"/>
        </w:rPr>
        <w:t>/克</w:t>
      </w:r>
    </w:p>
    <w:p>
      <w:pPr>
        <w:rPr>
          <w:rFonts w:ascii="Arial"/>
          <w:sz w:val="21"/>
        </w:rPr>
      </w:pPr>
    </w:p>
    <w:p>
      <w:pPr>
        <w:spacing w:line="241" w:lineRule="auto"/>
        <w:rPr>
          <w:rFonts w:ascii="Arial"/>
          <w:sz w:val="21"/>
        </w:rPr>
      </w:pPr>
    </w:p>
    <w:p>
      <w:pPr>
        <w:spacing w:line="3590" w:lineRule="exact"/>
        <w:ind w:firstLine="139"/>
      </w:pPr>
      <w:r>
        <w:rPr>
          <w:position w:val="-71"/>
        </w:rPr>
        <w:drawing>
          <wp:inline distT="0" distB="0" distL="0" distR="0">
            <wp:extent cx="3054332" cy="2279618"/>
            <wp:effectExtent l="0" t="0" r="0" b="0"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054332" cy="2279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86" w:line="212" w:lineRule="auto"/>
        <w:ind w:left="1449"/>
        <w:rPr>
          <w:rFonts w:ascii="Times New Roman" w:eastAsia="Times New Roman" w:hAnsi="Times New Roman" w:cs="Times New Roman"/>
        </w:rPr>
      </w:pPr>
      <w:r>
        <w:rPr>
          <w:spacing w:val="-11"/>
          <w:w w:val="95"/>
        </w:rPr>
        <w:t>——黄金现货：Au9999</w:t>
      </w:r>
      <w:r>
        <w:rPr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11"/>
          <w:w w:val="95"/>
        </w:rPr>
        <w:t>(</w:t>
      </w:r>
      <w:r>
        <w:rPr>
          <w:rFonts w:ascii="SimSun" w:eastAsia="SimSun" w:hAnsi="SimSun" w:cs="SimSun"/>
          <w:spacing w:val="-11"/>
          <w:w w:val="95"/>
        </w:rPr>
        <w:t>元</w:t>
      </w:r>
      <w:r>
        <w:rPr>
          <w:rFonts w:ascii="Times New Roman" w:eastAsia="Times New Roman" w:hAnsi="Times New Roman" w:cs="Times New Roman"/>
          <w:spacing w:val="-11"/>
          <w:w w:val="95"/>
        </w:rPr>
        <w:t>/</w:t>
      </w:r>
      <w:r>
        <w:rPr>
          <w:rFonts w:ascii="SimSun" w:eastAsia="SimSun" w:hAnsi="SimSun" w:cs="SimSun"/>
          <w:spacing w:val="-11"/>
          <w:w w:val="95"/>
        </w:rPr>
        <w:t>克</w:t>
      </w:r>
      <w:r>
        <w:rPr>
          <w:rFonts w:ascii="Times New Roman" w:eastAsia="Times New Roman" w:hAnsi="Times New Roman" w:cs="Times New Roman"/>
          <w:spacing w:val="-11"/>
          <w:w w:val="95"/>
        </w:rPr>
        <w:t>)</w:t>
      </w:r>
    </w:p>
    <w:p>
      <w:pPr>
        <w:spacing w:line="253" w:lineRule="auto"/>
        <w:rPr>
          <w:rFonts w:ascii="Arial"/>
          <w:sz w:val="21"/>
        </w:rPr>
      </w:pPr>
    </w:p>
    <w:p>
      <w:pPr>
        <w:pStyle w:val="BodyText"/>
        <w:spacing w:before="65" w:line="224" w:lineRule="auto"/>
        <w:ind w:left="59"/>
      </w:pPr>
      <w:r>
        <w:rPr>
          <w:spacing w:val="-18"/>
          <w:w w:val="98"/>
        </w:rPr>
        <w:t>数据来源：</w:t>
      </w:r>
      <w:r>
        <w:rPr>
          <w:spacing w:val="-43"/>
        </w:rPr>
        <w:t xml:space="preserve"> </w:t>
      </w:r>
      <w:r>
        <w:rPr>
          <w:rFonts w:ascii="Times New Roman" w:eastAsia="Times New Roman" w:hAnsi="Times New Roman" w:cs="Times New Roman"/>
          <w:spacing w:val="-18"/>
          <w:w w:val="98"/>
        </w:rPr>
        <w:t>Wind</w:t>
      </w:r>
      <w:r>
        <w:rPr>
          <w:rFonts w:ascii="SimSun" w:eastAsia="SimSun" w:hAnsi="SimSun" w:cs="SimSun"/>
          <w:spacing w:val="-18"/>
          <w:w w:val="98"/>
        </w:rPr>
        <w:t>、</w:t>
      </w:r>
      <w:r>
        <w:rPr>
          <w:spacing w:val="-18"/>
          <w:w w:val="98"/>
        </w:rPr>
        <w:t>开源证券研究所</w:t>
      </w:r>
    </w:p>
    <w:p>
      <w:pPr>
        <w:spacing w:line="325" w:lineRule="auto"/>
        <w:rPr>
          <w:rFonts w:ascii="Arial"/>
          <w:sz w:val="21"/>
        </w:rPr>
      </w:pPr>
    </w:p>
    <w:p>
      <w:pPr>
        <w:spacing w:line="325" w:lineRule="auto"/>
        <w:rPr>
          <w:rFonts w:ascii="Arial"/>
          <w:sz w:val="21"/>
        </w:rPr>
      </w:pPr>
    </w:p>
    <w:p>
      <w:pPr>
        <w:pStyle w:val="BodyText"/>
        <w:spacing w:before="66" w:line="253" w:lineRule="auto"/>
        <w:ind w:left="62" w:right="78"/>
      </w:pPr>
      <w:r>
        <w:drawing>
          <wp:anchor distT="0" distB="0" distL="0" distR="0" simplePos="0" relativeHeight="251674624" behindDoc="0" locked="0" layoutInCell="1" allowOverlap="1">
            <wp:simplePos x="0" y="0"/>
            <wp:positionH relativeFrom="column">
              <wp:posOffset>37316</wp:posOffset>
            </wp:positionH>
            <wp:positionV relativeFrom="paragraph">
              <wp:posOffset>358972</wp:posOffset>
            </wp:positionV>
            <wp:extent cx="3220229" cy="6350"/>
            <wp:effectExtent l="0" t="0" r="0" b="0"/>
            <wp:wrapNone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220229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000080"/>
          <w:spacing w:val="18"/>
        </w:rPr>
        <w:t>图4:截至2024年3月4日当周，</w:t>
      </w:r>
      <w:r>
        <w:rPr>
          <w:color w:val="000080"/>
          <w:spacing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80"/>
        </w:rPr>
        <w:t>Comex</w:t>
      </w:r>
      <w:r>
        <w:rPr>
          <w:rFonts w:ascii="Times New Roman" w:eastAsia="Times New Roman" w:hAnsi="Times New Roman" w:cs="Times New Roman"/>
          <w:b/>
          <w:bCs/>
          <w:color w:val="000080"/>
          <w:spacing w:val="41"/>
          <w:w w:val="101"/>
        </w:rPr>
        <w:t xml:space="preserve"> </w:t>
      </w:r>
      <w:r>
        <w:rPr>
          <w:b/>
          <w:bCs/>
          <w:color w:val="000080"/>
          <w:spacing w:val="18"/>
        </w:rPr>
        <w:t>黄金</w:t>
      </w:r>
      <w:r>
        <w:rPr>
          <w:b/>
          <w:bCs/>
          <w:color w:val="000080"/>
          <w:spacing w:val="17"/>
        </w:rPr>
        <w:t>非商业持</w:t>
      </w:r>
      <w:r>
        <w:rPr>
          <w:color w:val="000080"/>
        </w:rPr>
        <w:t xml:space="preserve"> </w:t>
      </w:r>
      <w:r>
        <w:rPr>
          <w:b/>
          <w:bCs/>
          <w:color w:val="000080"/>
          <w:spacing w:val="-15"/>
        </w:rPr>
        <w:t>仓</w:t>
      </w:r>
      <w:r>
        <w:rPr>
          <w:color w:val="000080"/>
          <w:spacing w:val="-19"/>
        </w:rPr>
        <w:t xml:space="preserve"> </w:t>
      </w:r>
      <w:r>
        <w:rPr>
          <w:b/>
          <w:bCs/>
          <w:color w:val="000080"/>
          <w:spacing w:val="-15"/>
        </w:rPr>
        <w:t>净</w:t>
      </w:r>
      <w:r>
        <w:rPr>
          <w:color w:val="000080"/>
          <w:spacing w:val="-22"/>
        </w:rPr>
        <w:t xml:space="preserve"> </w:t>
      </w:r>
      <w:r>
        <w:rPr>
          <w:b/>
          <w:bCs/>
          <w:color w:val="000080"/>
          <w:spacing w:val="-15"/>
        </w:rPr>
        <w:t>多</w:t>
      </w:r>
      <w:r>
        <w:rPr>
          <w:color w:val="000080"/>
          <w:spacing w:val="-15"/>
        </w:rPr>
        <w:t xml:space="preserve"> </w:t>
      </w:r>
      <w:r>
        <w:rPr>
          <w:b/>
          <w:bCs/>
          <w:color w:val="000080"/>
          <w:spacing w:val="-15"/>
        </w:rPr>
        <w:t>头</w:t>
      </w:r>
      <w:r>
        <w:rPr>
          <w:color w:val="000080"/>
          <w:spacing w:val="-28"/>
        </w:rPr>
        <w:t xml:space="preserve"> </w:t>
      </w:r>
      <w:r>
        <w:rPr>
          <w:b/>
          <w:bCs/>
          <w:color w:val="000080"/>
          <w:spacing w:val="-15"/>
        </w:rPr>
        <w:t>达</w:t>
      </w:r>
      <w:r>
        <w:rPr>
          <w:color w:val="000080"/>
          <w:spacing w:val="-20"/>
        </w:rPr>
        <w:t xml:space="preserve"> </w:t>
      </w:r>
      <w:r>
        <w:rPr>
          <w:b/>
          <w:bCs/>
          <w:color w:val="000080"/>
          <w:spacing w:val="-15"/>
        </w:rPr>
        <w:t>1</w:t>
      </w:r>
      <w:r>
        <w:rPr>
          <w:color w:val="000080"/>
          <w:spacing w:val="-37"/>
        </w:rPr>
        <w:t xml:space="preserve"> </w:t>
      </w:r>
      <w:r>
        <w:rPr>
          <w:b/>
          <w:bCs/>
          <w:color w:val="000080"/>
          <w:spacing w:val="-15"/>
        </w:rPr>
        <w:t>4</w:t>
      </w:r>
      <w:r>
        <w:rPr>
          <w:color w:val="000080"/>
          <w:spacing w:val="-24"/>
        </w:rPr>
        <w:t xml:space="preserve"> </w:t>
      </w:r>
      <w:r>
        <w:rPr>
          <w:b/>
          <w:bCs/>
          <w:color w:val="000080"/>
          <w:spacing w:val="-15"/>
        </w:rPr>
        <w:t>.</w:t>
      </w:r>
      <w:r>
        <w:rPr>
          <w:color w:val="000080"/>
          <w:spacing w:val="-33"/>
        </w:rPr>
        <w:t xml:space="preserve"> </w:t>
      </w:r>
      <w:r>
        <w:rPr>
          <w:b/>
          <w:bCs/>
          <w:color w:val="000080"/>
          <w:spacing w:val="-15"/>
        </w:rPr>
        <w:t>2</w:t>
      </w:r>
      <w:r>
        <w:rPr>
          <w:color w:val="000080"/>
          <w:spacing w:val="-24"/>
        </w:rPr>
        <w:t xml:space="preserve"> </w:t>
      </w:r>
      <w:r>
        <w:rPr>
          <w:b/>
          <w:bCs/>
          <w:color w:val="000080"/>
          <w:spacing w:val="-15"/>
        </w:rPr>
        <w:t>万</w:t>
      </w:r>
      <w:r>
        <w:rPr>
          <w:color w:val="000080"/>
          <w:spacing w:val="-18"/>
        </w:rPr>
        <w:t xml:space="preserve"> </w:t>
      </w:r>
      <w:r>
        <w:rPr>
          <w:b/>
          <w:bCs/>
          <w:color w:val="000080"/>
          <w:spacing w:val="-15"/>
        </w:rPr>
        <w:t>张</w:t>
      </w:r>
      <w:r>
        <w:rPr>
          <w:color w:val="000080"/>
          <w:spacing w:val="-17"/>
        </w:rPr>
        <w:t xml:space="preserve"> </w:t>
      </w:r>
      <w:r>
        <w:rPr>
          <w:b/>
          <w:bCs/>
          <w:color w:val="000080"/>
          <w:spacing w:val="-15"/>
        </w:rPr>
        <w:t>，</w:t>
      </w:r>
      <w:r>
        <w:rPr>
          <w:color w:val="000080"/>
          <w:spacing w:val="-22"/>
        </w:rPr>
        <w:t xml:space="preserve"> </w:t>
      </w:r>
      <w:r>
        <w:rPr>
          <w:b/>
          <w:bCs/>
          <w:color w:val="000080"/>
          <w:spacing w:val="-15"/>
        </w:rPr>
        <w:t>月</w:t>
      </w:r>
      <w:r>
        <w:rPr>
          <w:color w:val="000080"/>
          <w:spacing w:val="-30"/>
        </w:rPr>
        <w:t xml:space="preserve"> </w:t>
      </w:r>
      <w:r>
        <w:rPr>
          <w:b/>
          <w:bCs/>
          <w:color w:val="000080"/>
          <w:spacing w:val="-15"/>
        </w:rPr>
        <w:t>环</w:t>
      </w:r>
      <w:r>
        <w:rPr>
          <w:color w:val="000080"/>
          <w:spacing w:val="-13"/>
        </w:rPr>
        <w:t xml:space="preserve"> </w:t>
      </w:r>
      <w:r>
        <w:rPr>
          <w:b/>
          <w:bCs/>
          <w:color w:val="000080"/>
          <w:spacing w:val="-15"/>
        </w:rPr>
        <w:t>比</w:t>
      </w:r>
      <w:r>
        <w:rPr>
          <w:color w:val="000080"/>
          <w:spacing w:val="-34"/>
        </w:rPr>
        <w:t xml:space="preserve"> </w:t>
      </w:r>
      <w:r>
        <w:rPr>
          <w:b/>
          <w:bCs/>
          <w:color w:val="000080"/>
          <w:spacing w:val="-15"/>
        </w:rPr>
        <w:t>-</w:t>
      </w:r>
      <w:r>
        <w:rPr>
          <w:color w:val="000080"/>
          <w:spacing w:val="-37"/>
        </w:rPr>
        <w:t xml:space="preserve"> </w:t>
      </w:r>
      <w:r>
        <w:rPr>
          <w:b/>
          <w:bCs/>
          <w:color w:val="000080"/>
          <w:spacing w:val="-15"/>
        </w:rPr>
        <w:t>4</w:t>
      </w:r>
      <w:r>
        <w:rPr>
          <w:color w:val="000080"/>
          <w:spacing w:val="-34"/>
        </w:rPr>
        <w:t xml:space="preserve"> </w:t>
      </w:r>
      <w:r>
        <w:rPr>
          <w:b/>
          <w:bCs/>
          <w:color w:val="000080"/>
          <w:spacing w:val="-15"/>
        </w:rPr>
        <w:t>%</w:t>
      </w:r>
    </w:p>
    <w:p>
      <w:pPr>
        <w:spacing w:before="204" w:line="3440" w:lineRule="exact"/>
        <w:ind w:firstLine="139"/>
      </w:pPr>
      <w:r>
        <w:rPr>
          <w:position w:val="-68"/>
        </w:rPr>
        <w:drawing>
          <wp:inline distT="0" distB="0" distL="0" distR="0">
            <wp:extent cx="3047979" cy="2184340"/>
            <wp:effectExtent l="0" t="0" r="0" b="0"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047979" cy="218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36" w:line="224" w:lineRule="auto"/>
        <w:ind w:left="989"/>
      </w:pPr>
      <w:r>
        <w:rPr>
          <w:rFonts w:ascii="SimSun" w:eastAsia="SimSun" w:hAnsi="SimSun" w:cs="SimSun"/>
          <w:spacing w:val="-13"/>
        </w:rPr>
        <w:t>——COMEX:黄金</w:t>
      </w:r>
      <w:r>
        <w:rPr>
          <w:spacing w:val="-13"/>
        </w:rPr>
        <w:t>：非商业持仓净多头(张)</w:t>
      </w:r>
    </w:p>
    <w:p>
      <w:pPr>
        <w:spacing w:line="250" w:lineRule="auto"/>
        <w:rPr>
          <w:rFonts w:ascii="Arial"/>
          <w:sz w:val="21"/>
        </w:rPr>
      </w:pPr>
    </w:p>
    <w:p>
      <w:pPr>
        <w:pStyle w:val="BodyText"/>
        <w:spacing w:before="65" w:line="192" w:lineRule="auto"/>
        <w:ind w:left="59"/>
      </w:pPr>
      <w:r>
        <w:rPr>
          <w:spacing w:val="-18"/>
          <w:w w:val="98"/>
        </w:rPr>
        <w:t>数据来源：</w:t>
      </w:r>
      <w:r>
        <w:rPr>
          <w:spacing w:val="-43"/>
        </w:rPr>
        <w:t xml:space="preserve"> </w:t>
      </w:r>
      <w:r>
        <w:rPr>
          <w:rFonts w:ascii="Times New Roman" w:eastAsia="Times New Roman" w:hAnsi="Times New Roman" w:cs="Times New Roman"/>
          <w:spacing w:val="-18"/>
          <w:w w:val="98"/>
        </w:rPr>
        <w:t>Wind</w:t>
      </w:r>
      <w:r>
        <w:rPr>
          <w:rFonts w:ascii="SimSun" w:eastAsia="SimSun" w:hAnsi="SimSun" w:cs="SimSun"/>
          <w:spacing w:val="-18"/>
          <w:w w:val="98"/>
        </w:rPr>
        <w:t>、</w:t>
      </w:r>
      <w:r>
        <w:rPr>
          <w:spacing w:val="-18"/>
          <w:w w:val="98"/>
        </w:rPr>
        <w:t>开源证券研究所</w:t>
      </w:r>
    </w:p>
    <w:p>
      <w:pPr>
        <w:spacing w:line="192" w:lineRule="auto"/>
        <w:sectPr>
          <w:footerReference w:type="default" r:id="rId38"/>
          <w:type w:val="nextPage"/>
          <w:pgSz w:w="11910" w:h="16840"/>
          <w:pgMar w:top="156" w:right="660" w:bottom="1129" w:left="689" w:header="0" w:footer="858" w:gutter="0"/>
          <w:pgNumType w:start="20"/>
          <w:cols w:num="2" w:space="708" w:equalWidth="0">
            <w:col w:w="5251" w:space="100"/>
            <w:col w:w="5210" w:space="0"/>
          </w:cols>
          <w:titlePg w:val="0"/>
        </w:sectPr>
      </w:pPr>
    </w:p>
    <w:p>
      <w:pPr>
        <w:spacing w:before="156"/>
        <w:ind w:left="150"/>
        <w:rPr>
          <w:rFonts w:ascii="SimSun" w:eastAsia="SimSun" w:hAnsi="SimSun" w:cs="SimSun"/>
          <w:sz w:val="58"/>
          <w:szCs w:val="58"/>
        </w:rPr>
      </w:pPr>
      <w:bookmarkStart w:id="17" w:name="bookmark24"/>
      <w:bookmarkEnd w:id="17"/>
      <w:bookmarkStart w:id="18" w:name="bookmark25"/>
      <w:bookmarkEnd w:id="18"/>
      <w:bookmarkStart w:id="19" w:name="bookmark26"/>
      <w:bookmarkEnd w:id="19"/>
      <w:bookmarkStart w:id="20" w:name="bookmark27"/>
      <w:bookmarkEnd w:id="20"/>
      <w:r>
        <w:rPr>
          <w:rFonts w:ascii="SimSun" w:eastAsia="SimSun" w:hAnsi="SimSun" w:cs="SimSun"/>
          <w:position w:val="-16"/>
          <w:sz w:val="58"/>
          <w:szCs w:val="58"/>
        </w:rPr>
        <w:drawing>
          <wp:inline distT="0" distB="0" distL="0" distR="0">
            <wp:extent cx="584155" cy="495318"/>
            <wp:effectExtent l="0" t="0" r="0" b="0"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84155" cy="495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pacing w:val="66"/>
          <w:sz w:val="58"/>
          <w:szCs w:val="58"/>
        </w:rPr>
        <w:t>开源证券</w:t>
      </w:r>
    </w:p>
    <w:p>
      <w:pPr>
        <w:spacing w:line="339" w:lineRule="auto"/>
        <w:rPr>
          <w:rFonts w:ascii="Arial"/>
          <w:sz w:val="21"/>
        </w:rPr>
      </w:pPr>
    </w:p>
    <w:p>
      <w:pPr>
        <w:pStyle w:val="BodyText"/>
        <w:spacing w:before="69" w:line="227" w:lineRule="auto"/>
        <w:ind w:left="30"/>
        <w:rPr>
          <w:sz w:val="21"/>
          <w:szCs w:val="21"/>
        </w:rPr>
      </w:pPr>
      <w:r>
        <w:rPr>
          <w:color w:val="000080"/>
          <w:spacing w:val="6"/>
          <w:sz w:val="21"/>
          <w:szCs w:val="21"/>
        </w:rPr>
        <w:t>图5:美国通胀下行趋势不改</w:t>
      </w:r>
    </w:p>
    <w:p>
      <w:pPr>
        <w:spacing w:before="153" w:line="3340" w:lineRule="exact"/>
        <w:ind w:firstLine="229"/>
      </w:pPr>
      <w:r>
        <w:rPr>
          <w:position w:val="-66"/>
        </w:rPr>
        <w:drawing>
          <wp:inline distT="0" distB="0" distL="0" distR="0">
            <wp:extent cx="2920999" cy="2120928"/>
            <wp:effectExtent l="0" t="0" r="0" b="0"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920999" cy="2120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52" w:line="223" w:lineRule="auto"/>
        <w:ind w:left="1820"/>
        <w:rPr>
          <w:sz w:val="16"/>
          <w:szCs w:val="16"/>
        </w:rPr>
      </w:pPr>
      <w:r>
        <w:rPr>
          <w:spacing w:val="18"/>
          <w:sz w:val="16"/>
          <w:szCs w:val="16"/>
        </w:rPr>
        <w:t>美国：</w:t>
      </w:r>
      <w:r>
        <w:rPr>
          <w:sz w:val="16"/>
          <w:szCs w:val="16"/>
        </w:rPr>
        <w:t>CPT</w:t>
      </w:r>
      <w:r>
        <w:rPr>
          <w:spacing w:val="18"/>
          <w:sz w:val="16"/>
          <w:szCs w:val="16"/>
        </w:rPr>
        <w:t>:同比(%)</w:t>
      </w:r>
    </w:p>
    <w:p>
      <w:pPr>
        <w:pStyle w:val="BodyText"/>
        <w:spacing w:before="67" w:line="223" w:lineRule="auto"/>
        <w:ind w:left="1720"/>
        <w:rPr>
          <w:sz w:val="21"/>
          <w:szCs w:val="21"/>
        </w:rPr>
      </w:pPr>
      <w:r>
        <w:rPr>
          <w:spacing w:val="-15"/>
          <w:sz w:val="21"/>
          <w:szCs w:val="21"/>
        </w:rPr>
        <w:t>美国：核心CP1:同比(%)</w:t>
      </w:r>
    </w:p>
    <w:p>
      <w:pPr>
        <w:pStyle w:val="BodyText"/>
        <w:spacing w:before="288" w:line="192" w:lineRule="auto"/>
        <w:rPr>
          <w:sz w:val="21"/>
          <w:szCs w:val="21"/>
        </w:rPr>
      </w:pPr>
      <w:r>
        <w:rPr>
          <w:spacing w:val="-24"/>
          <w:sz w:val="21"/>
          <w:szCs w:val="21"/>
        </w:rPr>
        <w:t>数据来源：Wind、开源证养研究所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296" w:lineRule="auto"/>
        <w:rPr>
          <w:rFonts w:ascii="Arial"/>
          <w:sz w:val="21"/>
        </w:rPr>
      </w:pPr>
    </w:p>
    <w:p>
      <w:pPr>
        <w:spacing w:line="296" w:lineRule="auto"/>
        <w:rPr>
          <w:rFonts w:ascii="Arial"/>
          <w:sz w:val="21"/>
        </w:rPr>
      </w:pPr>
    </w:p>
    <w:p>
      <w:pPr>
        <w:spacing w:line="296" w:lineRule="auto"/>
        <w:rPr>
          <w:rFonts w:ascii="Arial"/>
          <w:sz w:val="21"/>
        </w:rPr>
      </w:pPr>
    </w:p>
    <w:p>
      <w:pPr>
        <w:pStyle w:val="BodyText"/>
        <w:spacing w:before="68" w:line="227" w:lineRule="auto"/>
        <w:ind w:left="4179"/>
        <w:rPr>
          <w:sz w:val="21"/>
          <w:szCs w:val="21"/>
        </w:rPr>
      </w:pPr>
      <w:r>
        <w:rPr>
          <w:spacing w:val="-7"/>
          <w:sz w:val="21"/>
          <w:szCs w:val="21"/>
        </w:rPr>
        <w:t>行业周报</w:t>
      </w:r>
    </w:p>
    <w:p>
      <w:pPr>
        <w:spacing w:before="133" w:line="219" w:lineRule="auto"/>
        <w:ind w:left="1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color w:val="000080"/>
          <w:spacing w:val="5"/>
          <w:sz w:val="21"/>
          <w:szCs w:val="21"/>
        </w:rPr>
        <w:t>图6:能源与住宅使得通胀粘性较强</w:t>
      </w:r>
    </w:p>
    <w:p>
      <w:pPr>
        <w:spacing w:before="162" w:line="3580" w:lineRule="exact"/>
        <w:ind w:firstLine="119"/>
      </w:pPr>
      <w:r>
        <w:rPr>
          <w:position w:val="-71"/>
        </w:rPr>
        <w:drawing>
          <wp:inline distT="0" distB="0" distL="0" distR="0">
            <wp:extent cx="3098801" cy="2273309"/>
            <wp:effectExtent l="0" t="0" r="0" b="0"/>
            <wp:docPr id="70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 70"/>
                    <pic:cNvPicPr/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098801" cy="2273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62" w:lineRule="exact"/>
      </w:pPr>
    </w:p>
    <w:tbl>
      <w:tblPr>
        <w:tblStyle w:val="TableNormal3"/>
        <w:tblW w:w="50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2967"/>
        <w:gridCol w:w="2033"/>
      </w:tblGrid>
      <w:tr>
        <w:tblPrEx>
          <w:tblW w:w="5000" w:type="dxa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870"/>
        </w:trPr>
        <w:tc>
          <w:tcPr>
            <w:tcW w:w="2967" w:type="dxa"/>
            <w:vAlign w:val="top"/>
          </w:tcPr>
          <w:p>
            <w:pPr>
              <w:spacing w:line="280" w:lineRule="exact"/>
              <w:ind w:left="689"/>
              <w:rPr>
                <w:rFonts w:ascii="KaiTi" w:eastAsia="KaiTi" w:hAnsi="KaiTi" w:cs="KaiTi"/>
                <w:sz w:val="13"/>
                <w:szCs w:val="13"/>
              </w:rPr>
            </w:pPr>
            <w:r>
              <w:rPr>
                <w:rFonts w:ascii="KaiTi" w:eastAsia="KaiTi" w:hAnsi="KaiTi" w:cs="KaiTi"/>
                <w:spacing w:val="5"/>
                <w:position w:val="11"/>
                <w:sz w:val="13"/>
                <w:szCs w:val="13"/>
              </w:rPr>
              <w:t>美国：</w:t>
            </w:r>
            <w:r>
              <w:rPr>
                <w:rFonts w:ascii="KaiTi" w:eastAsia="KaiTi" w:hAnsi="KaiTi" w:cs="KaiTi"/>
                <w:position w:val="11"/>
                <w:sz w:val="13"/>
                <w:szCs w:val="13"/>
              </w:rPr>
              <w:t>CP</w:t>
            </w:r>
            <w:r>
              <w:rPr>
                <w:rFonts w:ascii="KaiTi" w:eastAsia="KaiTi" w:hAnsi="KaiTi" w:cs="KaiTi"/>
                <w:spacing w:val="5"/>
                <w:position w:val="11"/>
                <w:sz w:val="13"/>
                <w:szCs w:val="13"/>
              </w:rPr>
              <w:t>:住宅：同比(%)</w:t>
            </w:r>
          </w:p>
          <w:p>
            <w:pPr>
              <w:spacing w:line="222" w:lineRule="auto"/>
              <w:ind w:left="689"/>
              <w:rPr>
                <w:rFonts w:ascii="KaiTi" w:eastAsia="KaiTi" w:hAnsi="KaiTi" w:cs="KaiTi"/>
                <w:sz w:val="13"/>
                <w:szCs w:val="13"/>
              </w:rPr>
            </w:pPr>
            <w:r>
              <w:rPr>
                <w:rFonts w:ascii="KaiTi" w:eastAsia="KaiTi" w:hAnsi="KaiTi" w:cs="KaiTi"/>
                <w:spacing w:val="5"/>
                <w:sz w:val="13"/>
                <w:szCs w:val="13"/>
              </w:rPr>
              <w:t>美国：</w:t>
            </w:r>
            <w:r>
              <w:rPr>
                <w:rFonts w:ascii="KaiTi" w:eastAsia="KaiTi" w:hAnsi="KaiTi" w:cs="KaiTi"/>
                <w:sz w:val="13"/>
                <w:szCs w:val="13"/>
              </w:rPr>
              <w:t>CP</w:t>
            </w:r>
            <w:r>
              <w:rPr>
                <w:rFonts w:ascii="KaiTi" w:eastAsia="KaiTi" w:hAnsi="KaiTi" w:cs="KaiTi"/>
                <w:spacing w:val="5"/>
                <w:sz w:val="13"/>
                <w:szCs w:val="13"/>
              </w:rPr>
              <w:t>:食品：同比(%)</w:t>
            </w:r>
          </w:p>
          <w:p>
            <w:pPr>
              <w:spacing w:before="215" w:line="182" w:lineRule="auto"/>
              <w:rPr>
                <w:rFonts w:ascii="KaiTi" w:eastAsia="KaiTi" w:hAnsi="KaiTi" w:cs="KaiTi"/>
                <w:sz w:val="21"/>
                <w:szCs w:val="21"/>
              </w:rPr>
            </w:pPr>
            <w:r>
              <w:rPr>
                <w:rFonts w:ascii="KaiTi" w:eastAsia="KaiTi" w:hAnsi="KaiTi" w:cs="KaiTi"/>
                <w:spacing w:val="-24"/>
                <w:sz w:val="21"/>
                <w:szCs w:val="21"/>
              </w:rPr>
              <w:t>数据来源：Wind、开源证养研究所</w:t>
            </w:r>
          </w:p>
        </w:tc>
        <w:tc>
          <w:tcPr>
            <w:tcW w:w="2033" w:type="dxa"/>
            <w:vAlign w:val="top"/>
          </w:tcPr>
          <w:p>
            <w:pPr>
              <w:spacing w:line="222" w:lineRule="auto"/>
              <w:ind w:left="262"/>
              <w:rPr>
                <w:rFonts w:ascii="KaiTi" w:eastAsia="KaiTi" w:hAnsi="KaiTi" w:cs="KaiTi"/>
                <w:sz w:val="13"/>
                <w:szCs w:val="13"/>
              </w:rPr>
            </w:pPr>
            <w:r>
              <w:rPr>
                <w:rFonts w:ascii="KaiTi" w:eastAsia="KaiTi" w:hAnsi="KaiTi" w:cs="KaiTi"/>
                <w:spacing w:val="7"/>
                <w:sz w:val="13"/>
                <w:szCs w:val="13"/>
              </w:rPr>
              <w:t>美国：</w:t>
            </w:r>
            <w:r>
              <w:rPr>
                <w:rFonts w:ascii="KaiTi" w:eastAsia="KaiTi" w:hAnsi="KaiTi" w:cs="KaiTi"/>
                <w:sz w:val="13"/>
                <w:szCs w:val="13"/>
              </w:rPr>
              <w:t>CPT</w:t>
            </w:r>
            <w:r>
              <w:rPr>
                <w:rFonts w:ascii="KaiTi" w:eastAsia="KaiTi" w:hAnsi="KaiTi" w:cs="KaiTi"/>
                <w:spacing w:val="7"/>
                <w:sz w:val="13"/>
                <w:szCs w:val="13"/>
              </w:rPr>
              <w:t>能源：同比(%)</w:t>
            </w:r>
          </w:p>
          <w:p>
            <w:pPr>
              <w:spacing w:before="123" w:line="223" w:lineRule="auto"/>
              <w:jc w:val="right"/>
              <w:rPr>
                <w:rFonts w:ascii="KaiTi" w:eastAsia="KaiTi" w:hAnsi="KaiTi" w:cs="KaiTi"/>
                <w:sz w:val="13"/>
                <w:szCs w:val="13"/>
              </w:rPr>
            </w:pPr>
            <w:r>
              <w:rPr>
                <w:rFonts w:ascii="KaiTi" w:eastAsia="KaiTi" w:hAnsi="KaiTi" w:cs="KaiTi"/>
                <w:spacing w:val="1"/>
                <w:sz w:val="13"/>
                <w:szCs w:val="13"/>
              </w:rPr>
              <w:t>美国：</w:t>
            </w:r>
            <w:r>
              <w:rPr>
                <w:rFonts w:ascii="KaiTi" w:eastAsia="KaiTi" w:hAnsi="KaiTi" w:cs="KaiTi"/>
                <w:sz w:val="13"/>
                <w:szCs w:val="13"/>
              </w:rPr>
              <w:t>CPT</w:t>
            </w:r>
            <w:r>
              <w:rPr>
                <w:rFonts w:ascii="KaiTi" w:eastAsia="KaiTi" w:hAnsi="KaiTi" w:cs="KaiTi"/>
                <w:spacing w:val="1"/>
                <w:sz w:val="13"/>
                <w:szCs w:val="13"/>
              </w:rPr>
              <w:t>:交通运输：同比(%)</w:t>
            </w: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 w:eastAsia="Arial" w:hAnsi="Arial" w:cs="Arial"/>
          <w:sz w:val="2"/>
          <w:szCs w:val="2"/>
        </w:rPr>
        <w:sectPr>
          <w:footerReference w:type="default" r:id="rId42"/>
          <w:pgSz w:w="11910" w:h="16840"/>
          <w:pgMar w:top="163" w:right="640" w:bottom="1120" w:left="729" w:header="0" w:footer="801" w:gutter="0"/>
          <w:pgNumType w:start="21"/>
          <w:cols w:num="2" w:space="708" w:equalWidth="0">
            <w:col w:w="5261" w:space="100"/>
            <w:col w:w="5180" w:space="0"/>
          </w:cols>
        </w:sectPr>
      </w:pPr>
    </w:p>
    <w:p>
      <w:pPr>
        <w:spacing w:before="98"/>
      </w:pPr>
    </w:p>
    <w:p>
      <w:pPr>
        <w:spacing w:before="97"/>
      </w:pPr>
    </w:p>
    <w:p>
      <w:pPr>
        <w:sectPr>
          <w:footerReference w:type="default" r:id="rId43"/>
          <w:type w:val="continuous"/>
          <w:pgSz w:w="11910" w:h="16840"/>
          <w:pgMar w:top="163" w:right="640" w:bottom="1120" w:left="729" w:header="0" w:footer="801" w:gutter="0"/>
          <w:pgNumType w:start="22"/>
          <w:cols w:num="1" w:space="708" w:equalWidth="0">
            <w:col w:w="10540" w:space="0"/>
          </w:cols>
        </w:sectPr>
      </w:pPr>
    </w:p>
    <w:p>
      <w:pPr>
        <w:pStyle w:val="BodyText"/>
        <w:spacing w:before="43" w:line="225" w:lineRule="auto"/>
        <w:ind w:left="30"/>
        <w:rPr>
          <w:sz w:val="21"/>
          <w:szCs w:val="21"/>
        </w:rPr>
      </w:pPr>
      <w:r>
        <w:rPr>
          <w:color w:val="000080"/>
          <w:spacing w:val="6"/>
          <w:sz w:val="21"/>
          <w:szCs w:val="21"/>
        </w:rPr>
        <w:t>图7:美国消费者信心指数有所下降</w:t>
      </w:r>
    </w:p>
    <w:p>
      <w:pPr>
        <w:spacing w:line="465" w:lineRule="auto"/>
        <w:rPr>
          <w:rFonts w:ascii="Arial"/>
          <w:sz w:val="21"/>
        </w:rPr>
      </w:pPr>
    </w:p>
    <w:p>
      <w:pPr>
        <w:spacing w:line="3650" w:lineRule="exact"/>
        <w:ind w:firstLine="40"/>
      </w:pPr>
      <w:r>
        <w:rPr>
          <w:position w:val="-72"/>
        </w:rPr>
        <w:drawing>
          <wp:inline distT="0" distB="0" distL="0" distR="0">
            <wp:extent cx="3079743" cy="2317687"/>
            <wp:effectExtent l="0" t="0" r="0" b="0"/>
            <wp:docPr id="72" name="IM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 72"/>
                    <pic:cNvPicPr/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079743" cy="2317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94" w:line="531" w:lineRule="exact"/>
        <w:ind w:left="1319"/>
        <w:rPr>
          <w:sz w:val="16"/>
          <w:szCs w:val="16"/>
        </w:rPr>
      </w:pPr>
      <w:r>
        <w:rPr>
          <w:spacing w:val="12"/>
          <w:position w:val="28"/>
          <w:sz w:val="16"/>
          <w:szCs w:val="16"/>
        </w:rPr>
        <w:t>一美国：密歌根大学消费者信心指数</w:t>
      </w:r>
    </w:p>
    <w:p>
      <w:pPr>
        <w:pStyle w:val="BodyText"/>
        <w:spacing w:line="192" w:lineRule="auto"/>
        <w:rPr>
          <w:sz w:val="21"/>
          <w:szCs w:val="21"/>
        </w:rPr>
      </w:pPr>
      <w:r>
        <w:rPr>
          <w:spacing w:val="-24"/>
          <w:sz w:val="21"/>
          <w:szCs w:val="21"/>
        </w:rPr>
        <w:t>数据来源：Wind、开源证养研究所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43" w:line="244" w:lineRule="auto"/>
        <w:ind w:right="55" w:firstLine="29"/>
        <w:rPr>
          <w:sz w:val="21"/>
          <w:szCs w:val="21"/>
        </w:rPr>
      </w:pPr>
      <w:r>
        <w:rPr>
          <w:color w:val="000080"/>
          <w:spacing w:val="16"/>
          <w:sz w:val="21"/>
          <w:szCs w:val="21"/>
        </w:rPr>
        <w:t>图8:美国</w:t>
      </w:r>
      <w:r>
        <w:rPr>
          <w:color w:val="000080"/>
          <w:sz w:val="21"/>
          <w:szCs w:val="21"/>
        </w:rPr>
        <w:t>PM</w:t>
      </w:r>
      <w:r>
        <w:rPr>
          <w:color w:val="000080"/>
          <w:spacing w:val="-29"/>
          <w:sz w:val="21"/>
          <w:szCs w:val="21"/>
        </w:rPr>
        <w:t xml:space="preserve"> </w:t>
      </w:r>
      <w:r>
        <w:rPr>
          <w:color w:val="000080"/>
          <w:sz w:val="21"/>
          <w:szCs w:val="21"/>
        </w:rPr>
        <w:t>I</w:t>
      </w:r>
      <w:r>
        <w:rPr>
          <w:color w:val="000080"/>
          <w:spacing w:val="16"/>
          <w:sz w:val="21"/>
          <w:szCs w:val="21"/>
        </w:rPr>
        <w:t>制造业指数止涨回落(2月非制造业</w:t>
      </w:r>
      <w:r>
        <w:rPr>
          <w:color w:val="000080"/>
          <w:sz w:val="21"/>
          <w:szCs w:val="21"/>
        </w:rPr>
        <w:t>PM</w:t>
      </w:r>
      <w:r>
        <w:rPr>
          <w:color w:val="000080"/>
          <w:spacing w:val="-44"/>
          <w:sz w:val="21"/>
          <w:szCs w:val="21"/>
        </w:rPr>
        <w:t xml:space="preserve"> </w:t>
      </w:r>
      <w:r>
        <w:rPr>
          <w:color w:val="000080"/>
          <w:sz w:val="21"/>
          <w:szCs w:val="21"/>
        </w:rPr>
        <w:t>I</w:t>
      </w:r>
      <w:r>
        <w:rPr>
          <w:color w:val="000080"/>
          <w:sz w:val="21"/>
          <w:szCs w:val="21"/>
        </w:rPr>
        <w:t xml:space="preserve"> </w:t>
      </w:r>
      <w:r>
        <w:rPr>
          <w:color w:val="000080"/>
          <w:spacing w:val="6"/>
          <w:sz w:val="21"/>
          <w:szCs w:val="21"/>
        </w:rPr>
        <w:t>指数暂未发布)</w:t>
      </w:r>
    </w:p>
    <w:p>
      <w:pPr>
        <w:spacing w:before="97" w:line="3090" w:lineRule="exact"/>
        <w:ind w:firstLine="129"/>
      </w:pPr>
      <w:r>
        <w:rPr>
          <w:position w:val="-61"/>
        </w:rPr>
        <w:drawing>
          <wp:inline distT="0" distB="0" distL="0" distR="0">
            <wp:extent cx="3009938" cy="1962131"/>
            <wp:effectExtent l="0" t="0" r="0" b="0"/>
            <wp:docPr id="74" name="IM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 74"/>
                    <pic:cNvPicPr/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009938" cy="1962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94" w:line="223" w:lineRule="auto"/>
        <w:ind w:left="1179"/>
        <w:rPr>
          <w:sz w:val="21"/>
          <w:szCs w:val="21"/>
        </w:rPr>
      </w:pPr>
      <w:r>
        <w:rPr>
          <w:spacing w:val="-25"/>
          <w:sz w:val="21"/>
          <w:szCs w:val="21"/>
        </w:rPr>
        <w:t>一美国：供应管理协会(ISM):制造业PM</w:t>
      </w:r>
    </w:p>
    <w:p>
      <w:pPr>
        <w:pStyle w:val="BodyText"/>
        <w:spacing w:before="129" w:line="259" w:lineRule="exact"/>
        <w:ind w:left="1079"/>
        <w:rPr>
          <w:sz w:val="16"/>
          <w:szCs w:val="16"/>
        </w:rPr>
      </w:pPr>
      <w:r>
        <w:rPr>
          <w:spacing w:val="29"/>
          <w:position w:val="7"/>
          <w:sz w:val="16"/>
          <w:szCs w:val="16"/>
        </w:rPr>
        <w:t>—</w:t>
      </w:r>
      <w:r>
        <w:rPr>
          <w:spacing w:val="-33"/>
          <w:position w:val="7"/>
          <w:sz w:val="16"/>
          <w:szCs w:val="16"/>
        </w:rPr>
        <w:t xml:space="preserve"> </w:t>
      </w:r>
      <w:r>
        <w:rPr>
          <w:spacing w:val="29"/>
          <w:position w:val="7"/>
          <w:sz w:val="16"/>
          <w:szCs w:val="16"/>
        </w:rPr>
        <w:t>美国：</w:t>
      </w:r>
      <w:r>
        <w:rPr>
          <w:position w:val="7"/>
          <w:sz w:val="16"/>
          <w:szCs w:val="16"/>
        </w:rPr>
        <w:t>ISM</w:t>
      </w:r>
      <w:r>
        <w:rPr>
          <w:spacing w:val="29"/>
          <w:position w:val="7"/>
          <w:sz w:val="16"/>
          <w:szCs w:val="16"/>
        </w:rPr>
        <w:t>:非制造业</w:t>
      </w:r>
      <w:r>
        <w:rPr>
          <w:position w:val="7"/>
          <w:sz w:val="16"/>
          <w:szCs w:val="16"/>
        </w:rPr>
        <w:t>PM</w:t>
      </w:r>
      <w:r>
        <w:rPr>
          <w:spacing w:val="-24"/>
          <w:position w:val="7"/>
          <w:sz w:val="16"/>
          <w:szCs w:val="16"/>
        </w:rPr>
        <w:t xml:space="preserve"> </w:t>
      </w:r>
      <w:r>
        <w:rPr>
          <w:position w:val="7"/>
          <w:sz w:val="16"/>
          <w:szCs w:val="16"/>
        </w:rPr>
        <w:t>I</w:t>
      </w:r>
    </w:p>
    <w:p>
      <w:pPr>
        <w:pStyle w:val="BodyText"/>
        <w:spacing w:before="1" w:line="225" w:lineRule="auto"/>
        <w:ind w:left="1359"/>
        <w:rPr>
          <w:sz w:val="21"/>
          <w:szCs w:val="21"/>
        </w:rPr>
      </w:pPr>
      <w:r>
        <w:rPr>
          <w:spacing w:val="-19"/>
          <w:sz w:val="21"/>
          <w:szCs w:val="21"/>
        </w:rPr>
        <w:t>荣枯线</w:t>
      </w:r>
    </w:p>
    <w:p>
      <w:pPr>
        <w:pStyle w:val="BodyText"/>
        <w:spacing w:before="263" w:line="192" w:lineRule="auto"/>
        <w:rPr>
          <w:sz w:val="21"/>
          <w:szCs w:val="21"/>
        </w:rPr>
      </w:pPr>
      <w:r>
        <w:rPr>
          <w:spacing w:val="-24"/>
          <w:sz w:val="21"/>
          <w:szCs w:val="21"/>
        </w:rPr>
        <w:t>数据来源：Wind、开源证养研究所</w:t>
      </w:r>
    </w:p>
    <w:p>
      <w:pPr>
        <w:spacing w:line="192" w:lineRule="auto"/>
        <w:rPr>
          <w:sz w:val="21"/>
          <w:szCs w:val="21"/>
        </w:rPr>
        <w:sectPr>
          <w:footerReference w:type="default" r:id="rId46"/>
          <w:type w:val="continuous"/>
          <w:pgSz w:w="11910" w:h="16840"/>
          <w:pgMar w:top="163" w:right="640" w:bottom="1120" w:left="729" w:header="0" w:footer="801" w:gutter="0"/>
          <w:pgNumType w:start="23"/>
          <w:cols w:num="2" w:space="708" w:equalWidth="0">
            <w:col w:w="5261" w:space="100"/>
            <w:col w:w="5180" w:space="0"/>
          </w:cols>
        </w:sectPr>
      </w:pPr>
    </w:p>
    <w:p>
      <w:pPr>
        <w:spacing w:before="153" w:line="226" w:lineRule="auto"/>
        <w:ind w:left="180"/>
        <w:rPr>
          <w:rFonts w:ascii="YouYuan" w:eastAsia="YouYuan" w:hAnsi="YouYuan" w:cs="YouYuan"/>
          <w:sz w:val="60"/>
          <w:szCs w:val="60"/>
        </w:rPr>
      </w:pPr>
      <w:r>
        <w:pict>
          <v:shape id="_x0000_s1035" type="#_x0000_t202" style="width:10.7pt;height:16pt;margin-top:178.51pt;margin-left:192.82pt;mso-position-horizontal-relative:page;mso-position-vertical-relative:page;position:absolute;z-index:251685888" o:allowincell="f" filled="f" stroked="f">
            <o:lock v:ext="edit" aspectratio="f"/>
            <v:textbox style="layout-flow:vertical-ideographic" inset="0,0,0,0">
              <w:txbxContent>
                <w:p>
                  <w:pPr>
                    <w:spacing w:before="20" w:line="222" w:lineRule="auto"/>
                    <w:ind w:left="20"/>
                    <w:rPr>
                      <w:rFonts w:ascii="SimSun" w:eastAsia="SimSun" w:hAnsi="SimSun" w:cs="SimSun"/>
                      <w:sz w:val="14"/>
                      <w:szCs w:val="14"/>
                    </w:rPr>
                  </w:pPr>
                  <w:r>
                    <w:rPr>
                      <w:rFonts w:ascii="SimSun" w:eastAsia="SimSun" w:hAnsi="SimSun" w:cs="SimSun"/>
                      <w:sz w:val="14"/>
                      <w:szCs w:val="14"/>
                    </w:rPr>
                    <w:t>业仓</w:t>
                  </w:r>
                </w:p>
              </w:txbxContent>
            </v:textbox>
          </v:shape>
        </w:pict>
      </w:r>
      <w:r>
        <w:pict>
          <v:shape id="_x0000_s1036" type="#_x0000_t202" style="width:16.45pt;height:16.2pt;margin-top:221.51pt;margin-left:178.07pt;mso-position-horizontal-relative:page;mso-position-vertical-relative:page;position:absolute;z-index:251684864" o:allowincell="f" filled="f" stroked="f">
            <o:lock v:ext="edit" aspectratio="f"/>
            <v:textbox style="layout-flow:vertical-ideographic" inset="0,0,0,0">
              <w:txbxContent>
                <w:p>
                  <w:pPr>
                    <w:spacing w:before="19" w:line="185" w:lineRule="auto"/>
                    <w:ind w:left="22" w:right="20" w:hanging="3"/>
                    <w:rPr>
                      <w:rFonts w:ascii="SimSun" w:eastAsia="SimSun" w:hAnsi="SimSun" w:cs="SimSun"/>
                      <w:sz w:val="14"/>
                      <w:szCs w:val="14"/>
                    </w:rPr>
                  </w:pPr>
                  <w:r>
                    <w:rPr>
                      <w:rFonts w:ascii="SimSun" w:eastAsia="SimSun" w:hAnsi="SimSun" w:cs="SimSun"/>
                      <w:sz w:val="14"/>
                      <w:szCs w:val="14"/>
                    </w:rPr>
                    <w:t xml:space="preserve">业   </w:t>
                  </w:r>
                  <w:r>
                    <w:rPr>
                      <w:rFonts w:ascii="SimSun" w:eastAsia="SimSun" w:hAnsi="SimSun" w:cs="SimSun"/>
                      <w:sz w:val="14"/>
                      <w:szCs w:val="14"/>
                    </w:rPr>
                    <w:t>专教</w:t>
                  </w:r>
                </w:p>
              </w:txbxContent>
            </v:textbox>
          </v:shape>
        </w:pict>
      </w:r>
      <w:r>
        <w:pict>
          <v:shape id="_x0000_s1037" type="#_x0000_t202" style="width:12.1pt;height:17.95pt;margin-top:115.59pt;margin-left:332.5pt;mso-position-horizontal-relative:page;mso-position-vertical-relative:page;position:absolute;z-index:251683840" o:allowincell="f" filled="f" stroked="f">
            <o:lock v:ext="edit" aspectratio="f"/>
            <v:textbox inset="0,0,0,0">
              <w:txbxContent>
                <w:p>
                  <w:pPr>
                    <w:spacing w:before="20" w:line="183" w:lineRule="auto"/>
                    <w:ind w:left="20"/>
                    <w:rPr>
                      <w:rFonts w:ascii="SimSun" w:eastAsia="SimSun" w:hAnsi="SimSun" w:cs="SimSun"/>
                      <w:sz w:val="14"/>
                      <w:szCs w:val="14"/>
                    </w:rPr>
                  </w:pPr>
                  <w:r>
                    <w:rPr>
                      <w:rFonts w:ascii="SimSun" w:eastAsia="SimSun" w:hAnsi="SimSun" w:cs="SimSun"/>
                      <w:spacing w:val="-2"/>
                      <w:sz w:val="14"/>
                      <w:szCs w:val="14"/>
                    </w:rPr>
                    <w:t>353</w:t>
                  </w:r>
                </w:p>
                <w:p>
                  <w:pPr>
                    <w:spacing w:before="41" w:line="183" w:lineRule="auto"/>
                    <w:ind w:left="70"/>
                    <w:rPr>
                      <w:rFonts w:ascii="SimSun" w:eastAsia="SimSun" w:hAnsi="SimSun" w:cs="SimSun"/>
                      <w:sz w:val="14"/>
                      <w:szCs w:val="14"/>
                    </w:rPr>
                  </w:pPr>
                  <w:r>
                    <w:rPr>
                      <w:rFonts w:ascii="SimSun" w:eastAsia="SimSun" w:hAnsi="SimSun" w:cs="SimSun"/>
                      <w:spacing w:val="-2"/>
                      <w:sz w:val="14"/>
                      <w:szCs w:val="14"/>
                    </w:rPr>
                    <w:t>28</w:t>
                  </w:r>
                </w:p>
              </w:txbxContent>
            </v:textbox>
          </v:shape>
        </w:pict>
      </w:r>
      <w:r>
        <w:pict>
          <v:shape id="_x0000_s1038" type="#_x0000_t202" style="width:12.25pt;height:46.95pt;margin-top:115.59pt;margin-left:373.5pt;mso-position-horizontal-relative:page;mso-position-vertical-relative:page;position:absolute;z-index:251677696" o:allowincell="f" filled="f" stroked="f">
            <o:lock v:ext="edit" aspectratio="f"/>
            <v:textbox inset="0,0,0,0">
              <w:txbxContent>
                <w:p>
                  <w:pPr>
                    <w:spacing w:before="20" w:line="183" w:lineRule="auto"/>
                    <w:ind w:left="20"/>
                    <w:rPr>
                      <w:rFonts w:ascii="SimSun" w:eastAsia="SimSun" w:hAnsi="SimSun" w:cs="SimSun"/>
                      <w:sz w:val="14"/>
                      <w:szCs w:val="14"/>
                    </w:rPr>
                  </w:pPr>
                  <w:r>
                    <w:rPr>
                      <w:rFonts w:ascii="SimSun" w:eastAsia="SimSun" w:hAnsi="SimSun" w:cs="SimSun"/>
                      <w:spacing w:val="-2"/>
                      <w:sz w:val="14"/>
                      <w:szCs w:val="14"/>
                    </w:rPr>
                    <w:t>333</w:t>
                  </w:r>
                </w:p>
                <w:p>
                  <w:pPr>
                    <w:spacing w:before="51" w:line="183" w:lineRule="auto"/>
                    <w:ind w:left="80"/>
                    <w:rPr>
                      <w:rFonts w:ascii="SimSun" w:eastAsia="SimSun" w:hAnsi="SimSun" w:cs="SimSun"/>
                      <w:sz w:val="14"/>
                      <w:szCs w:val="14"/>
                    </w:rPr>
                  </w:pPr>
                  <w:r>
                    <w:rPr>
                      <w:rFonts w:ascii="SimSun" w:eastAsia="SimSun" w:hAnsi="SimSun" w:cs="SimSun"/>
                      <w:spacing w:val="-3"/>
                      <w:sz w:val="14"/>
                      <w:szCs w:val="14"/>
                    </w:rPr>
                    <w:t>33</w:t>
                  </w:r>
                </w:p>
                <w:p>
                  <w:pPr>
                    <w:spacing w:before="211" w:line="183" w:lineRule="auto"/>
                    <w:ind w:left="90"/>
                    <w:rPr>
                      <w:rFonts w:ascii="SimSun" w:eastAsia="SimSun" w:hAnsi="SimSun" w:cs="SimSun"/>
                      <w:sz w:val="14"/>
                      <w:szCs w:val="14"/>
                    </w:rPr>
                  </w:pPr>
                  <w:r>
                    <w:rPr>
                      <w:rFonts w:ascii="SimSun" w:eastAsia="SimSun" w:hAnsi="SimSun" w:cs="SimSun"/>
                      <w:spacing w:val="-2"/>
                      <w:sz w:val="14"/>
                      <w:szCs w:val="14"/>
                    </w:rPr>
                    <w:t>24</w:t>
                  </w:r>
                </w:p>
                <w:p>
                  <w:pPr>
                    <w:spacing w:before="81" w:line="183" w:lineRule="auto"/>
                    <w:ind w:left="160"/>
                    <w:rPr>
                      <w:rFonts w:ascii="SimSun" w:eastAsia="SimSun" w:hAnsi="SimSun" w:cs="SimSun"/>
                      <w:sz w:val="14"/>
                      <w:szCs w:val="14"/>
                    </w:rPr>
                  </w:pPr>
                  <w:r>
                    <w:rPr>
                      <w:rFonts w:ascii="SimSun" w:eastAsia="SimSun" w:hAnsi="SimSun" w:cs="SimSun"/>
                      <w:sz w:val="14"/>
                      <w:szCs w:val="14"/>
                    </w:rPr>
                    <w:t>8</w:t>
                  </w:r>
                </w:p>
              </w:txbxContent>
            </v:textbox>
          </v:shape>
        </w:pict>
      </w:r>
      <w:r>
        <w:pict>
          <v:shape id="_x0000_s1039" type="#_x0000_t202" style="width:13.3pt;height:83.95pt;margin-top:133.6pt;margin-left:332pt;mso-position-horizontal-relative:page;mso-position-vertical-relative:page;position:absolute;z-index:251675648" o:allowincell="f" filled="f" stroked="f">
            <o:lock v:ext="edit" aspectratio="f"/>
            <v:textbox inset="0,0,0,0">
              <w:txbxContent>
                <w:p>
                  <w:pPr>
                    <w:spacing w:before="20" w:line="183" w:lineRule="auto"/>
                    <w:ind w:left="110"/>
                    <w:rPr>
                      <w:rFonts w:ascii="SimSun" w:eastAsia="SimSun" w:hAnsi="SimSun" w:cs="SimSun"/>
                      <w:sz w:val="14"/>
                      <w:szCs w:val="14"/>
                    </w:rPr>
                  </w:pPr>
                  <w:r>
                    <w:rPr>
                      <w:rFonts w:ascii="SimSun" w:eastAsia="SimSun" w:hAnsi="SimSun" w:cs="SimSun"/>
                      <w:spacing w:val="-2"/>
                      <w:sz w:val="14"/>
                      <w:szCs w:val="14"/>
                    </w:rPr>
                    <w:t>-6</w:t>
                  </w:r>
                </w:p>
                <w:p>
                  <w:pPr>
                    <w:spacing w:before="50" w:line="184" w:lineRule="auto"/>
                    <w:ind w:left="100"/>
                    <w:rPr>
                      <w:rFonts w:ascii="SimSun" w:eastAsia="SimSun" w:hAnsi="SimSun" w:cs="SimSun"/>
                      <w:sz w:val="14"/>
                      <w:szCs w:val="14"/>
                    </w:rPr>
                  </w:pPr>
                  <w:r>
                    <w:rPr>
                      <w:rFonts w:ascii="SimSun" w:eastAsia="SimSun" w:hAnsi="SimSun" w:cs="SimSun"/>
                      <w:spacing w:val="-4"/>
                      <w:sz w:val="14"/>
                      <w:szCs w:val="14"/>
                    </w:rPr>
                    <w:t>11</w:t>
                  </w:r>
                </w:p>
                <w:p>
                  <w:pPr>
                    <w:spacing w:before="41" w:line="183" w:lineRule="auto"/>
                    <w:ind w:left="80"/>
                    <w:rPr>
                      <w:rFonts w:ascii="SimSun" w:eastAsia="SimSun" w:hAnsi="SimSun" w:cs="SimSun"/>
                      <w:sz w:val="14"/>
                      <w:szCs w:val="14"/>
                    </w:rPr>
                  </w:pPr>
                  <w:r>
                    <w:rPr>
                      <w:rFonts w:ascii="SimSun" w:eastAsia="SimSun" w:hAnsi="SimSun" w:cs="SimSun"/>
                      <w:spacing w:val="-2"/>
                      <w:sz w:val="14"/>
                      <w:szCs w:val="14"/>
                    </w:rPr>
                    <w:t>23</w:t>
                  </w:r>
                </w:p>
                <w:p>
                  <w:pPr>
                    <w:spacing w:before="71" w:line="183" w:lineRule="auto"/>
                    <w:ind w:left="20"/>
                    <w:rPr>
                      <w:rFonts w:ascii="SimSun" w:eastAsia="SimSun" w:hAnsi="SimSun" w:cs="SimSun"/>
                      <w:sz w:val="14"/>
                      <w:szCs w:val="14"/>
                    </w:rPr>
                  </w:pPr>
                  <w:r>
                    <w:rPr>
                      <w:rFonts w:ascii="SimSun" w:eastAsia="SimSun" w:hAnsi="SimSun" w:cs="SimSun"/>
                      <w:spacing w:val="-2"/>
                      <w:sz w:val="14"/>
                      <w:szCs w:val="14"/>
                    </w:rPr>
                    <w:t>289</w:t>
                  </w:r>
                </w:p>
                <w:p>
                  <w:pPr>
                    <w:spacing w:before="31" w:line="183" w:lineRule="auto"/>
                    <w:ind w:left="120"/>
                    <w:rPr>
                      <w:rFonts w:ascii="SimSun" w:eastAsia="SimSun" w:hAnsi="SimSun" w:cs="SimSun"/>
                      <w:sz w:val="14"/>
                      <w:szCs w:val="14"/>
                    </w:rPr>
                  </w:pPr>
                  <w:r>
                    <w:rPr>
                      <w:rFonts w:ascii="SimSun" w:eastAsia="SimSun" w:hAnsi="SimSun" w:cs="SimSun"/>
                      <w:sz w:val="14"/>
                      <w:szCs w:val="14"/>
                    </w:rPr>
                    <w:t>2</w:t>
                  </w:r>
                </w:p>
                <w:p>
                  <w:pPr>
                    <w:spacing w:before="41" w:line="183" w:lineRule="auto"/>
                    <w:ind w:left="100"/>
                    <w:rPr>
                      <w:rFonts w:ascii="SimSun" w:eastAsia="SimSun" w:hAnsi="SimSun" w:cs="SimSun"/>
                      <w:sz w:val="14"/>
                      <w:szCs w:val="14"/>
                    </w:rPr>
                  </w:pPr>
                  <w:r>
                    <w:rPr>
                      <w:rFonts w:ascii="SimSun" w:eastAsia="SimSun" w:hAnsi="SimSun" w:cs="SimSun"/>
                      <w:spacing w:val="-2"/>
                      <w:sz w:val="14"/>
                      <w:szCs w:val="14"/>
                    </w:rPr>
                    <w:t>45</w:t>
                  </w:r>
                </w:p>
                <w:p>
                  <w:pPr>
                    <w:spacing w:before="50" w:line="184" w:lineRule="auto"/>
                    <w:ind w:left="100"/>
                    <w:rPr>
                      <w:rFonts w:ascii="SimSun" w:eastAsia="SimSun" w:hAnsi="SimSun" w:cs="SimSun"/>
                      <w:sz w:val="14"/>
                      <w:szCs w:val="14"/>
                    </w:rPr>
                  </w:pPr>
                  <w:r>
                    <w:rPr>
                      <w:rFonts w:ascii="SimSun" w:eastAsia="SimSun" w:hAnsi="SimSun" w:cs="SimSun"/>
                      <w:spacing w:val="-4"/>
                      <w:sz w:val="14"/>
                      <w:szCs w:val="14"/>
                    </w:rPr>
                    <w:t>16</w:t>
                  </w:r>
                </w:p>
                <w:p>
                  <w:pPr>
                    <w:spacing w:before="240" w:line="184" w:lineRule="auto"/>
                    <w:ind w:left="80"/>
                    <w:rPr>
                      <w:rFonts w:ascii="SimSun" w:eastAsia="SimSun" w:hAnsi="SimSun" w:cs="SimSun"/>
                      <w:sz w:val="14"/>
                      <w:szCs w:val="14"/>
                    </w:rPr>
                  </w:pPr>
                  <w:r>
                    <w:rPr>
                      <w:rFonts w:ascii="SimSun" w:eastAsia="SimSun" w:hAnsi="SimSun" w:cs="SimSun"/>
                      <w:spacing w:val="-4"/>
                      <w:sz w:val="14"/>
                      <w:szCs w:val="14"/>
                    </w:rPr>
                    <w:t>15</w:t>
                  </w:r>
                </w:p>
              </w:txbxContent>
            </v:textbox>
          </v:shape>
        </w:pict>
      </w:r>
      <w:r>
        <w:pict>
          <v:shape id="_x0000_s1040" type="#_x0000_t202" style="width:13.3pt;height:26.95pt;margin-top:162.59pt;margin-left:372.5pt;mso-position-horizontal-relative:page;mso-position-vertical-relative:page;position:absolute;z-index:251680768" o:allowincell="f" filled="f" stroked="f">
            <o:lock v:ext="edit" aspectratio="f"/>
            <v:textbox inset="0,0,0,0">
              <w:txbxContent>
                <w:p>
                  <w:pPr>
                    <w:spacing w:before="20" w:line="183" w:lineRule="auto"/>
                    <w:ind w:left="20"/>
                    <w:rPr>
                      <w:rFonts w:ascii="SimSun" w:eastAsia="SimSun" w:hAnsi="SimSun" w:cs="SimSun"/>
                      <w:sz w:val="14"/>
                      <w:szCs w:val="14"/>
                    </w:rPr>
                  </w:pPr>
                  <w:r>
                    <w:rPr>
                      <w:rFonts w:ascii="SimSun" w:eastAsia="SimSun" w:hAnsi="SimSun" w:cs="SimSun"/>
                      <w:spacing w:val="-2"/>
                      <w:sz w:val="14"/>
                      <w:szCs w:val="14"/>
                    </w:rPr>
                    <w:t>245</w:t>
                  </w:r>
                </w:p>
                <w:p>
                  <w:pPr>
                    <w:spacing w:before="40" w:line="184" w:lineRule="auto"/>
                    <w:ind w:left="120"/>
                    <w:rPr>
                      <w:rFonts w:ascii="SimSun" w:eastAsia="SimSun" w:hAnsi="SimSun" w:cs="SimSun"/>
                      <w:sz w:val="14"/>
                      <w:szCs w:val="14"/>
                    </w:rPr>
                  </w:pPr>
                  <w:r>
                    <w:rPr>
                      <w:rFonts w:ascii="SimSun" w:eastAsia="SimSun" w:hAnsi="SimSun" w:cs="SimSun"/>
                      <w:spacing w:val="-4"/>
                      <w:sz w:val="14"/>
                      <w:szCs w:val="14"/>
                    </w:rPr>
                    <w:t>11</w:t>
                  </w:r>
                </w:p>
                <w:p>
                  <w:pPr>
                    <w:spacing w:before="41" w:line="183" w:lineRule="auto"/>
                    <w:ind w:left="110"/>
                    <w:rPr>
                      <w:rFonts w:ascii="SimSun" w:eastAsia="SimSun" w:hAnsi="SimSun" w:cs="SimSun"/>
                      <w:sz w:val="14"/>
                      <w:szCs w:val="14"/>
                    </w:rPr>
                  </w:pPr>
                  <w:r>
                    <w:rPr>
                      <w:rFonts w:ascii="SimSun" w:eastAsia="SimSun" w:hAnsi="SimSun" w:cs="SimSun"/>
                      <w:spacing w:val="-2"/>
                      <w:sz w:val="14"/>
                      <w:szCs w:val="14"/>
                    </w:rPr>
                    <w:t>43</w:t>
                  </w:r>
                </w:p>
              </w:txbxContent>
            </v:textbox>
          </v:shape>
        </w:pict>
      </w:r>
      <w:r>
        <w:pict>
          <v:shape id="_x0000_s1041" type="#_x0000_t202" style="width:9.6pt;height:92.5pt;margin-top:208.56pt;margin-left:377.5pt;mso-position-horizontal-relative:page;mso-position-vertical-relative:page;position:absolute;z-index:251676672" o:allowincell="f" filled="f" stroked="f">
            <o:lock v:ext="edit" aspectratio="f"/>
            <v:textbox inset="0,0,0,0">
              <w:txbxContent>
                <w:p>
                  <w:pPr>
                    <w:spacing w:before="19" w:line="184" w:lineRule="auto"/>
                    <w:ind w:left="20"/>
                    <w:rPr>
                      <w:rFonts w:ascii="SimSun" w:eastAsia="SimSun" w:hAnsi="SimSun" w:cs="SimSun"/>
                      <w:sz w:val="14"/>
                      <w:szCs w:val="14"/>
                    </w:rPr>
                  </w:pPr>
                  <w:r>
                    <w:rPr>
                      <w:rFonts w:ascii="SimSun" w:eastAsia="SimSun" w:hAnsi="SimSun" w:cs="SimSun"/>
                      <w:spacing w:val="-4"/>
                      <w:sz w:val="14"/>
                      <w:szCs w:val="14"/>
                    </w:rPr>
                    <w:t>18</w:t>
                  </w:r>
                </w:p>
                <w:p>
                  <w:pPr>
                    <w:spacing w:before="30" w:line="184" w:lineRule="auto"/>
                    <w:ind w:left="20"/>
                    <w:rPr>
                      <w:rFonts w:ascii="SimSun" w:eastAsia="SimSun" w:hAnsi="SimSun" w:cs="SimSun"/>
                      <w:sz w:val="14"/>
                      <w:szCs w:val="14"/>
                    </w:rPr>
                  </w:pPr>
                  <w:r>
                    <w:rPr>
                      <w:rFonts w:ascii="SimSun" w:eastAsia="SimSun" w:hAnsi="SimSun" w:cs="SimSun"/>
                      <w:spacing w:val="-4"/>
                      <w:sz w:val="14"/>
                      <w:szCs w:val="14"/>
                    </w:rPr>
                    <w:t>13</w:t>
                  </w:r>
                </w:p>
                <w:p>
                  <w:pPr>
                    <w:spacing w:before="51" w:line="183" w:lineRule="auto"/>
                    <w:ind w:left="40"/>
                    <w:rPr>
                      <w:rFonts w:ascii="SimSun" w:eastAsia="SimSun" w:hAnsi="SimSun" w:cs="SimSun"/>
                      <w:sz w:val="14"/>
                      <w:szCs w:val="14"/>
                    </w:rPr>
                  </w:pPr>
                  <w:r>
                    <w:rPr>
                      <w:rFonts w:ascii="SimSun" w:eastAsia="SimSun" w:hAnsi="SimSun" w:cs="SimSun"/>
                      <w:spacing w:val="-3"/>
                      <w:sz w:val="14"/>
                      <w:szCs w:val="14"/>
                    </w:rPr>
                    <w:t>35</w:t>
                  </w:r>
                </w:p>
                <w:p>
                  <w:pPr>
                    <w:spacing w:before="31" w:line="183" w:lineRule="auto"/>
                    <w:ind w:left="20"/>
                    <w:rPr>
                      <w:rFonts w:ascii="SimSun" w:eastAsia="SimSun" w:hAnsi="SimSun" w:cs="SimSun"/>
                      <w:sz w:val="14"/>
                      <w:szCs w:val="14"/>
                    </w:rPr>
                  </w:pPr>
                  <w:r>
                    <w:rPr>
                      <w:rFonts w:ascii="SimSun" w:eastAsia="SimSun" w:hAnsi="SimSun" w:cs="SimSun"/>
                      <w:spacing w:val="-2"/>
                      <w:sz w:val="14"/>
                      <w:szCs w:val="14"/>
                    </w:rPr>
                    <w:t>84</w:t>
                  </w:r>
                </w:p>
                <w:p>
                  <w:pPr>
                    <w:spacing w:before="61" w:line="183" w:lineRule="auto"/>
                    <w:ind w:left="20"/>
                    <w:rPr>
                      <w:rFonts w:ascii="SimSun" w:eastAsia="SimSun" w:hAnsi="SimSun" w:cs="SimSun"/>
                      <w:sz w:val="14"/>
                      <w:szCs w:val="14"/>
                    </w:rPr>
                  </w:pPr>
                  <w:r>
                    <w:rPr>
                      <w:rFonts w:ascii="SimSun" w:eastAsia="SimSun" w:hAnsi="SimSun" w:cs="SimSun"/>
                      <w:spacing w:val="-3"/>
                      <w:sz w:val="14"/>
                      <w:szCs w:val="14"/>
                    </w:rPr>
                    <w:t>38</w:t>
                  </w:r>
                </w:p>
                <w:p>
                  <w:pPr>
                    <w:spacing w:before="40" w:line="184" w:lineRule="auto"/>
                    <w:ind w:left="20"/>
                    <w:rPr>
                      <w:rFonts w:ascii="SimSun" w:eastAsia="SimSun" w:hAnsi="SimSun" w:cs="SimSun"/>
                      <w:sz w:val="14"/>
                      <w:szCs w:val="14"/>
                    </w:rPr>
                  </w:pPr>
                  <w:r>
                    <w:rPr>
                      <w:rFonts w:ascii="SimSun" w:eastAsia="SimSun" w:hAnsi="SimSun" w:cs="SimSun"/>
                      <w:spacing w:val="-2"/>
                      <w:sz w:val="14"/>
                      <w:szCs w:val="14"/>
                    </w:rPr>
                    <w:t>-1</w:t>
                  </w:r>
                </w:p>
                <w:p>
                  <w:pPr>
                    <w:spacing w:before="62" w:line="182" w:lineRule="auto"/>
                    <w:ind w:left="20"/>
                    <w:rPr>
                      <w:rFonts w:ascii="SimSun" w:eastAsia="SimSun" w:hAnsi="SimSun" w:cs="SimSun"/>
                      <w:sz w:val="14"/>
                      <w:szCs w:val="14"/>
                    </w:rPr>
                  </w:pPr>
                  <w:r>
                    <w:rPr>
                      <w:rFonts w:ascii="SimSun" w:eastAsia="SimSun" w:hAnsi="SimSun" w:cs="SimSun"/>
                      <w:spacing w:val="-3"/>
                      <w:sz w:val="14"/>
                      <w:szCs w:val="14"/>
                    </w:rPr>
                    <w:t>55</w:t>
                  </w:r>
                </w:p>
                <w:p>
                  <w:pPr>
                    <w:spacing w:before="52" w:line="182" w:lineRule="auto"/>
                    <w:ind w:left="20"/>
                    <w:rPr>
                      <w:rFonts w:ascii="SimSun" w:eastAsia="SimSun" w:hAnsi="SimSun" w:cs="SimSun"/>
                      <w:sz w:val="14"/>
                      <w:szCs w:val="14"/>
                    </w:rPr>
                  </w:pPr>
                  <w:r>
                    <w:rPr>
                      <w:rFonts w:ascii="SimSun" w:eastAsia="SimSun" w:hAnsi="SimSun" w:cs="SimSun"/>
                      <w:sz w:val="14"/>
                      <w:szCs w:val="14"/>
                    </w:rPr>
                    <w:t>5</w:t>
                  </w:r>
                </w:p>
                <w:p>
                  <w:pPr>
                    <w:spacing w:before="40" w:line="184" w:lineRule="auto"/>
                    <w:ind w:left="20"/>
                    <w:rPr>
                      <w:rFonts w:ascii="SimSun" w:eastAsia="SimSun" w:hAnsi="SimSun" w:cs="SimSun"/>
                      <w:sz w:val="14"/>
                      <w:szCs w:val="14"/>
                    </w:rPr>
                  </w:pPr>
                  <w:r>
                    <w:rPr>
                      <w:rFonts w:ascii="SimSun" w:eastAsia="SimSun" w:hAnsi="SimSun" w:cs="SimSun"/>
                      <w:spacing w:val="-4"/>
                      <w:sz w:val="14"/>
                      <w:szCs w:val="14"/>
                    </w:rPr>
                    <w:t>15</w:t>
                  </w:r>
                </w:p>
                <w:p>
                  <w:pPr>
                    <w:spacing w:before="52" w:line="183" w:lineRule="auto"/>
                    <w:ind w:left="20"/>
                    <w:rPr>
                      <w:rFonts w:ascii="SimSun" w:eastAsia="SimSun" w:hAnsi="SimSun" w:cs="SimSun"/>
                      <w:sz w:val="14"/>
                      <w:szCs w:val="14"/>
                    </w:rPr>
                  </w:pPr>
                  <w:r>
                    <w:rPr>
                      <w:rFonts w:ascii="SimSun" w:eastAsia="SimSun" w:hAnsi="SimSun" w:cs="SimSun"/>
                      <w:spacing w:val="-3"/>
                      <w:sz w:val="14"/>
                      <w:szCs w:val="14"/>
                    </w:rPr>
                    <w:t>35</w:t>
                  </w:r>
                </w:p>
              </w:txbxContent>
            </v:textbox>
          </v:shape>
        </w:pict>
      </w:r>
      <w:r>
        <w:pict>
          <v:shape id="_x0000_s1042" type="#_x0000_t202" style="width:11.75pt;height:36.95pt;margin-top:217.59pt;margin-left:333pt;mso-position-horizontal-relative:page;mso-position-vertical-relative:page;position:absolute;z-index:251678720" o:allowincell="f" filled="f" stroked="f">
            <o:lock v:ext="edit" aspectratio="f"/>
            <v:textbox inset="0,0,0,0">
              <w:txbxContent>
                <w:p>
                  <w:pPr>
                    <w:spacing w:before="20" w:line="183" w:lineRule="auto"/>
                    <w:ind w:left="140"/>
                    <w:rPr>
                      <w:rFonts w:ascii="SimSun" w:eastAsia="SimSun" w:hAnsi="SimSun" w:cs="SimSun"/>
                      <w:sz w:val="14"/>
                      <w:szCs w:val="14"/>
                    </w:rPr>
                  </w:pPr>
                  <w:r>
                    <w:rPr>
                      <w:rFonts w:ascii="SimSun" w:eastAsia="SimSun" w:hAnsi="SimSun" w:cs="SimSun"/>
                      <w:sz w:val="14"/>
                      <w:szCs w:val="14"/>
                    </w:rPr>
                    <w:t>8</w:t>
                  </w:r>
                </w:p>
                <w:p>
                  <w:pPr>
                    <w:spacing w:before="41" w:line="183" w:lineRule="auto"/>
                    <w:ind w:left="80"/>
                    <w:rPr>
                      <w:rFonts w:ascii="SimSun" w:eastAsia="SimSun" w:hAnsi="SimSun" w:cs="SimSun"/>
                      <w:sz w:val="14"/>
                      <w:szCs w:val="14"/>
                    </w:rPr>
                  </w:pPr>
                  <w:r>
                    <w:rPr>
                      <w:rFonts w:ascii="SimSun" w:eastAsia="SimSun" w:hAnsi="SimSun" w:cs="SimSun"/>
                      <w:spacing w:val="-3"/>
                      <w:sz w:val="14"/>
                      <w:szCs w:val="14"/>
                    </w:rPr>
                    <w:t>74</w:t>
                  </w:r>
                </w:p>
                <w:p>
                  <w:pPr>
                    <w:spacing w:before="50" w:line="184" w:lineRule="auto"/>
                    <w:ind w:left="20"/>
                    <w:rPr>
                      <w:rFonts w:ascii="SimSun" w:eastAsia="SimSun" w:hAnsi="SimSun" w:cs="SimSun"/>
                      <w:sz w:val="14"/>
                      <w:szCs w:val="14"/>
                    </w:rPr>
                  </w:pPr>
                  <w:r>
                    <w:rPr>
                      <w:rFonts w:ascii="SimSun" w:eastAsia="SimSun" w:hAnsi="SimSun" w:cs="SimSun"/>
                      <w:spacing w:val="-4"/>
                      <w:sz w:val="14"/>
                      <w:szCs w:val="14"/>
                    </w:rPr>
                    <w:t>112</w:t>
                  </w:r>
                </w:p>
                <w:p>
                  <w:pPr>
                    <w:spacing w:before="50" w:line="184" w:lineRule="auto"/>
                    <w:ind w:left="60"/>
                    <w:rPr>
                      <w:rFonts w:ascii="SimSun" w:eastAsia="SimSun" w:hAnsi="SimSun" w:cs="SimSun"/>
                      <w:sz w:val="14"/>
                      <w:szCs w:val="14"/>
                    </w:rPr>
                  </w:pPr>
                  <w:r>
                    <w:rPr>
                      <w:rFonts w:ascii="SimSun" w:eastAsia="SimSun" w:hAnsi="SimSun" w:cs="SimSun"/>
                      <w:spacing w:val="-4"/>
                      <w:sz w:val="14"/>
                      <w:szCs w:val="14"/>
                    </w:rPr>
                    <w:t>11</w:t>
                  </w:r>
                </w:p>
              </w:txbxContent>
            </v:textbox>
          </v:shape>
        </w:pict>
      </w:r>
      <w:r>
        <w:pict>
          <v:shape id="_x0000_s1043" type="#_x0000_t202" style="width:9.25pt;height:45.4pt;margin-top:255.14pt;margin-left:336pt;mso-position-horizontal-relative:page;mso-position-vertical-relative:page;position:absolute;z-index:251679744" o:allowincell="f" filled="f" stroked="f">
            <o:lock v:ext="edit" aspectratio="f"/>
            <v:textbox inset="0,0,0,0">
              <w:txbxContent>
                <w:p>
                  <w:pPr>
                    <w:spacing w:before="19" w:line="182" w:lineRule="auto"/>
                    <w:ind w:left="80"/>
                    <w:rPr>
                      <w:rFonts w:ascii="SimSun" w:eastAsia="SimSun" w:hAnsi="SimSun" w:cs="SimSun"/>
                      <w:sz w:val="14"/>
                      <w:szCs w:val="14"/>
                    </w:rPr>
                  </w:pPr>
                  <w:r>
                    <w:rPr>
                      <w:rFonts w:ascii="SimSun" w:eastAsia="SimSun" w:hAnsi="SimSun" w:cs="SimSun"/>
                      <w:sz w:val="14"/>
                      <w:szCs w:val="14"/>
                    </w:rPr>
                    <w:t>5</w:t>
                  </w:r>
                </w:p>
                <w:p>
                  <w:pPr>
                    <w:spacing w:before="41" w:line="183" w:lineRule="auto"/>
                    <w:ind w:left="20"/>
                    <w:rPr>
                      <w:rFonts w:ascii="SimSun" w:eastAsia="SimSun" w:hAnsi="SimSun" w:cs="SimSun"/>
                      <w:sz w:val="14"/>
                      <w:szCs w:val="14"/>
                    </w:rPr>
                  </w:pPr>
                  <w:r>
                    <w:rPr>
                      <w:rFonts w:ascii="SimSun" w:eastAsia="SimSun" w:hAnsi="SimSun" w:cs="SimSun"/>
                      <w:spacing w:val="-3"/>
                      <w:sz w:val="14"/>
                      <w:szCs w:val="14"/>
                    </w:rPr>
                    <w:t>36</w:t>
                  </w:r>
                </w:p>
                <w:p>
                  <w:pPr>
                    <w:spacing w:before="30" w:line="184" w:lineRule="auto"/>
                    <w:ind w:left="40"/>
                    <w:rPr>
                      <w:rFonts w:ascii="SimSun" w:eastAsia="SimSun" w:hAnsi="SimSun" w:cs="SimSun"/>
                      <w:sz w:val="14"/>
                      <w:szCs w:val="14"/>
                    </w:rPr>
                  </w:pPr>
                  <w:r>
                    <w:rPr>
                      <w:rFonts w:ascii="SimSun" w:eastAsia="SimSun" w:hAnsi="SimSun" w:cs="SimSun"/>
                      <w:spacing w:val="-4"/>
                      <w:sz w:val="14"/>
                      <w:szCs w:val="14"/>
                    </w:rPr>
                    <w:t>11</w:t>
                  </w:r>
                </w:p>
                <w:p>
                  <w:pPr>
                    <w:spacing w:before="40" w:line="184" w:lineRule="auto"/>
                    <w:ind w:left="30"/>
                    <w:rPr>
                      <w:rFonts w:ascii="SimSun" w:eastAsia="SimSun" w:hAnsi="SimSun" w:cs="SimSun"/>
                      <w:sz w:val="14"/>
                      <w:szCs w:val="14"/>
                    </w:rPr>
                  </w:pPr>
                  <w:r>
                    <w:rPr>
                      <w:rFonts w:ascii="SimSun" w:eastAsia="SimSun" w:hAnsi="SimSun" w:cs="SimSun"/>
                      <w:spacing w:val="-4"/>
                      <w:sz w:val="14"/>
                      <w:szCs w:val="14"/>
                    </w:rPr>
                    <w:t>10</w:t>
                  </w:r>
                </w:p>
                <w:p>
                  <w:pPr>
                    <w:spacing w:before="60" w:line="184" w:lineRule="auto"/>
                    <w:ind w:left="40"/>
                    <w:rPr>
                      <w:rFonts w:ascii="SimSun" w:eastAsia="SimSun" w:hAnsi="SimSun" w:cs="SimSun"/>
                      <w:sz w:val="14"/>
                      <w:szCs w:val="14"/>
                    </w:rPr>
                  </w:pPr>
                  <w:r>
                    <w:rPr>
                      <w:rFonts w:ascii="SimSun" w:eastAsia="SimSun" w:hAnsi="SimSun" w:cs="SimSun"/>
                      <w:spacing w:val="-4"/>
                      <w:sz w:val="14"/>
                      <w:szCs w:val="14"/>
                    </w:rPr>
                    <w:t>15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82816" behindDoc="0" locked="0" layoutInCell="0" allowOverlap="1">
            <wp:simplePos x="0" y="0"/>
            <wp:positionH relativeFrom="page">
              <wp:posOffset>2254258</wp:posOffset>
            </wp:positionH>
            <wp:positionV relativeFrom="page">
              <wp:posOffset>3898899</wp:posOffset>
            </wp:positionV>
            <wp:extent cx="4876829" cy="6350"/>
            <wp:effectExtent l="0" t="0" r="0" b="0"/>
            <wp:wrapNone/>
            <wp:docPr id="78" name="IM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 78"/>
                    <pic:cNvPicPr/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876829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81792" behindDoc="0" locked="0" layoutInCell="0" allowOverlap="1">
            <wp:simplePos x="0" y="0"/>
            <wp:positionH relativeFrom="page">
              <wp:posOffset>2247906</wp:posOffset>
            </wp:positionH>
            <wp:positionV relativeFrom="page">
              <wp:posOffset>6883427</wp:posOffset>
            </wp:positionV>
            <wp:extent cx="4883181" cy="6350"/>
            <wp:effectExtent l="0" t="0" r="0" b="0"/>
            <wp:wrapNone/>
            <wp:docPr id="80" name="IM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 80"/>
                    <pic:cNvPicPr/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883181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1" w:name="bookmark29"/>
      <w:bookmarkEnd w:id="21"/>
      <w:bookmarkStart w:id="22" w:name="bookmark28"/>
      <w:bookmarkEnd w:id="22"/>
      <w:r>
        <w:rPr>
          <w:rFonts w:ascii="YouYuan" w:eastAsia="YouYuan" w:hAnsi="YouYuan" w:cs="YouYuan"/>
          <w:position w:val="-21"/>
          <w:sz w:val="60"/>
          <w:szCs w:val="60"/>
        </w:rPr>
        <w:drawing>
          <wp:inline distT="0" distB="0" distL="0" distR="0">
            <wp:extent cx="571449" cy="488901"/>
            <wp:effectExtent l="0" t="0" r="0" b="0"/>
            <wp:docPr id="82" name="IM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 82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449" cy="488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YouYuan" w:eastAsia="YouYuan" w:hAnsi="YouYuan" w:cs="YouYuan"/>
          <w:b/>
          <w:bCs/>
          <w:spacing w:val="28"/>
          <w:sz w:val="60"/>
          <w:szCs w:val="60"/>
        </w:rPr>
        <w:t>开源证券</w:t>
      </w:r>
    </w:p>
    <w:p>
      <w:pPr>
        <w:pStyle w:val="BodyText"/>
        <w:spacing w:before="34" w:line="227" w:lineRule="auto"/>
        <w:ind w:left="9107"/>
        <w:rPr>
          <w:sz w:val="22"/>
          <w:szCs w:val="22"/>
        </w:rPr>
      </w:pPr>
      <w:r>
        <w:drawing>
          <wp:anchor distT="0" distB="0" distL="0" distR="0" simplePos="0" relativeHeight="251686912" behindDoc="0" locked="0" layoutInCell="1" allowOverlap="1">
            <wp:simplePos x="0" y="0"/>
            <wp:positionH relativeFrom="column">
              <wp:posOffset>19057</wp:posOffset>
            </wp:positionH>
            <wp:positionV relativeFrom="paragraph">
              <wp:posOffset>154503</wp:posOffset>
            </wp:positionV>
            <wp:extent cx="6559799" cy="6984"/>
            <wp:effectExtent l="0" t="0" r="0" b="0"/>
            <wp:wrapNone/>
            <wp:docPr id="84" name="IM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 84"/>
                    <pic:cNvPicPr/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6559799" cy="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-12"/>
          <w:sz w:val="22"/>
          <w:szCs w:val="22"/>
        </w:rPr>
        <w:t>行</w:t>
      </w:r>
      <w:r>
        <w:rPr>
          <w:spacing w:val="37"/>
          <w:sz w:val="22"/>
          <w:szCs w:val="22"/>
        </w:rPr>
        <w:t xml:space="preserve"> </w:t>
      </w:r>
      <w:r>
        <w:rPr>
          <w:b/>
          <w:bCs/>
          <w:spacing w:val="-12"/>
          <w:sz w:val="22"/>
          <w:szCs w:val="22"/>
        </w:rPr>
        <w:t>业</w:t>
      </w:r>
      <w:r>
        <w:rPr>
          <w:spacing w:val="25"/>
          <w:sz w:val="22"/>
          <w:szCs w:val="22"/>
        </w:rPr>
        <w:t xml:space="preserve"> </w:t>
      </w:r>
      <w:r>
        <w:rPr>
          <w:b/>
          <w:bCs/>
          <w:spacing w:val="-12"/>
          <w:sz w:val="22"/>
          <w:szCs w:val="22"/>
        </w:rPr>
        <w:t>周</w:t>
      </w:r>
      <w:r>
        <w:rPr>
          <w:spacing w:val="23"/>
          <w:sz w:val="22"/>
          <w:szCs w:val="22"/>
        </w:rPr>
        <w:t xml:space="preserve"> </w:t>
      </w:r>
      <w:r>
        <w:rPr>
          <w:b/>
          <w:bCs/>
          <w:spacing w:val="-12"/>
          <w:sz w:val="22"/>
          <w:szCs w:val="22"/>
        </w:rPr>
        <w:t>报</w:t>
      </w:r>
    </w:p>
    <w:p>
      <w:pPr>
        <w:pStyle w:val="BodyText"/>
        <w:spacing w:before="128" w:line="227" w:lineRule="auto"/>
        <w:ind w:left="2862"/>
        <w:rPr>
          <w:sz w:val="19"/>
          <w:szCs w:val="19"/>
        </w:rPr>
      </w:pPr>
      <w:r>
        <w:rPr>
          <w:b/>
          <w:bCs/>
          <w:color w:val="000080"/>
          <w:spacing w:val="22"/>
          <w:sz w:val="19"/>
          <w:szCs w:val="19"/>
        </w:rPr>
        <w:t>图9:美国就业市场依旧强劲</w:t>
      </w:r>
    </w:p>
    <w:p>
      <w:pPr>
        <w:spacing w:line="128" w:lineRule="exact"/>
      </w:pPr>
    </w:p>
    <w:p>
      <w:pPr>
        <w:spacing w:line="128" w:lineRule="exact"/>
        <w:sectPr>
          <w:footerReference w:type="default" r:id="rId50"/>
          <w:pgSz w:w="11910" w:h="16840"/>
          <w:pgMar w:top="156" w:right="660" w:bottom="1129" w:left="719" w:header="0" w:footer="860" w:gutter="0"/>
          <w:pgNumType w:start="24"/>
          <w:cols w:num="1" w:space="708" w:equalWidth="0">
            <w:col w:w="10530" w:space="0"/>
          </w:cols>
        </w:sectPr>
      </w:pPr>
    </w:p>
    <w:p>
      <w:pPr>
        <w:spacing w:before="110" w:line="220" w:lineRule="auto"/>
        <w:ind w:left="2990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spacing w:val="-2"/>
          <w:sz w:val="14"/>
          <w:szCs w:val="14"/>
        </w:rPr>
        <w:t>单位：千人</w:t>
      </w:r>
    </w:p>
    <w:p>
      <w:pPr>
        <w:spacing w:line="102" w:lineRule="exact"/>
      </w:pPr>
    </w:p>
    <w:tbl>
      <w:tblPr>
        <w:tblStyle w:val="TableNormal4"/>
        <w:tblW w:w="1059" w:type="dxa"/>
        <w:tblInd w:w="28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1059"/>
      </w:tblGrid>
      <w:tr>
        <w:tblPrEx>
          <w:tblW w:w="1059" w:type="dxa"/>
          <w:tblInd w:w="284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160"/>
        </w:trPr>
        <w:tc>
          <w:tcPr>
            <w:tcW w:w="1059" w:type="dxa"/>
            <w:shd w:val="clear" w:color="auto" w:fill="7030A0"/>
            <w:vAlign w:val="top"/>
          </w:tcPr>
          <w:p>
            <w:pPr>
              <w:spacing w:before="11" w:line="160" w:lineRule="auto"/>
              <w:ind w:left="45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color w:val="FFFFFF"/>
                <w:spacing w:val="-2"/>
                <w:sz w:val="16"/>
                <w:szCs w:val="16"/>
              </w:rPr>
              <w:t>非农就业人教</w:t>
            </w:r>
          </w:p>
        </w:tc>
      </w:tr>
      <w:tr>
        <w:tblPrEx>
          <w:tblW w:w="1059" w:type="dxa"/>
          <w:tblInd w:w="2840" w:type="dxa"/>
          <w:tblLayout w:type="fixed"/>
        </w:tblPrEx>
        <w:trPr>
          <w:trHeight w:val="171"/>
        </w:trPr>
        <w:tc>
          <w:tcPr>
            <w:tcW w:w="1059" w:type="dxa"/>
            <w:shd w:val="clear" w:color="auto" w:fill="F7CAAC"/>
            <w:vAlign w:val="top"/>
          </w:tcPr>
          <w:p>
            <w:pPr>
              <w:spacing w:before="21" w:line="161" w:lineRule="auto"/>
              <w:ind w:left="45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color w:val="732E00"/>
                <w:spacing w:val="-1"/>
                <w:sz w:val="16"/>
                <w:szCs w:val="16"/>
              </w:rPr>
              <w:t>私人商品生产</w:t>
            </w:r>
          </w:p>
        </w:tc>
      </w:tr>
    </w:tbl>
    <w:p>
      <w:pPr>
        <w:spacing w:before="10" w:line="237" w:lineRule="auto"/>
        <w:ind w:left="2850" w:right="674" w:firstLine="10"/>
        <w:jc w:val="both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spacing w:val="-2"/>
          <w:sz w:val="14"/>
          <w:szCs w:val="14"/>
        </w:rPr>
        <w:t>采矿业</w:t>
      </w:r>
      <w:r>
        <w:rPr>
          <w:rFonts w:ascii="SimSun" w:eastAsia="SimSun" w:hAnsi="SimSun" w:cs="SimSun"/>
          <w:sz w:val="14"/>
          <w:szCs w:val="14"/>
        </w:rPr>
        <w:t xml:space="preserve"> </w:t>
      </w:r>
      <w:r>
        <w:rPr>
          <w:rFonts w:ascii="SimSun" w:eastAsia="SimSun" w:hAnsi="SimSun" w:cs="SimSun"/>
          <w:sz w:val="14"/>
          <w:szCs w:val="14"/>
        </w:rPr>
        <w:t>建筑业</w:t>
      </w:r>
      <w:r>
        <w:rPr>
          <w:rFonts w:ascii="SimSun" w:eastAsia="SimSun" w:hAnsi="SimSun" w:cs="SimSun"/>
          <w:spacing w:val="1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-2"/>
          <w:sz w:val="14"/>
          <w:szCs w:val="14"/>
        </w:rPr>
        <w:t>制造业</w:t>
      </w:r>
    </w:p>
    <w:tbl>
      <w:tblPr>
        <w:tblStyle w:val="TableNormal4"/>
        <w:tblW w:w="1059" w:type="dxa"/>
        <w:tblInd w:w="28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</w:tblPr>
      <w:tblGrid>
        <w:gridCol w:w="1059"/>
      </w:tblGrid>
      <w:tr>
        <w:tblPrEx>
          <w:tblW w:w="1059" w:type="dxa"/>
          <w:tblInd w:w="284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  <w:tblLayout w:type="fixed"/>
        </w:tblPrEx>
        <w:trPr>
          <w:trHeight w:val="171"/>
        </w:trPr>
        <w:tc>
          <w:tcPr>
            <w:tcW w:w="1059" w:type="dxa"/>
            <w:vAlign w:val="top"/>
          </w:tcPr>
          <w:p>
            <w:pPr>
              <w:spacing w:before="21" w:line="161" w:lineRule="auto"/>
              <w:ind w:left="15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color w:val="783000"/>
                <w:spacing w:val="-3"/>
                <w:sz w:val="16"/>
                <w:szCs w:val="16"/>
                <w:shd w:val="clear" w:color="auto" w:fill="F7CAAC"/>
              </w:rPr>
              <w:t>私人服务生产</w:t>
            </w:r>
            <w:r>
              <w:rPr>
                <w:rFonts w:ascii="SimSun" w:eastAsia="SimSun" w:hAnsi="SimSun" w:cs="SimSun"/>
                <w:color w:val="783000"/>
                <w:spacing w:val="2"/>
                <w:sz w:val="16"/>
                <w:szCs w:val="16"/>
                <w:shd w:val="clear" w:color="auto" w:fill="F7CAAC"/>
              </w:rPr>
              <w:t xml:space="preserve">  </w:t>
            </w:r>
          </w:p>
        </w:tc>
      </w:tr>
    </w:tbl>
    <w:p>
      <w:pPr>
        <w:spacing w:before="10" w:line="220" w:lineRule="auto"/>
        <w:ind w:left="2860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spacing w:val="-2"/>
          <w:sz w:val="14"/>
          <w:szCs w:val="14"/>
        </w:rPr>
        <w:t>批发业</w:t>
      </w:r>
    </w:p>
    <w:p>
      <w:pPr>
        <w:spacing w:before="52" w:line="211" w:lineRule="auto"/>
        <w:ind w:left="2870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spacing w:val="-2"/>
          <w:sz w:val="14"/>
          <w:szCs w:val="14"/>
        </w:rPr>
        <w:t>零售</w:t>
      </w:r>
    </w:p>
    <w:p>
      <w:pPr>
        <w:spacing w:before="2" w:line="197" w:lineRule="auto"/>
        <w:ind w:left="2870" w:right="344" w:hanging="10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spacing w:val="-3"/>
          <w:sz w:val="14"/>
          <w:szCs w:val="14"/>
        </w:rPr>
        <w:t>运输</w:t>
      </w:r>
      <w:r>
        <w:rPr>
          <w:rFonts w:ascii="SimSun" w:eastAsia="SimSun" w:hAnsi="SimSun" w:cs="SimSun"/>
          <w:spacing w:val="28"/>
          <w:sz w:val="14"/>
          <w:szCs w:val="14"/>
        </w:rPr>
        <w:t xml:space="preserve">  </w:t>
      </w:r>
      <w:r>
        <w:rPr>
          <w:rFonts w:ascii="SimSun" w:eastAsia="SimSun" w:hAnsi="SimSun" w:cs="SimSun"/>
          <w:spacing w:val="-3"/>
          <w:sz w:val="14"/>
          <w:szCs w:val="14"/>
        </w:rPr>
        <w:t>储业</w:t>
      </w:r>
      <w:r>
        <w:rPr>
          <w:rFonts w:ascii="SimSun" w:eastAsia="SimSun" w:hAnsi="SimSun" w:cs="SimSun"/>
          <w:sz w:val="14"/>
          <w:szCs w:val="14"/>
        </w:rPr>
        <w:t xml:space="preserve"> </w:t>
      </w:r>
      <w:r>
        <w:rPr>
          <w:rFonts w:ascii="SimSun" w:eastAsia="SimSun" w:hAnsi="SimSun" w:cs="SimSun"/>
          <w:b/>
          <w:bCs/>
          <w:spacing w:val="2"/>
          <w:position w:val="-3"/>
          <w:sz w:val="14"/>
          <w:szCs w:val="14"/>
        </w:rPr>
        <w:t>公用</w:t>
      </w:r>
      <w:r>
        <w:rPr>
          <w:rFonts w:ascii="SimSun" w:eastAsia="SimSun" w:hAnsi="SimSun" w:cs="SimSun"/>
          <w:spacing w:val="2"/>
          <w:position w:val="3"/>
          <w:sz w:val="14"/>
          <w:szCs w:val="14"/>
        </w:rPr>
        <w:t>事业</w:t>
      </w:r>
    </w:p>
    <w:p>
      <w:pPr>
        <w:spacing w:line="219" w:lineRule="auto"/>
        <w:ind w:left="2870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spacing w:val="-2"/>
          <w:sz w:val="14"/>
          <w:szCs w:val="14"/>
        </w:rPr>
        <w:t>信息业</w:t>
      </w:r>
    </w:p>
    <w:p>
      <w:pPr>
        <w:spacing w:before="15" w:line="205" w:lineRule="exact"/>
        <w:ind w:left="2860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spacing w:val="-3"/>
          <w:position w:val="1"/>
          <w:sz w:val="14"/>
          <w:szCs w:val="14"/>
        </w:rPr>
        <w:t>金融</w:t>
      </w:r>
      <w:r>
        <w:rPr>
          <w:rFonts w:ascii="SimSun" w:eastAsia="SimSun" w:hAnsi="SimSun" w:cs="SimSun"/>
          <w:spacing w:val="-32"/>
          <w:position w:val="1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-3"/>
          <w:position w:val="1"/>
          <w:sz w:val="14"/>
          <w:szCs w:val="14"/>
        </w:rPr>
        <w:t>和育</w:t>
      </w:r>
    </w:p>
    <w:p>
      <w:pPr>
        <w:spacing w:before="4" w:line="219" w:lineRule="auto"/>
        <w:ind w:left="3499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spacing w:val="-2"/>
          <w:sz w:val="14"/>
          <w:szCs w:val="14"/>
        </w:rPr>
        <w:t>业服务</w:t>
      </w:r>
    </w:p>
    <w:p>
      <w:pPr>
        <w:spacing w:before="14" w:line="228" w:lineRule="auto"/>
        <w:ind w:left="2860" w:right="85" w:firstLine="159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sz w:val="14"/>
          <w:szCs w:val="14"/>
        </w:rPr>
        <w:t>育和保健服务</w:t>
      </w:r>
      <w:r>
        <w:rPr>
          <w:rFonts w:ascii="SimSun" w:eastAsia="SimSun" w:hAnsi="SimSun" w:cs="SimSun"/>
          <w:spacing w:val="3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-1"/>
          <w:sz w:val="14"/>
          <w:szCs w:val="14"/>
        </w:rPr>
        <w:t>休闲和酒店业</w:t>
      </w:r>
    </w:p>
    <w:p>
      <w:pPr>
        <w:spacing w:before="4" w:line="219" w:lineRule="auto"/>
        <w:ind w:left="2860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spacing w:val="-1"/>
          <w:sz w:val="14"/>
          <w:szCs w:val="14"/>
        </w:rPr>
        <w:t>其他服务业</w:t>
      </w:r>
    </w:p>
    <w:p>
      <w:pPr>
        <w:spacing w:line="139" w:lineRule="auto"/>
        <w:rPr>
          <w:rFonts w:ascii="Arial"/>
          <w:sz w:val="2"/>
        </w:rPr>
      </w:pPr>
    </w:p>
    <w:tbl>
      <w:tblPr>
        <w:tblStyle w:val="TableNormal4"/>
        <w:tblW w:w="1059" w:type="dxa"/>
        <w:tblInd w:w="28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shd w:val="clear" w:color="auto" w:fill="F7CAAC"/>
        <w:tblLayout w:type="fixed"/>
      </w:tblPr>
      <w:tblGrid>
        <w:gridCol w:w="1059"/>
      </w:tblGrid>
      <w:tr>
        <w:tblPrEx>
          <w:tblW w:w="1059" w:type="dxa"/>
          <w:tblInd w:w="284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  <w:shd w:val="clear" w:color="auto" w:fill="F7CAAC"/>
          <w:tblLayout w:type="fixed"/>
        </w:tblPrEx>
        <w:trPr>
          <w:trHeight w:val="170"/>
        </w:trPr>
        <w:tc>
          <w:tcPr>
            <w:tcW w:w="1059" w:type="dxa"/>
            <w:shd w:val="clear" w:color="auto" w:fill="F7CAAC"/>
            <w:vAlign w:val="top"/>
          </w:tcPr>
          <w:p>
            <w:pPr>
              <w:spacing w:line="196" w:lineRule="auto"/>
              <w:ind w:left="15"/>
              <w:rPr>
                <w:rFonts w:ascii="SimSun" w:eastAsia="SimSun" w:hAnsi="SimSun" w:cs="SimSun"/>
                <w:sz w:val="15"/>
                <w:szCs w:val="15"/>
              </w:rPr>
            </w:pPr>
            <w:r>
              <w:rPr>
                <w:rFonts w:ascii="SimSun" w:eastAsia="SimSun" w:hAnsi="SimSun" w:cs="SimSun"/>
                <w:color w:val="752F00"/>
                <w:spacing w:val="-2"/>
                <w:sz w:val="15"/>
                <w:szCs w:val="15"/>
              </w:rPr>
              <w:t>政府</w:t>
            </w:r>
          </w:p>
        </w:tc>
      </w:tr>
    </w:tbl>
    <w:p>
      <w:pPr>
        <w:spacing w:before="20" w:line="221" w:lineRule="auto"/>
        <w:ind w:left="2850" w:right="535" w:firstLine="10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spacing w:val="-2"/>
          <w:sz w:val="14"/>
          <w:szCs w:val="14"/>
        </w:rPr>
        <w:t>联邦政府</w:t>
      </w:r>
      <w:r>
        <w:rPr>
          <w:rFonts w:ascii="SimSun" w:eastAsia="SimSun" w:hAnsi="SimSun" w:cs="SimSun"/>
          <w:sz w:val="14"/>
          <w:szCs w:val="14"/>
        </w:rPr>
        <w:t xml:space="preserve"> </w:t>
      </w:r>
      <w:r>
        <w:rPr>
          <w:rFonts w:ascii="SimSun" w:eastAsia="SimSun" w:hAnsi="SimSun" w:cs="SimSun"/>
          <w:spacing w:val="-2"/>
          <w:sz w:val="14"/>
          <w:szCs w:val="14"/>
        </w:rPr>
        <w:t>州政府</w:t>
      </w:r>
    </w:p>
    <w:p>
      <w:pPr>
        <w:spacing w:before="34" w:line="219" w:lineRule="auto"/>
        <w:ind w:left="2850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spacing w:val="-2"/>
          <w:sz w:val="14"/>
          <w:szCs w:val="14"/>
        </w:rPr>
        <w:t>地方政府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37" w:line="219" w:lineRule="auto"/>
        <w:ind w:left="272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b/>
          <w:bCs/>
          <w:spacing w:val="-3"/>
          <w:sz w:val="14"/>
          <w:szCs w:val="14"/>
        </w:rPr>
        <w:t>就业人教</w:t>
      </w:r>
    </w:p>
    <w:p>
      <w:pPr>
        <w:spacing w:line="71" w:lineRule="exact"/>
      </w:pPr>
    </w:p>
    <w:tbl>
      <w:tblPr>
        <w:tblStyle w:val="TableNormal4"/>
        <w:tblW w:w="132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666"/>
        <w:gridCol w:w="656"/>
      </w:tblGrid>
      <w:tr>
        <w:tblPrEx>
          <w:tblW w:w="1322" w:type="dxa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3817"/>
        </w:trPr>
        <w:tc>
          <w:tcPr>
            <w:tcW w:w="666" w:type="dxa"/>
            <w:vAlign w:val="top"/>
          </w:tcPr>
          <w:p>
            <w:pPr>
              <w:spacing w:line="183" w:lineRule="auto"/>
              <w:ind w:left="30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2"/>
                <w:sz w:val="14"/>
                <w:szCs w:val="14"/>
              </w:rPr>
              <w:t>2024-01</w:t>
            </w:r>
          </w:p>
          <w:p>
            <w:pPr>
              <w:spacing w:before="24" w:line="184" w:lineRule="auto"/>
              <w:ind w:left="10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2"/>
                <w:sz w:val="14"/>
                <w:szCs w:val="14"/>
              </w:rPr>
              <w:t>157,700</w:t>
            </w:r>
          </w:p>
          <w:p>
            <w:pPr>
              <w:spacing w:before="40" w:line="184" w:lineRule="auto"/>
              <w:ind w:left="50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1"/>
                <w:sz w:val="14"/>
                <w:szCs w:val="14"/>
              </w:rPr>
              <w:t>21,751</w:t>
            </w:r>
          </w:p>
          <w:p>
            <w:pPr>
              <w:spacing w:before="67" w:line="183" w:lineRule="auto"/>
              <w:ind w:left="220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2"/>
                <w:sz w:val="14"/>
                <w:szCs w:val="14"/>
              </w:rPr>
              <w:t>635</w:t>
            </w:r>
          </w:p>
          <w:p>
            <w:pPr>
              <w:spacing w:before="4" w:line="184" w:lineRule="auto"/>
              <w:ind w:left="100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1"/>
                <w:sz w:val="14"/>
                <w:szCs w:val="14"/>
              </w:rPr>
              <w:t>8,137</w:t>
            </w:r>
          </w:p>
          <w:p>
            <w:pPr>
              <w:spacing w:before="97" w:line="229" w:lineRule="auto"/>
              <w:ind w:left="80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3"/>
                <w:sz w:val="14"/>
                <w:szCs w:val="14"/>
              </w:rPr>
              <w:t>12.979</w:t>
            </w:r>
          </w:p>
          <w:p>
            <w:pPr>
              <w:spacing w:line="183" w:lineRule="auto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2"/>
                <w:sz w:val="14"/>
                <w:szCs w:val="14"/>
              </w:rPr>
              <w:t>112,858</w:t>
            </w:r>
          </w:p>
          <w:p>
            <w:pPr>
              <w:spacing w:before="30" w:line="184" w:lineRule="auto"/>
              <w:ind w:left="120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2"/>
                <w:sz w:val="14"/>
                <w:szCs w:val="14"/>
              </w:rPr>
              <w:t>6,165</w:t>
            </w:r>
          </w:p>
          <w:p>
            <w:pPr>
              <w:spacing w:before="37" w:line="184" w:lineRule="auto"/>
              <w:ind w:left="40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3"/>
                <w:sz w:val="14"/>
                <w:szCs w:val="14"/>
              </w:rPr>
              <w:t>15.659</w:t>
            </w:r>
          </w:p>
          <w:p>
            <w:pPr>
              <w:spacing w:before="82" w:line="237" w:lineRule="auto"/>
              <w:ind w:left="120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2"/>
                <w:sz w:val="14"/>
                <w:szCs w:val="14"/>
              </w:rPr>
              <w:t>6.556</w:t>
            </w:r>
          </w:p>
          <w:p>
            <w:pPr>
              <w:spacing w:line="183" w:lineRule="auto"/>
              <w:ind w:left="220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2"/>
                <w:sz w:val="14"/>
                <w:szCs w:val="14"/>
              </w:rPr>
              <w:t>586</w:t>
            </w:r>
          </w:p>
          <w:p>
            <w:pPr>
              <w:spacing w:before="15" w:line="183" w:lineRule="auto"/>
              <w:ind w:left="120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2"/>
                <w:sz w:val="14"/>
                <w:szCs w:val="14"/>
              </w:rPr>
              <w:t>3,032</w:t>
            </w:r>
          </w:p>
          <w:p>
            <w:pPr>
              <w:spacing w:before="71" w:line="190" w:lineRule="exact"/>
              <w:ind w:left="140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1"/>
                <w:position w:val="5"/>
                <w:sz w:val="14"/>
                <w:szCs w:val="14"/>
              </w:rPr>
              <w:t>9,248</w:t>
            </w:r>
          </w:p>
          <w:p>
            <w:pPr>
              <w:spacing w:before="1" w:line="182" w:lineRule="auto"/>
              <w:ind w:left="50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1"/>
                <w:sz w:val="14"/>
                <w:szCs w:val="14"/>
              </w:rPr>
              <w:t>22,978</w:t>
            </w:r>
          </w:p>
          <w:p>
            <w:pPr>
              <w:spacing w:before="51" w:line="183" w:lineRule="auto"/>
              <w:ind w:left="50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1"/>
                <w:sz w:val="14"/>
                <w:szCs w:val="14"/>
              </w:rPr>
              <w:t>25,943</w:t>
            </w:r>
          </w:p>
          <w:p>
            <w:pPr>
              <w:spacing w:before="7" w:line="184" w:lineRule="auto"/>
              <w:ind w:left="40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3"/>
                <w:sz w:val="14"/>
                <w:szCs w:val="14"/>
              </w:rPr>
              <w:t>16.824</w:t>
            </w:r>
          </w:p>
          <w:p>
            <w:pPr>
              <w:spacing w:before="91" w:line="215" w:lineRule="auto"/>
              <w:ind w:left="110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2"/>
                <w:sz w:val="14"/>
                <w:szCs w:val="14"/>
              </w:rPr>
              <w:t>5.868</w:t>
            </w:r>
          </w:p>
          <w:p>
            <w:pPr>
              <w:spacing w:before="1" w:line="183" w:lineRule="auto"/>
              <w:ind w:left="70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1"/>
                <w:sz w:val="14"/>
                <w:szCs w:val="14"/>
              </w:rPr>
              <w:t>23,091</w:t>
            </w:r>
          </w:p>
          <w:p>
            <w:pPr>
              <w:spacing w:before="67" w:line="183" w:lineRule="auto"/>
              <w:ind w:left="120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2"/>
                <w:sz w:val="14"/>
                <w:szCs w:val="14"/>
              </w:rPr>
              <w:t>2968</w:t>
            </w:r>
          </w:p>
          <w:p>
            <w:pPr>
              <w:spacing w:before="35"/>
              <w:ind w:left="120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2"/>
                <w:sz w:val="14"/>
                <w:szCs w:val="14"/>
              </w:rPr>
              <w:t>5,408</w:t>
            </w:r>
          </w:p>
          <w:p>
            <w:pPr>
              <w:spacing w:line="111" w:lineRule="exact"/>
              <w:ind w:left="80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3"/>
                <w:position w:val="-1"/>
                <w:sz w:val="14"/>
                <w:szCs w:val="14"/>
              </w:rPr>
              <w:t>14,715</w:t>
            </w:r>
          </w:p>
        </w:tc>
        <w:tc>
          <w:tcPr>
            <w:tcW w:w="656" w:type="dxa"/>
            <w:vAlign w:val="top"/>
          </w:tcPr>
          <w:p>
            <w:pPr>
              <w:spacing w:line="206" w:lineRule="auto"/>
              <w:ind w:left="164" w:firstLine="9"/>
              <w:jc w:val="both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2"/>
                <w:sz w:val="14"/>
                <w:szCs w:val="14"/>
              </w:rPr>
              <w:t>2023-12</w:t>
            </w:r>
            <w:r>
              <w:rPr>
                <w:rFonts w:ascii="SimSun" w:eastAsia="SimSun" w:hAnsi="SimSun" w:cs="SimSun"/>
                <w:spacing w:val="5"/>
                <w:sz w:val="14"/>
                <w:szCs w:val="14"/>
              </w:rPr>
              <w:t xml:space="preserve"> </w:t>
            </w:r>
            <w:r>
              <w:rPr>
                <w:rFonts w:ascii="SimSun" w:eastAsia="SimSun" w:hAnsi="SimSun" w:cs="SimSun"/>
                <w:spacing w:val="-3"/>
                <w:sz w:val="14"/>
                <w:szCs w:val="14"/>
              </w:rPr>
              <w:t>157,347</w:t>
            </w:r>
            <w:r>
              <w:rPr>
                <w:rFonts w:ascii="SimSun" w:eastAsia="SimSun" w:hAnsi="SimSun" w:cs="SimSun"/>
                <w:spacing w:val="3"/>
                <w:sz w:val="14"/>
                <w:szCs w:val="14"/>
              </w:rPr>
              <w:t xml:space="preserve"> </w:t>
            </w:r>
            <w:r>
              <w:rPr>
                <w:rFonts w:ascii="SimSun" w:eastAsia="SimSun" w:hAnsi="SimSun" w:cs="SimSun"/>
                <w:spacing w:val="2"/>
                <w:sz w:val="14"/>
                <w:szCs w:val="14"/>
              </w:rPr>
              <w:t>21.723</w:t>
            </w:r>
          </w:p>
          <w:p>
            <w:pPr>
              <w:spacing w:before="80" w:line="184" w:lineRule="auto"/>
              <w:ind w:left="364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2"/>
                <w:sz w:val="14"/>
                <w:szCs w:val="14"/>
              </w:rPr>
              <w:t>641</w:t>
            </w:r>
          </w:p>
          <w:p>
            <w:pPr>
              <w:spacing w:before="44" w:line="184" w:lineRule="auto"/>
              <w:ind w:left="284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1"/>
                <w:sz w:val="14"/>
                <w:szCs w:val="14"/>
              </w:rPr>
              <w:t>8,126</w:t>
            </w:r>
          </w:p>
          <w:p>
            <w:pPr>
              <w:spacing w:before="40" w:line="184" w:lineRule="auto"/>
              <w:ind w:left="224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3"/>
                <w:sz w:val="14"/>
                <w:szCs w:val="14"/>
              </w:rPr>
              <w:t>12,956</w:t>
            </w:r>
          </w:p>
          <w:p>
            <w:pPr>
              <w:spacing w:before="50" w:line="184" w:lineRule="auto"/>
              <w:ind w:left="154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2"/>
                <w:sz w:val="14"/>
                <w:szCs w:val="14"/>
              </w:rPr>
              <w:t>112,569</w:t>
            </w:r>
          </w:p>
          <w:p>
            <w:pPr>
              <w:spacing w:before="30" w:line="184" w:lineRule="auto"/>
              <w:ind w:left="284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2"/>
                <w:sz w:val="14"/>
                <w:szCs w:val="14"/>
              </w:rPr>
              <w:t>6,163</w:t>
            </w:r>
          </w:p>
          <w:p>
            <w:pPr>
              <w:spacing w:before="61" w:line="184" w:lineRule="auto"/>
              <w:ind w:right="5"/>
              <w:jc w:val="right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3"/>
                <w:sz w:val="14"/>
                <w:szCs w:val="14"/>
              </w:rPr>
              <w:t>15,614</w:t>
            </w:r>
          </w:p>
          <w:p>
            <w:pPr>
              <w:spacing w:before="57" w:line="184" w:lineRule="auto"/>
              <w:ind w:left="284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2"/>
                <w:sz w:val="14"/>
                <w:szCs w:val="14"/>
              </w:rPr>
              <w:t>6.541</w:t>
            </w:r>
          </w:p>
          <w:p>
            <w:pPr>
              <w:spacing w:before="41" w:line="183" w:lineRule="auto"/>
              <w:ind w:left="364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2"/>
                <w:sz w:val="14"/>
                <w:szCs w:val="14"/>
              </w:rPr>
              <w:t>584</w:t>
            </w:r>
          </w:p>
          <w:p>
            <w:pPr>
              <w:spacing w:before="20" w:line="184" w:lineRule="auto"/>
              <w:ind w:left="274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2"/>
                <w:sz w:val="14"/>
                <w:szCs w:val="14"/>
              </w:rPr>
              <w:t>3.017</w:t>
            </w:r>
          </w:p>
          <w:p>
            <w:pPr>
              <w:spacing w:before="65" w:line="183" w:lineRule="auto"/>
              <w:ind w:left="284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1"/>
                <w:sz w:val="14"/>
                <w:szCs w:val="14"/>
              </w:rPr>
              <w:t>9,240</w:t>
            </w:r>
          </w:p>
          <w:p>
            <w:pPr>
              <w:spacing w:before="51" w:line="183" w:lineRule="auto"/>
              <w:ind w:right="17"/>
              <w:jc w:val="right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1"/>
                <w:sz w:val="14"/>
                <w:szCs w:val="14"/>
              </w:rPr>
              <w:t>22,904</w:t>
            </w:r>
          </w:p>
          <w:p>
            <w:pPr>
              <w:spacing w:before="51" w:line="184" w:lineRule="auto"/>
              <w:jc w:val="right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2"/>
                <w:sz w:val="14"/>
                <w:szCs w:val="14"/>
              </w:rPr>
              <w:t>25,831</w:t>
            </w:r>
          </w:p>
          <w:p>
            <w:pPr>
              <w:spacing w:before="30" w:line="184" w:lineRule="auto"/>
              <w:ind w:right="5"/>
              <w:jc w:val="right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3"/>
                <w:sz w:val="14"/>
                <w:szCs w:val="14"/>
              </w:rPr>
              <w:t>16,813</w:t>
            </w:r>
          </w:p>
          <w:p>
            <w:pPr>
              <w:spacing w:before="51" w:line="183" w:lineRule="auto"/>
              <w:ind w:left="284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2"/>
                <w:sz w:val="14"/>
                <w:szCs w:val="14"/>
              </w:rPr>
              <w:t>5,863</w:t>
            </w:r>
          </w:p>
          <w:p>
            <w:pPr>
              <w:spacing w:before="42" w:line="183" w:lineRule="auto"/>
              <w:ind w:right="17"/>
              <w:jc w:val="right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1"/>
                <w:sz w:val="14"/>
                <w:szCs w:val="14"/>
              </w:rPr>
              <w:t>23,055</w:t>
            </w:r>
          </w:p>
          <w:p>
            <w:pPr>
              <w:spacing w:before="11" w:line="183" w:lineRule="auto"/>
              <w:ind w:left="254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2"/>
                <w:sz w:val="14"/>
                <w:szCs w:val="14"/>
              </w:rPr>
              <w:t>2,957</w:t>
            </w:r>
          </w:p>
          <w:p>
            <w:pPr>
              <w:spacing w:before="91" w:line="183" w:lineRule="auto"/>
              <w:ind w:left="284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2"/>
                <w:sz w:val="14"/>
                <w:szCs w:val="14"/>
              </w:rPr>
              <w:t>5,398</w:t>
            </w:r>
          </w:p>
          <w:p>
            <w:pPr>
              <w:spacing w:before="51" w:line="103" w:lineRule="exact"/>
              <w:ind w:right="5"/>
              <w:jc w:val="right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3"/>
                <w:position w:val="-1"/>
                <w:sz w:val="14"/>
                <w:szCs w:val="14"/>
              </w:rPr>
              <w:t>14,700</w:t>
            </w: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27" w:line="220" w:lineRule="auto"/>
        <w:ind w:left="152"/>
        <w:rPr>
          <w:rFonts w:ascii="SimSun" w:eastAsia="SimSun" w:hAnsi="SimSun" w:cs="SimSun"/>
          <w:sz w:val="14"/>
          <w:szCs w:val="14"/>
        </w:rPr>
      </w:pPr>
      <w:r>
        <w:pict>
          <v:shape id="_x0000_s1044" type="#_x0000_t202" style="width:26.15pt;height:9pt;margin-top:3.15pt;margin-left:134.6pt;position:absolute;z-index:251687936" filled="f" stroked="f">
            <o:lock v:ext="edit" aspectratio="f"/>
            <v:textbox inset="0,0,0,0">
              <w:txbxContent>
                <w:p>
                  <w:pPr>
                    <w:spacing w:before="19" w:line="184" w:lineRule="auto"/>
                    <w:ind w:left="20"/>
                    <w:rPr>
                      <w:rFonts w:ascii="SimSun" w:eastAsia="SimSun" w:hAnsi="SimSun" w:cs="SimSun"/>
                      <w:sz w:val="14"/>
                      <w:szCs w:val="14"/>
                    </w:rPr>
                  </w:pPr>
                  <w:r>
                    <w:rPr>
                      <w:rFonts w:ascii="SimSun" w:eastAsia="SimSun" w:hAnsi="SimSun" w:cs="SimSun"/>
                      <w:b/>
                      <w:bCs/>
                      <w:spacing w:val="-3"/>
                      <w:sz w:val="14"/>
                      <w:szCs w:val="14"/>
                    </w:rPr>
                    <w:t>2024-01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b/>
          <w:bCs/>
          <w:spacing w:val="-3"/>
          <w:sz w:val="14"/>
          <w:szCs w:val="14"/>
        </w:rPr>
        <w:t>就业新增</w:t>
      </w:r>
    </w:p>
    <w:p>
      <w:pPr>
        <w:spacing w:before="23" w:line="186" w:lineRule="auto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spacing w:val="-1"/>
          <w:position w:val="-2"/>
          <w:sz w:val="14"/>
          <w:szCs w:val="14"/>
        </w:rPr>
        <w:t>2024-01</w:t>
      </w:r>
      <w:r>
        <w:rPr>
          <w:rFonts w:ascii="SimSun" w:eastAsia="SimSun" w:hAnsi="SimSun" w:cs="SimSun"/>
          <w:spacing w:val="10"/>
          <w:position w:val="-2"/>
          <w:sz w:val="14"/>
          <w:szCs w:val="14"/>
        </w:rPr>
        <w:t xml:space="preserve">    </w:t>
      </w:r>
      <w:r>
        <w:rPr>
          <w:rFonts w:ascii="SimSun" w:eastAsia="SimSun" w:hAnsi="SimSun" w:cs="SimSun"/>
          <w:spacing w:val="-1"/>
          <w:sz w:val="14"/>
          <w:szCs w:val="14"/>
        </w:rPr>
        <w:t>2023-12就业新增  环比增加 权重</w:t>
      </w:r>
      <w:r>
        <w:rPr>
          <w:rFonts w:ascii="SimSun" w:eastAsia="SimSun" w:hAnsi="SimSun" w:cs="SimSun"/>
          <w:spacing w:val="1"/>
          <w:sz w:val="14"/>
          <w:szCs w:val="14"/>
        </w:rPr>
        <w:t xml:space="preserve">             </w:t>
      </w:r>
      <w:r>
        <w:rPr>
          <w:rFonts w:ascii="SimSun" w:eastAsia="SimSun" w:hAnsi="SimSun" w:cs="SimSun"/>
          <w:b/>
          <w:bCs/>
          <w:spacing w:val="-1"/>
          <w:sz w:val="14"/>
          <w:szCs w:val="14"/>
        </w:rPr>
        <w:t>贡献率</w:t>
      </w:r>
    </w:p>
    <w:tbl>
      <w:tblPr>
        <w:tblStyle w:val="TableNormal4"/>
        <w:tblW w:w="3270" w:type="dxa"/>
        <w:tblInd w:w="13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991"/>
        <w:gridCol w:w="809"/>
        <w:gridCol w:w="677"/>
        <w:gridCol w:w="793"/>
      </w:tblGrid>
      <w:tr>
        <w:tblPrEx>
          <w:tblW w:w="3270" w:type="dxa"/>
          <w:tblInd w:w="132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165"/>
        </w:trPr>
        <w:tc>
          <w:tcPr>
            <w:tcW w:w="2477" w:type="dxa"/>
            <w:gridSpan w:val="3"/>
            <w:vAlign w:val="top"/>
          </w:tcPr>
          <w:p>
            <w:pPr>
              <w:spacing w:before="37" w:line="118" w:lineRule="exact"/>
              <w:ind w:left="497"/>
              <w:rPr>
                <w:rFonts w:ascii="SimSun" w:eastAsia="SimSun" w:hAnsi="SimSun" w:cs="SimSun"/>
                <w:sz w:val="15"/>
                <w:szCs w:val="15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position w:val="-2"/>
                <w:sz w:val="15"/>
                <w:szCs w:val="15"/>
              </w:rPr>
              <w:t>353</w:t>
            </w:r>
            <w:r>
              <w:rPr>
                <w:rFonts w:ascii="SimSun" w:eastAsia="SimSun" w:hAnsi="SimSun" w:cs="SimSun"/>
                <w:spacing w:val="-4"/>
                <w:position w:val="-2"/>
                <w:sz w:val="15"/>
                <w:szCs w:val="15"/>
              </w:rPr>
              <w:t xml:space="preserve">       </w:t>
            </w:r>
            <w:r>
              <w:rPr>
                <w:rFonts w:ascii="SimSun" w:eastAsia="SimSun" w:hAnsi="SimSun" w:cs="SimSun"/>
                <w:b/>
                <w:bCs/>
                <w:color w:val="A50005"/>
                <w:spacing w:val="-4"/>
                <w:position w:val="-1"/>
                <w:sz w:val="15"/>
                <w:szCs w:val="15"/>
              </w:rPr>
              <w:t>022%</w:t>
            </w:r>
            <w:r>
              <w:rPr>
                <w:rFonts w:ascii="SimSun" w:eastAsia="SimSun" w:hAnsi="SimSun" w:cs="SimSun"/>
                <w:color w:val="A50005"/>
                <w:spacing w:val="5"/>
                <w:position w:val="-1"/>
                <w:sz w:val="15"/>
                <w:szCs w:val="15"/>
              </w:rPr>
              <w:t xml:space="preserve">     </w:t>
            </w:r>
            <w:r>
              <w:rPr>
                <w:rFonts w:ascii="SimSun" w:eastAsia="SimSun" w:hAnsi="SimSun" w:cs="SimSun"/>
                <w:b/>
                <w:bCs/>
                <w:spacing w:val="-4"/>
                <w:position w:val="-1"/>
                <w:sz w:val="15"/>
                <w:szCs w:val="15"/>
              </w:rPr>
              <w:t>100.00%</w:t>
            </w:r>
          </w:p>
        </w:tc>
        <w:tc>
          <w:tcPr>
            <w:tcW w:w="793" w:type="dxa"/>
            <w:shd w:val="clear" w:color="auto" w:fill="FF2E2E"/>
            <w:vAlign w:val="top"/>
          </w:tcPr>
          <w:p>
            <w:pPr>
              <w:spacing w:before="57" w:line="98" w:lineRule="exact"/>
              <w:ind w:right="9"/>
              <w:jc w:val="right"/>
              <w:rPr>
                <w:rFonts w:ascii="SimSun" w:eastAsia="SimSun" w:hAnsi="SimSun" w:cs="SimSun"/>
                <w:sz w:val="15"/>
                <w:szCs w:val="15"/>
              </w:rPr>
            </w:pPr>
            <w:r>
              <w:rPr>
                <w:rFonts w:ascii="SimSun" w:eastAsia="SimSun" w:hAnsi="SimSun" w:cs="SimSun"/>
                <w:color w:val="680007"/>
                <w:spacing w:val="-3"/>
                <w:position w:val="-2"/>
                <w:sz w:val="15"/>
                <w:szCs w:val="15"/>
              </w:rPr>
              <w:t>1</w:t>
            </w:r>
            <w:r>
              <w:rPr>
                <w:rFonts w:ascii="SimSun" w:eastAsia="SimSun" w:hAnsi="SimSun" w:cs="SimSun"/>
                <w:b/>
                <w:bCs/>
                <w:color w:val="680007"/>
                <w:spacing w:val="-3"/>
                <w:position w:val="-2"/>
                <w:sz w:val="15"/>
                <w:szCs w:val="15"/>
              </w:rPr>
              <w:t>00.00%</w:t>
            </w:r>
          </w:p>
        </w:tc>
      </w:tr>
      <w:tr>
        <w:tblPrEx>
          <w:tblW w:w="3270" w:type="dxa"/>
          <w:tblInd w:w="1329" w:type="dxa"/>
          <w:tblLayout w:type="fixed"/>
        </w:tblPrEx>
        <w:trPr>
          <w:trHeight w:val="907"/>
        </w:trPr>
        <w:tc>
          <w:tcPr>
            <w:tcW w:w="2477" w:type="dxa"/>
            <w:gridSpan w:val="3"/>
            <w:vAlign w:val="top"/>
          </w:tcPr>
          <w:p>
            <w:pPr>
              <w:spacing w:line="77" w:lineRule="exact"/>
            </w:pPr>
          </w:p>
          <w:tbl>
            <w:tblPr>
              <w:tblStyle w:val="TableNormal4"/>
              <w:tblW w:w="1893" w:type="dxa"/>
              <w:tblInd w:w="524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</w:tblPr>
            <w:tblGrid>
              <w:gridCol w:w="456"/>
              <w:gridCol w:w="810"/>
              <w:gridCol w:w="627"/>
            </w:tblGrid>
            <w:tr>
              <w:tblPrEx>
                <w:tblW w:w="1893" w:type="dxa"/>
                <w:tblInd w:w="524" w:type="dxa"/>
                <w:tblBorders>
                  <w:top w:val="nil"/>
                  <w:left w:val="nil"/>
                  <w:bottom w:val="nil"/>
                  <w:right w:val="nil"/>
                  <w:insideH w:val="nil"/>
                  <w:insideV w:val="nil"/>
                </w:tblBorders>
                <w:tblLayout w:type="fixed"/>
              </w:tblPrEx>
              <w:trPr>
                <w:trHeight w:val="158"/>
              </w:trPr>
              <w:tc>
                <w:tcPr>
                  <w:tcW w:w="456" w:type="dxa"/>
                  <w:vAlign w:val="top"/>
                </w:tcPr>
                <w:p>
                  <w:pPr>
                    <w:spacing w:before="27" w:line="121" w:lineRule="exact"/>
                    <w:ind w:left="70"/>
                    <w:rPr>
                      <w:rFonts w:ascii="SimSun" w:eastAsia="SimSun" w:hAnsi="SimSun" w:cs="SimSun"/>
                      <w:sz w:val="15"/>
                      <w:szCs w:val="15"/>
                    </w:rPr>
                  </w:pPr>
                  <w:r>
                    <w:rPr>
                      <w:rFonts w:ascii="SimSun" w:eastAsia="SimSun" w:hAnsi="SimSun" w:cs="SimSun"/>
                      <w:spacing w:val="-2"/>
                      <w:position w:val="-2"/>
                      <w:sz w:val="15"/>
                      <w:szCs w:val="15"/>
                    </w:rPr>
                    <w:t>28</w:t>
                  </w:r>
                </w:p>
              </w:tc>
              <w:tc>
                <w:tcPr>
                  <w:tcW w:w="810" w:type="dxa"/>
                  <w:vAlign w:val="top"/>
                </w:tcPr>
                <w:p>
                  <w:pPr>
                    <w:spacing w:line="170" w:lineRule="auto"/>
                    <w:ind w:left="244"/>
                    <w:rPr>
                      <w:rFonts w:ascii="SimSun" w:eastAsia="SimSun" w:hAnsi="SimSun" w:cs="SimSun"/>
                      <w:sz w:val="16"/>
                      <w:szCs w:val="16"/>
                    </w:rPr>
                  </w:pPr>
                  <w:r>
                    <w:rPr>
                      <w:rFonts w:ascii="SimSun" w:eastAsia="SimSun" w:hAnsi="SimSun" w:cs="SimSun"/>
                      <w:color w:val="A00005"/>
                      <w:spacing w:val="-2"/>
                      <w:sz w:val="16"/>
                      <w:szCs w:val="16"/>
                    </w:rPr>
                    <w:t>013%</w:t>
                  </w:r>
                </w:p>
              </w:tc>
              <w:tc>
                <w:tcPr>
                  <w:tcW w:w="627" w:type="dxa"/>
                  <w:vAlign w:val="top"/>
                </w:tcPr>
                <w:p>
                  <w:pPr>
                    <w:spacing w:before="17" w:line="161" w:lineRule="auto"/>
                    <w:jc w:val="right"/>
                    <w:rPr>
                      <w:rFonts w:ascii="SimSun" w:eastAsia="SimSun" w:hAnsi="SimSun" w:cs="SimSun"/>
                      <w:sz w:val="15"/>
                      <w:szCs w:val="15"/>
                    </w:rPr>
                  </w:pPr>
                  <w:r>
                    <w:rPr>
                      <w:rFonts w:ascii="SimSun" w:eastAsia="SimSun" w:hAnsi="SimSun" w:cs="SimSun"/>
                      <w:spacing w:val="-3"/>
                      <w:sz w:val="15"/>
                      <w:szCs w:val="15"/>
                    </w:rPr>
                    <w:t>13.79%</w:t>
                  </w:r>
                </w:p>
              </w:tc>
            </w:tr>
            <w:tr>
              <w:tblPrEx>
                <w:tblW w:w="1893" w:type="dxa"/>
                <w:tblInd w:w="524" w:type="dxa"/>
                <w:tblLayout w:type="fixed"/>
              </w:tblPrEx>
              <w:trPr>
                <w:trHeight w:val="181"/>
              </w:trPr>
              <w:tc>
                <w:tcPr>
                  <w:tcW w:w="456" w:type="dxa"/>
                  <w:vAlign w:val="top"/>
                </w:tcPr>
                <w:p>
                  <w:pPr>
                    <w:spacing w:before="49" w:line="121" w:lineRule="exact"/>
                    <w:ind w:left="110"/>
                    <w:rPr>
                      <w:rFonts w:ascii="SimSun" w:eastAsia="SimSun" w:hAnsi="SimSun" w:cs="SimSun"/>
                      <w:sz w:val="15"/>
                      <w:szCs w:val="15"/>
                    </w:rPr>
                  </w:pPr>
                  <w:r>
                    <w:rPr>
                      <w:rFonts w:ascii="SimSun" w:eastAsia="SimSun" w:hAnsi="SimSun" w:cs="SimSun"/>
                      <w:position w:val="-2"/>
                      <w:sz w:val="15"/>
                      <w:szCs w:val="15"/>
                    </w:rPr>
                    <w:t>6</w:t>
                  </w:r>
                </w:p>
              </w:tc>
              <w:tc>
                <w:tcPr>
                  <w:tcW w:w="810" w:type="dxa"/>
                  <w:vAlign w:val="top"/>
                </w:tcPr>
                <w:p>
                  <w:pPr>
                    <w:spacing w:before="32" w:line="160" w:lineRule="auto"/>
                    <w:ind w:left="244"/>
                    <w:rPr>
                      <w:rFonts w:ascii="SimSun" w:eastAsia="SimSun" w:hAnsi="SimSun" w:cs="SimSun"/>
                      <w:sz w:val="16"/>
                      <w:szCs w:val="16"/>
                    </w:rPr>
                  </w:pPr>
                  <w:r>
                    <w:rPr>
                      <w:rFonts w:ascii="SimSun" w:eastAsia="SimSun" w:hAnsi="SimSun" w:cs="SimSun"/>
                      <w:color w:val="A90000"/>
                      <w:spacing w:val="-2"/>
                      <w:sz w:val="16"/>
                      <w:szCs w:val="16"/>
                    </w:rPr>
                    <w:t>94%</w:t>
                  </w:r>
                </w:p>
              </w:tc>
              <w:tc>
                <w:tcPr>
                  <w:tcW w:w="627" w:type="dxa"/>
                  <w:vAlign w:val="top"/>
                </w:tcPr>
                <w:p>
                  <w:pPr>
                    <w:spacing w:before="49" w:line="121" w:lineRule="exact"/>
                    <w:ind w:left="234"/>
                    <w:rPr>
                      <w:rFonts w:ascii="SimSun" w:eastAsia="SimSun" w:hAnsi="SimSun" w:cs="SimSun"/>
                      <w:sz w:val="15"/>
                      <w:szCs w:val="15"/>
                    </w:rPr>
                  </w:pPr>
                  <w:r>
                    <w:rPr>
                      <w:rFonts w:ascii="SimSun" w:eastAsia="SimSun" w:hAnsi="SimSun" w:cs="SimSun"/>
                      <w:spacing w:val="-2"/>
                      <w:position w:val="-2"/>
                      <w:sz w:val="15"/>
                      <w:szCs w:val="15"/>
                    </w:rPr>
                    <w:t>0.40%</w:t>
                  </w:r>
                </w:p>
              </w:tc>
            </w:tr>
            <w:tr>
              <w:tblPrEx>
                <w:tblW w:w="1893" w:type="dxa"/>
                <w:tblInd w:w="524" w:type="dxa"/>
                <w:tblLayout w:type="fixed"/>
              </w:tblPrEx>
              <w:trPr>
                <w:trHeight w:val="178"/>
              </w:trPr>
              <w:tc>
                <w:tcPr>
                  <w:tcW w:w="456" w:type="dxa"/>
                  <w:vAlign w:val="top"/>
                </w:tcPr>
                <w:p>
                  <w:pPr>
                    <w:spacing w:before="57" w:line="111" w:lineRule="exact"/>
                    <w:ind w:left="90"/>
                    <w:rPr>
                      <w:rFonts w:ascii="SimSun" w:eastAsia="SimSun" w:hAnsi="SimSun" w:cs="SimSun"/>
                      <w:sz w:val="15"/>
                      <w:szCs w:val="15"/>
                    </w:rPr>
                  </w:pPr>
                  <w:r>
                    <w:rPr>
                      <w:rFonts w:ascii="SimSun" w:eastAsia="SimSun" w:hAnsi="SimSun" w:cs="SimSun"/>
                      <w:spacing w:val="-5"/>
                      <w:position w:val="-2"/>
                      <w:sz w:val="15"/>
                      <w:szCs w:val="15"/>
                    </w:rPr>
                    <w:t>11</w:t>
                  </w:r>
                </w:p>
              </w:tc>
              <w:tc>
                <w:tcPr>
                  <w:tcW w:w="810" w:type="dxa"/>
                  <w:vAlign w:val="top"/>
                </w:tcPr>
                <w:p>
                  <w:pPr>
                    <w:spacing w:before="40" w:line="128" w:lineRule="exact"/>
                    <w:ind w:left="234"/>
                    <w:rPr>
                      <w:rFonts w:ascii="SimSun" w:eastAsia="SimSun" w:hAnsi="SimSun" w:cs="SimSun"/>
                      <w:sz w:val="16"/>
                      <w:szCs w:val="16"/>
                    </w:rPr>
                  </w:pPr>
                  <w:r>
                    <w:rPr>
                      <w:rFonts w:ascii="SimSun" w:eastAsia="SimSun" w:hAnsi="SimSun" w:cs="SimSun"/>
                      <w:color w:val="B30000"/>
                      <w:spacing w:val="-2"/>
                      <w:position w:val="-2"/>
                      <w:sz w:val="16"/>
                      <w:szCs w:val="16"/>
                    </w:rPr>
                    <w:t>014%I</w:t>
                  </w:r>
                </w:p>
              </w:tc>
              <w:tc>
                <w:tcPr>
                  <w:tcW w:w="627" w:type="dxa"/>
                  <w:vAlign w:val="top"/>
                </w:tcPr>
                <w:p>
                  <w:pPr>
                    <w:spacing w:before="38" w:line="160" w:lineRule="auto"/>
                    <w:ind w:right="6"/>
                    <w:jc w:val="right"/>
                    <w:rPr>
                      <w:rFonts w:ascii="SimSun" w:eastAsia="SimSun" w:hAnsi="SimSun" w:cs="SimSun"/>
                      <w:sz w:val="15"/>
                      <w:szCs w:val="15"/>
                    </w:rPr>
                  </w:pPr>
                  <w:r>
                    <w:rPr>
                      <w:rFonts w:ascii="SimSun" w:eastAsia="SimSun" w:hAnsi="SimSun" w:cs="SimSun"/>
                      <w:spacing w:val="-2"/>
                      <w:sz w:val="15"/>
                      <w:szCs w:val="15"/>
                    </w:rPr>
                    <w:t>5.16%</w:t>
                  </w:r>
                </w:p>
              </w:tc>
            </w:tr>
            <w:tr>
              <w:tblPrEx>
                <w:tblW w:w="1893" w:type="dxa"/>
                <w:tblInd w:w="524" w:type="dxa"/>
                <w:tblLayout w:type="fixed"/>
              </w:tblPrEx>
              <w:trPr>
                <w:trHeight w:val="159"/>
              </w:trPr>
              <w:tc>
                <w:tcPr>
                  <w:tcW w:w="456" w:type="dxa"/>
                  <w:vAlign w:val="top"/>
                </w:tcPr>
                <w:p>
                  <w:pPr>
                    <w:spacing w:before="54" w:line="95" w:lineRule="exact"/>
                    <w:ind w:left="70"/>
                    <w:rPr>
                      <w:rFonts w:ascii="SimSun" w:eastAsia="SimSun" w:hAnsi="SimSun" w:cs="SimSun"/>
                      <w:sz w:val="13"/>
                      <w:szCs w:val="13"/>
                    </w:rPr>
                  </w:pPr>
                  <w:r>
                    <w:rPr>
                      <w:rFonts w:ascii="SimSun" w:eastAsia="SimSun" w:hAnsi="SimSun" w:cs="SimSun"/>
                      <w:spacing w:val="-2"/>
                      <w:position w:val="-2"/>
                      <w:sz w:val="13"/>
                      <w:szCs w:val="13"/>
                    </w:rPr>
                    <w:t>23</w:t>
                  </w:r>
                </w:p>
              </w:tc>
              <w:tc>
                <w:tcPr>
                  <w:tcW w:w="810" w:type="dxa"/>
                  <w:vAlign w:val="top"/>
                </w:tcPr>
                <w:p>
                  <w:pPr>
                    <w:spacing w:before="32" w:line="117" w:lineRule="exact"/>
                    <w:ind w:left="244"/>
                    <w:rPr>
                      <w:rFonts w:ascii="SimSun" w:eastAsia="SimSun" w:hAnsi="SimSun" w:cs="SimSun"/>
                      <w:sz w:val="16"/>
                      <w:szCs w:val="16"/>
                    </w:rPr>
                  </w:pPr>
                  <w:r>
                    <w:rPr>
                      <w:rFonts w:ascii="SimSun" w:eastAsia="SimSun" w:hAnsi="SimSun" w:cs="SimSun"/>
                      <w:color w:val="BE0006"/>
                      <w:spacing w:val="-2"/>
                      <w:position w:val="-2"/>
                      <w:sz w:val="16"/>
                      <w:szCs w:val="16"/>
                    </w:rPr>
                    <w:t>018%</w:t>
                  </w:r>
                </w:p>
              </w:tc>
              <w:tc>
                <w:tcPr>
                  <w:tcW w:w="627" w:type="dxa"/>
                  <w:vAlign w:val="top"/>
                </w:tcPr>
                <w:p>
                  <w:pPr>
                    <w:spacing w:before="54" w:line="95" w:lineRule="exact"/>
                    <w:ind w:left="234"/>
                    <w:rPr>
                      <w:rFonts w:ascii="SimSun" w:eastAsia="SimSun" w:hAnsi="SimSun" w:cs="SimSun"/>
                      <w:sz w:val="13"/>
                      <w:szCs w:val="13"/>
                    </w:rPr>
                  </w:pPr>
                  <w:r>
                    <w:rPr>
                      <w:rFonts w:ascii="SimSun" w:eastAsia="SimSun" w:hAnsi="SimSun" w:cs="SimSun"/>
                      <w:spacing w:val="-2"/>
                      <w:position w:val="-2"/>
                      <w:sz w:val="13"/>
                      <w:szCs w:val="13"/>
                    </w:rPr>
                    <w:t>8.23%</w:t>
                  </w:r>
                </w:p>
              </w:tc>
            </w:tr>
            <w:tr>
              <w:tblPrEx>
                <w:tblW w:w="1893" w:type="dxa"/>
                <w:tblInd w:w="524" w:type="dxa"/>
                <w:tblLayout w:type="fixed"/>
              </w:tblPrEx>
              <w:trPr>
                <w:trHeight w:val="142"/>
              </w:trPr>
              <w:tc>
                <w:tcPr>
                  <w:tcW w:w="456" w:type="dxa"/>
                  <w:vAlign w:val="top"/>
                </w:tcPr>
                <w:p>
                  <w:pPr>
                    <w:spacing w:before="35" w:line="96" w:lineRule="exact"/>
                    <w:rPr>
                      <w:rFonts w:ascii="SimSun" w:eastAsia="SimSun" w:hAnsi="SimSun" w:cs="SimSun"/>
                      <w:sz w:val="13"/>
                      <w:szCs w:val="13"/>
                    </w:rPr>
                  </w:pPr>
                  <w:r>
                    <w:rPr>
                      <w:rFonts w:ascii="SimSun" w:eastAsia="SimSun" w:hAnsi="SimSun" w:cs="SimSun"/>
                      <w:color w:val="7A0800"/>
                      <w:spacing w:val="-2"/>
                      <w:position w:val="-2"/>
                      <w:sz w:val="13"/>
                      <w:szCs w:val="13"/>
                    </w:rPr>
                    <w:t>289</w:t>
                  </w:r>
                </w:p>
              </w:tc>
              <w:tc>
                <w:tcPr>
                  <w:tcW w:w="810" w:type="dxa"/>
                  <w:vAlign w:val="top"/>
                </w:tcPr>
                <w:p>
                  <w:pPr>
                    <w:spacing w:before="44" w:line="87" w:lineRule="exact"/>
                    <w:ind w:left="244"/>
                    <w:rPr>
                      <w:rFonts w:ascii="SimSun" w:eastAsia="SimSun" w:hAnsi="SimSun" w:cs="SimSun"/>
                      <w:sz w:val="16"/>
                      <w:szCs w:val="16"/>
                    </w:rPr>
                  </w:pPr>
                  <w:r>
                    <w:rPr>
                      <w:rFonts w:ascii="SimSun" w:eastAsia="SimSun" w:hAnsi="SimSun" w:cs="SimSun"/>
                      <w:color w:val="A10005"/>
                      <w:spacing w:val="-2"/>
                      <w:position w:val="-3"/>
                      <w:sz w:val="16"/>
                      <w:szCs w:val="16"/>
                    </w:rPr>
                    <w:t>026%</w:t>
                  </w:r>
                </w:p>
              </w:tc>
              <w:tc>
                <w:tcPr>
                  <w:tcW w:w="627" w:type="dxa"/>
                  <w:vAlign w:val="top"/>
                </w:tcPr>
                <w:p>
                  <w:pPr>
                    <w:spacing w:before="35" w:line="96" w:lineRule="exact"/>
                    <w:ind w:left="184"/>
                    <w:rPr>
                      <w:rFonts w:ascii="SimSun" w:eastAsia="SimSun" w:hAnsi="SimSun" w:cs="SimSun"/>
                      <w:sz w:val="13"/>
                      <w:szCs w:val="13"/>
                    </w:rPr>
                  </w:pPr>
                  <w:r>
                    <w:rPr>
                      <w:rFonts w:ascii="SimSun" w:eastAsia="SimSun" w:hAnsi="SimSun" w:cs="SimSun"/>
                      <w:color w:val="79002C"/>
                      <w:spacing w:val="-2"/>
                      <w:position w:val="-2"/>
                      <w:sz w:val="13"/>
                      <w:szCs w:val="13"/>
                    </w:rPr>
                    <w:t>71.56%</w:t>
                  </w:r>
                </w:p>
              </w:tc>
            </w:tr>
          </w:tbl>
          <w:p>
            <w:pPr>
              <w:spacing w:line="14" w:lineRule="auto"/>
              <w:rPr>
                <w:rFonts w:ascii="Arial"/>
                <w:sz w:val="2"/>
              </w:rPr>
            </w:pPr>
          </w:p>
        </w:tc>
        <w:tc>
          <w:tcPr>
            <w:tcW w:w="793" w:type="dxa"/>
            <w:vMerge w:val="restart"/>
            <w:tcBorders>
              <w:bottom w:val="nil"/>
            </w:tcBorders>
            <w:vAlign w:val="top"/>
          </w:tcPr>
          <w:p>
            <w:pPr>
              <w:tabs>
                <w:tab w:val="left" w:pos="337"/>
              </w:tabs>
              <w:spacing w:before="85" w:line="221" w:lineRule="auto"/>
              <w:ind w:left="18" w:firstLine="389"/>
              <w:jc w:val="right"/>
              <w:rPr>
                <w:rFonts w:ascii="SimSun" w:eastAsia="SimSun" w:hAnsi="SimSun" w:cs="SimSun"/>
                <w:sz w:val="15"/>
                <w:szCs w:val="15"/>
              </w:rPr>
            </w:pPr>
            <w:r>
              <w:rPr>
                <w:rFonts w:ascii="SimSun" w:eastAsia="SimSun" w:hAnsi="SimSun" w:cs="SimSun"/>
                <w:spacing w:val="-2"/>
                <w:sz w:val="15"/>
                <w:szCs w:val="15"/>
              </w:rPr>
              <w:t>7.93%</w:t>
            </w:r>
            <w:r>
              <w:rPr>
                <w:rFonts w:ascii="SimSun" w:eastAsia="SimSun" w:hAnsi="SimSun" w:cs="SimSun"/>
                <w:sz w:val="15"/>
                <w:szCs w:val="15"/>
              </w:rPr>
              <w:t xml:space="preserve"> </w:t>
            </w:r>
            <w:r>
              <w:rPr>
                <w:rFonts w:ascii="SimSun" w:eastAsia="SimSun" w:hAnsi="SimSun" w:cs="SimSun"/>
                <w:sz w:val="15"/>
                <w:szCs w:val="15"/>
              </w:rPr>
              <w:tab/>
            </w:r>
            <w:r>
              <w:rPr>
                <w:rFonts w:ascii="SimSun" w:eastAsia="SimSun" w:hAnsi="SimSun" w:cs="SimSun"/>
                <w:spacing w:val="-1"/>
                <w:sz w:val="15"/>
                <w:szCs w:val="15"/>
              </w:rPr>
              <w:t>-1.70%</w:t>
            </w:r>
            <w:r>
              <w:rPr>
                <w:rFonts w:ascii="SimSun" w:eastAsia="SimSun" w:hAnsi="SimSun" w:cs="SimSun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SimSun" w:eastAsia="SimSun" w:hAnsi="SimSun" w:cs="SimSun"/>
                <w:spacing w:val="-5"/>
                <w:sz w:val="15"/>
                <w:szCs w:val="15"/>
              </w:rPr>
              <w:t>】</w:t>
            </w:r>
            <w:r>
              <w:rPr>
                <w:rFonts w:ascii="SimSun" w:eastAsia="SimSun" w:hAnsi="SimSun" w:cs="SimSun"/>
                <w:spacing w:val="11"/>
                <w:sz w:val="15"/>
                <w:szCs w:val="15"/>
              </w:rPr>
              <w:t xml:space="preserve">   </w:t>
            </w:r>
            <w:r>
              <w:rPr>
                <w:rFonts w:ascii="SimSun" w:eastAsia="SimSun" w:hAnsi="SimSun" w:cs="SimSun"/>
                <w:spacing w:val="-5"/>
                <w:sz w:val="15"/>
                <w:szCs w:val="15"/>
              </w:rPr>
              <w:t>3.12%</w:t>
            </w:r>
            <w:r>
              <w:rPr>
                <w:rFonts w:ascii="SimSun" w:eastAsia="SimSun" w:hAnsi="SimSun" w:cs="SimSun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SimSun" w:eastAsia="SimSun" w:hAnsi="SimSun" w:cs="SimSun"/>
                <w:spacing w:val="-2"/>
                <w:sz w:val="15"/>
                <w:szCs w:val="15"/>
              </w:rPr>
              <w:t>6.52%</w:t>
            </w:r>
          </w:p>
          <w:p>
            <w:pPr>
              <w:spacing w:before="40" w:line="184" w:lineRule="auto"/>
              <w:ind w:right="1"/>
              <w:jc w:val="right"/>
              <w:rPr>
                <w:rFonts w:ascii="SimSun" w:eastAsia="SimSun" w:hAnsi="SimSun" w:cs="SimSun"/>
                <w:sz w:val="15"/>
                <w:szCs w:val="15"/>
              </w:rPr>
            </w:pPr>
            <w:r>
              <w:rPr>
                <w:rFonts w:ascii="SimSun" w:eastAsia="SimSun" w:hAnsi="SimSun" w:cs="SimSun"/>
                <w:color w:val="84000D"/>
                <w:spacing w:val="-2"/>
                <w:sz w:val="15"/>
                <w:szCs w:val="15"/>
              </w:rPr>
              <w:t>81.87%</w:t>
            </w:r>
          </w:p>
          <w:p>
            <w:pPr>
              <w:spacing w:before="6" w:line="226" w:lineRule="auto"/>
              <w:ind w:left="338" w:right="2" w:firstLine="70"/>
              <w:jc w:val="right"/>
              <w:rPr>
                <w:rFonts w:ascii="SimSun" w:eastAsia="SimSun" w:hAnsi="SimSun" w:cs="SimSun"/>
                <w:sz w:val="15"/>
                <w:szCs w:val="15"/>
              </w:rPr>
            </w:pPr>
            <w:r>
              <w:rPr>
                <w:rFonts w:ascii="SimSun" w:eastAsia="SimSun" w:hAnsi="SimSun" w:cs="SimSun"/>
                <w:spacing w:val="-2"/>
                <w:sz w:val="15"/>
                <w:szCs w:val="15"/>
              </w:rPr>
              <w:t>0.59%</w:t>
            </w:r>
            <w:r>
              <w:rPr>
                <w:rFonts w:ascii="SimSun" w:eastAsia="SimSun" w:hAnsi="SimSun" w:cs="SimSun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SimSun" w:eastAsia="SimSun" w:hAnsi="SimSun" w:cs="SimSun"/>
                <w:spacing w:val="-3"/>
                <w:sz w:val="15"/>
                <w:szCs w:val="15"/>
              </w:rPr>
              <w:t>12.80%</w:t>
            </w:r>
            <w:r>
              <w:rPr>
                <w:rFonts w:ascii="SimSun" w:eastAsia="SimSun" w:hAnsi="SimSun" w:cs="SimSun"/>
                <w:sz w:val="15"/>
                <w:szCs w:val="15"/>
              </w:rPr>
              <w:t xml:space="preserve"> </w:t>
            </w:r>
            <w:r>
              <w:rPr>
                <w:rFonts w:ascii="SimSun" w:eastAsia="SimSun" w:hAnsi="SimSun" w:cs="SimSun"/>
                <w:spacing w:val="12"/>
                <w:sz w:val="15"/>
                <w:szCs w:val="15"/>
              </w:rPr>
              <w:t>4.39%</w:t>
            </w:r>
            <w:r>
              <w:rPr>
                <w:rFonts w:ascii="SimSun" w:eastAsia="SimSun" w:hAnsi="SimSun" w:cs="SimSun"/>
                <w:spacing w:val="3"/>
                <w:sz w:val="15"/>
                <w:szCs w:val="15"/>
              </w:rPr>
              <w:t xml:space="preserve"> </w:t>
            </w:r>
            <w:r>
              <w:rPr>
                <w:rFonts w:ascii="SimSun" w:eastAsia="SimSun" w:hAnsi="SimSun" w:cs="SimSun"/>
                <w:spacing w:val="12"/>
                <w:sz w:val="15"/>
                <w:szCs w:val="15"/>
              </w:rPr>
              <w:t>0.51%</w:t>
            </w:r>
            <w:r>
              <w:rPr>
                <w:rFonts w:ascii="SimSun" w:eastAsia="SimSun" w:hAnsi="SimSun" w:cs="SimSun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SimSun" w:eastAsia="SimSun" w:hAnsi="SimSun" w:cs="SimSun"/>
                <w:spacing w:val="12"/>
                <w:sz w:val="15"/>
                <w:szCs w:val="15"/>
              </w:rPr>
              <w:t>4.25%</w:t>
            </w:r>
            <w:r>
              <w:rPr>
                <w:rFonts w:ascii="SimSun" w:eastAsia="SimSun" w:hAnsi="SimSun" w:cs="SimSun"/>
                <w:spacing w:val="3"/>
                <w:sz w:val="15"/>
                <w:szCs w:val="15"/>
              </w:rPr>
              <w:t xml:space="preserve"> </w:t>
            </w:r>
            <w:r>
              <w:rPr>
                <w:rFonts w:ascii="SimSun" w:eastAsia="SimSun" w:hAnsi="SimSun" w:cs="SimSun"/>
                <w:spacing w:val="12"/>
                <w:sz w:val="15"/>
                <w:szCs w:val="15"/>
              </w:rPr>
              <w:t>2.27%</w:t>
            </w:r>
            <w:r>
              <w:rPr>
                <w:rFonts w:ascii="SimSun" w:eastAsia="SimSun" w:hAnsi="SimSun" w:cs="SimSun"/>
                <w:spacing w:val="1"/>
                <w:sz w:val="15"/>
                <w:szCs w:val="15"/>
              </w:rPr>
              <w:t xml:space="preserve"> </w:t>
            </w:r>
            <w:r>
              <w:rPr>
                <w:rFonts w:ascii="SimSun" w:eastAsia="SimSun" w:hAnsi="SimSun" w:cs="SimSun"/>
                <w:spacing w:val="-2"/>
                <w:sz w:val="15"/>
                <w:szCs w:val="15"/>
              </w:rPr>
              <w:t>20.96%</w:t>
            </w:r>
            <w:r>
              <w:rPr>
                <w:rFonts w:ascii="SimSun" w:eastAsia="SimSun" w:hAnsi="SimSun" w:cs="SimSun"/>
                <w:spacing w:val="3"/>
                <w:sz w:val="15"/>
                <w:szCs w:val="15"/>
              </w:rPr>
              <w:t xml:space="preserve"> </w:t>
            </w:r>
            <w:r>
              <w:rPr>
                <w:rFonts w:ascii="SimSun" w:eastAsia="SimSun" w:hAnsi="SimSun" w:cs="SimSun"/>
                <w:spacing w:val="-2"/>
                <w:sz w:val="15"/>
                <w:szCs w:val="15"/>
              </w:rPr>
              <w:t>31.73%</w:t>
            </w:r>
            <w:r>
              <w:rPr>
                <w:rFonts w:ascii="SimSun" w:eastAsia="SimSun" w:hAnsi="SimSun" w:cs="SimSun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SimSun" w:eastAsia="SimSun" w:hAnsi="SimSun" w:cs="SimSun"/>
                <w:spacing w:val="12"/>
                <w:sz w:val="15"/>
                <w:szCs w:val="15"/>
              </w:rPr>
              <w:t>3.12%</w:t>
            </w:r>
            <w:r>
              <w:rPr>
                <w:rFonts w:ascii="SimSun" w:eastAsia="SimSun" w:hAnsi="SimSun" w:cs="SimSun"/>
                <w:sz w:val="15"/>
                <w:szCs w:val="15"/>
              </w:rPr>
              <w:t xml:space="preserve"> </w:t>
            </w:r>
            <w:r>
              <w:rPr>
                <w:rFonts w:ascii="SimSun" w:eastAsia="SimSun" w:hAnsi="SimSun" w:cs="SimSun"/>
                <w:spacing w:val="10"/>
                <w:sz w:val="15"/>
                <w:szCs w:val="15"/>
              </w:rPr>
              <w:t>1.42%</w:t>
            </w:r>
            <w:r>
              <w:rPr>
                <w:rFonts w:ascii="SimSun" w:eastAsia="SimSun" w:hAnsi="SimSun" w:cs="SimSun"/>
                <w:spacing w:val="2"/>
                <w:sz w:val="15"/>
                <w:szCs w:val="15"/>
              </w:rPr>
              <w:t xml:space="preserve"> </w:t>
            </w:r>
            <w:r>
              <w:rPr>
                <w:rFonts w:ascii="SimSun" w:eastAsia="SimSun" w:hAnsi="SimSun" w:cs="SimSun"/>
                <w:spacing w:val="-3"/>
                <w:sz w:val="15"/>
                <w:szCs w:val="15"/>
              </w:rPr>
              <w:t>10.20%</w:t>
            </w:r>
            <w:r>
              <w:rPr>
                <w:rFonts w:ascii="SimSun" w:eastAsia="SimSun" w:hAnsi="SimSun" w:cs="SimSun"/>
                <w:sz w:val="15"/>
                <w:szCs w:val="15"/>
              </w:rPr>
              <w:t xml:space="preserve"> </w:t>
            </w:r>
            <w:r>
              <w:rPr>
                <w:rFonts w:ascii="SimSun" w:eastAsia="SimSun" w:hAnsi="SimSun" w:cs="SimSun"/>
                <w:spacing w:val="-2"/>
                <w:sz w:val="15"/>
                <w:szCs w:val="15"/>
              </w:rPr>
              <w:t>3.12%</w:t>
            </w:r>
          </w:p>
          <w:p>
            <w:pPr>
              <w:spacing w:before="44" w:line="175" w:lineRule="auto"/>
              <w:ind w:left="408" w:right="54"/>
              <w:rPr>
                <w:rFonts w:ascii="SimSun" w:eastAsia="SimSun" w:hAnsi="SimSun" w:cs="SimSun"/>
                <w:sz w:val="13"/>
                <w:szCs w:val="13"/>
              </w:rPr>
            </w:pPr>
            <w:r>
              <w:rPr>
                <w:rFonts w:ascii="SimSun" w:eastAsia="SimSun" w:hAnsi="SimSun" w:cs="SimSun"/>
                <w:spacing w:val="-2"/>
                <w:sz w:val="13"/>
                <w:szCs w:val="13"/>
              </w:rPr>
              <w:t>2.83%</w:t>
            </w:r>
            <w:r>
              <w:rPr>
                <w:rFonts w:ascii="SimSun" w:eastAsia="SimSun" w:hAnsi="SimSun" w:cs="SimSun"/>
                <w:spacing w:val="2"/>
                <w:sz w:val="13"/>
                <w:szCs w:val="13"/>
              </w:rPr>
              <w:t xml:space="preserve"> </w:t>
            </w:r>
            <w:r>
              <w:rPr>
                <w:rFonts w:ascii="SimSun" w:eastAsia="SimSun" w:hAnsi="SimSun" w:cs="SimSun"/>
                <w:spacing w:val="-1"/>
                <w:sz w:val="13"/>
                <w:szCs w:val="13"/>
              </w:rPr>
              <w:t>4.25%</w:t>
            </w:r>
          </w:p>
        </w:tc>
      </w:tr>
      <w:tr>
        <w:tblPrEx>
          <w:tblW w:w="3270" w:type="dxa"/>
          <w:tblInd w:w="1329" w:type="dxa"/>
          <w:tblLayout w:type="fixed"/>
        </w:tblPrEx>
        <w:trPr>
          <w:trHeight w:val="2588"/>
        </w:trPr>
        <w:tc>
          <w:tcPr>
            <w:tcW w:w="991" w:type="dxa"/>
            <w:tcBorders>
              <w:right w:val="nil"/>
            </w:tcBorders>
            <w:vAlign w:val="top"/>
          </w:tcPr>
          <w:p>
            <w:pPr>
              <w:spacing w:before="287" w:line="183" w:lineRule="auto"/>
              <w:ind w:left="615"/>
              <w:rPr>
                <w:rFonts w:ascii="SimSun" w:eastAsia="SimSun" w:hAnsi="SimSun" w:cs="SimSun"/>
                <w:sz w:val="15"/>
                <w:szCs w:val="15"/>
              </w:rPr>
            </w:pPr>
            <w:r>
              <w:rPr>
                <w:rFonts w:ascii="SimSun" w:eastAsia="SimSun" w:hAnsi="SimSun" w:cs="SimSun"/>
                <w:spacing w:val="-2"/>
                <w:sz w:val="15"/>
                <w:szCs w:val="15"/>
              </w:rPr>
              <w:t>45</w:t>
            </w:r>
          </w:p>
          <w:p>
            <w:pPr>
              <w:spacing w:before="50" w:line="184" w:lineRule="auto"/>
              <w:ind w:left="605"/>
              <w:rPr>
                <w:rFonts w:ascii="SimSun" w:eastAsia="SimSun" w:hAnsi="SimSun" w:cs="SimSun"/>
                <w:sz w:val="15"/>
                <w:szCs w:val="15"/>
              </w:rPr>
            </w:pPr>
            <w:r>
              <w:rPr>
                <w:rFonts w:ascii="SimSun" w:eastAsia="SimSun" w:hAnsi="SimSun" w:cs="SimSun"/>
                <w:spacing w:val="-5"/>
                <w:sz w:val="15"/>
                <w:szCs w:val="15"/>
              </w:rPr>
              <w:t>16</w:t>
            </w:r>
          </w:p>
          <w:p>
            <w:pPr>
              <w:spacing w:before="31" w:line="183" w:lineRule="auto"/>
              <w:ind w:left="635"/>
              <w:rPr>
                <w:rFonts w:ascii="SimSun" w:eastAsia="SimSun" w:hAnsi="SimSun" w:cs="SimSun"/>
                <w:sz w:val="15"/>
                <w:szCs w:val="15"/>
              </w:rPr>
            </w:pPr>
            <w:r>
              <w:rPr>
                <w:rFonts w:ascii="SimSun" w:eastAsia="SimSun" w:hAnsi="SimSun" w:cs="SimSun"/>
                <w:sz w:val="15"/>
                <w:szCs w:val="15"/>
              </w:rPr>
              <w:t>2</w:t>
            </w:r>
          </w:p>
          <w:p>
            <w:pPr>
              <w:spacing w:before="50" w:line="184" w:lineRule="auto"/>
              <w:ind w:left="605"/>
              <w:rPr>
                <w:rFonts w:ascii="SimSun" w:eastAsia="SimSun" w:hAnsi="SimSun" w:cs="SimSun"/>
                <w:sz w:val="15"/>
                <w:szCs w:val="15"/>
              </w:rPr>
            </w:pPr>
            <w:r>
              <w:rPr>
                <w:rFonts w:ascii="SimSun" w:eastAsia="SimSun" w:hAnsi="SimSun" w:cs="SimSun"/>
                <w:spacing w:val="-5"/>
                <w:sz w:val="15"/>
                <w:szCs w:val="15"/>
              </w:rPr>
              <w:t>15</w:t>
            </w:r>
          </w:p>
          <w:p>
            <w:pPr>
              <w:spacing w:before="31" w:line="183" w:lineRule="auto"/>
              <w:ind w:left="635"/>
              <w:rPr>
                <w:rFonts w:ascii="SimSun" w:eastAsia="SimSun" w:hAnsi="SimSun" w:cs="SimSun"/>
                <w:sz w:val="15"/>
                <w:szCs w:val="15"/>
              </w:rPr>
            </w:pPr>
            <w:r>
              <w:rPr>
                <w:rFonts w:ascii="SimSun" w:eastAsia="SimSun" w:hAnsi="SimSun" w:cs="SimSun"/>
                <w:sz w:val="15"/>
                <w:szCs w:val="15"/>
              </w:rPr>
              <w:t>8</w:t>
            </w:r>
          </w:p>
          <w:p>
            <w:pPr>
              <w:spacing w:before="31" w:line="183" w:lineRule="auto"/>
              <w:ind w:left="605"/>
              <w:rPr>
                <w:rFonts w:ascii="SimSun" w:eastAsia="SimSun" w:hAnsi="SimSun" w:cs="SimSun"/>
                <w:sz w:val="15"/>
                <w:szCs w:val="15"/>
              </w:rPr>
            </w:pPr>
            <w:r>
              <w:rPr>
                <w:rFonts w:ascii="SimSun" w:eastAsia="SimSun" w:hAnsi="SimSun" w:cs="SimSun"/>
                <w:spacing w:val="-3"/>
                <w:sz w:val="15"/>
                <w:szCs w:val="15"/>
              </w:rPr>
              <w:t>74</w:t>
            </w:r>
          </w:p>
          <w:p>
            <w:pPr>
              <w:spacing w:before="31" w:line="184" w:lineRule="auto"/>
              <w:ind w:left="555"/>
              <w:rPr>
                <w:rFonts w:ascii="SimSun" w:eastAsia="SimSun" w:hAnsi="SimSun" w:cs="SimSun"/>
                <w:sz w:val="15"/>
                <w:szCs w:val="15"/>
              </w:rPr>
            </w:pPr>
            <w:r>
              <w:rPr>
                <w:rFonts w:ascii="SimSun" w:eastAsia="SimSun" w:hAnsi="SimSun" w:cs="SimSun"/>
                <w:color w:val="6F0059"/>
                <w:spacing w:val="-4"/>
                <w:sz w:val="15"/>
                <w:szCs w:val="15"/>
              </w:rPr>
              <w:t>112</w:t>
            </w:r>
          </w:p>
          <w:p>
            <w:pPr>
              <w:spacing w:before="50" w:line="184" w:lineRule="auto"/>
              <w:ind w:left="595"/>
              <w:rPr>
                <w:rFonts w:ascii="SimSun" w:eastAsia="SimSun" w:hAnsi="SimSun" w:cs="SimSun"/>
                <w:sz w:val="15"/>
                <w:szCs w:val="15"/>
              </w:rPr>
            </w:pPr>
            <w:r>
              <w:rPr>
                <w:rFonts w:ascii="SimSun" w:eastAsia="SimSun" w:hAnsi="SimSun" w:cs="SimSun"/>
                <w:color w:val="6B0056"/>
                <w:spacing w:val="-5"/>
                <w:sz w:val="15"/>
                <w:szCs w:val="15"/>
              </w:rPr>
              <w:t>11</w:t>
            </w:r>
          </w:p>
          <w:p>
            <w:pPr>
              <w:spacing w:before="22" w:line="182" w:lineRule="auto"/>
              <w:ind w:left="615"/>
              <w:rPr>
                <w:rFonts w:ascii="SimSun" w:eastAsia="SimSun" w:hAnsi="SimSun" w:cs="SimSun"/>
                <w:sz w:val="15"/>
                <w:szCs w:val="15"/>
              </w:rPr>
            </w:pPr>
            <w:r>
              <w:rPr>
                <w:rFonts w:ascii="SimSun" w:eastAsia="SimSun" w:hAnsi="SimSun" w:cs="SimSun"/>
                <w:sz w:val="15"/>
                <w:szCs w:val="15"/>
              </w:rPr>
              <w:t>5</w:t>
            </w:r>
          </w:p>
          <w:p>
            <w:pPr>
              <w:spacing w:before="22" w:line="183" w:lineRule="auto"/>
              <w:ind w:left="575"/>
              <w:rPr>
                <w:rFonts w:ascii="SimSun" w:eastAsia="SimSun" w:hAnsi="SimSun" w:cs="SimSun"/>
                <w:sz w:val="15"/>
                <w:szCs w:val="15"/>
              </w:rPr>
            </w:pPr>
            <w:r>
              <w:rPr>
                <w:rFonts w:ascii="SimSun" w:eastAsia="SimSun" w:hAnsi="SimSun" w:cs="SimSun"/>
                <w:spacing w:val="-3"/>
                <w:sz w:val="15"/>
                <w:szCs w:val="15"/>
              </w:rPr>
              <w:t>36</w:t>
            </w:r>
          </w:p>
          <w:p>
            <w:pPr>
              <w:spacing w:before="50" w:line="184" w:lineRule="auto"/>
              <w:ind w:left="575"/>
              <w:rPr>
                <w:rFonts w:ascii="SimSun" w:eastAsia="SimSun" w:hAnsi="SimSun" w:cs="SimSun"/>
                <w:sz w:val="15"/>
                <w:szCs w:val="15"/>
              </w:rPr>
            </w:pPr>
            <w:r>
              <w:rPr>
                <w:rFonts w:ascii="SimSun" w:eastAsia="SimSun" w:hAnsi="SimSun" w:cs="SimSun"/>
                <w:color w:val="6F005C"/>
                <w:spacing w:val="-5"/>
                <w:sz w:val="15"/>
                <w:szCs w:val="15"/>
              </w:rPr>
              <w:t>11</w:t>
            </w:r>
          </w:p>
          <w:p>
            <w:pPr>
              <w:spacing w:before="28" w:line="184" w:lineRule="auto"/>
              <w:ind w:left="575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4"/>
                <w:sz w:val="14"/>
                <w:szCs w:val="14"/>
              </w:rPr>
              <w:t>10</w:t>
            </w:r>
          </w:p>
          <w:p>
            <w:pPr>
              <w:spacing w:line="114" w:lineRule="exact"/>
              <w:ind w:left="575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4"/>
                <w:position w:val="-2"/>
                <w:sz w:val="14"/>
                <w:szCs w:val="14"/>
              </w:rPr>
              <w:t>15</w:t>
            </w:r>
          </w:p>
        </w:tc>
        <w:tc>
          <w:tcPr>
            <w:tcW w:w="809" w:type="dxa"/>
            <w:tcBorders>
              <w:left w:val="nil"/>
              <w:right w:val="nil"/>
            </w:tcBorders>
            <w:vAlign w:val="top"/>
          </w:tcPr>
          <w:p>
            <w:pPr>
              <w:spacing w:before="90" w:line="183" w:lineRule="auto"/>
              <w:ind w:left="229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color w:val="950005"/>
                <w:spacing w:val="-2"/>
                <w:sz w:val="16"/>
                <w:szCs w:val="16"/>
              </w:rPr>
              <w:t>003%</w:t>
            </w:r>
          </w:p>
          <w:p>
            <w:pPr>
              <w:spacing w:before="21" w:line="131" w:lineRule="exact"/>
              <w:ind w:left="229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color w:val="B70000"/>
                <w:spacing w:val="-2"/>
                <w:position w:val="-1"/>
                <w:sz w:val="16"/>
                <w:szCs w:val="16"/>
              </w:rPr>
              <w:t>029%</w:t>
            </w:r>
          </w:p>
          <w:p>
            <w:pPr>
              <w:spacing w:line="215" w:lineRule="auto"/>
              <w:ind w:left="229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spacing w:val="-1"/>
                <w:sz w:val="16"/>
                <w:szCs w:val="16"/>
              </w:rPr>
              <w:t>0</w:t>
            </w:r>
            <w:r>
              <w:rPr>
                <w:rFonts w:ascii="SimSun" w:eastAsia="SimSun" w:hAnsi="SimSun" w:cs="SimSun"/>
                <w:color w:val="CD0000"/>
                <w:spacing w:val="-1"/>
                <w:sz w:val="16"/>
                <w:szCs w:val="16"/>
              </w:rPr>
              <w:t>24</w:t>
            </w:r>
            <w:r>
              <w:rPr>
                <w:rFonts w:ascii="SimSun" w:eastAsia="SimSun" w:hAnsi="SimSun" w:cs="SimSun"/>
                <w:spacing w:val="-1"/>
                <w:sz w:val="16"/>
                <w:szCs w:val="16"/>
              </w:rPr>
              <w:t>%|</w:t>
            </w:r>
          </w:p>
          <w:p>
            <w:pPr>
              <w:spacing w:before="41" w:line="184" w:lineRule="auto"/>
              <w:ind w:left="229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color w:val="B50006"/>
                <w:spacing w:val="-2"/>
                <w:sz w:val="16"/>
                <w:szCs w:val="16"/>
              </w:rPr>
              <w:t>081%</w:t>
            </w:r>
          </w:p>
          <w:p>
            <w:pPr>
              <w:spacing w:before="38" w:line="165" w:lineRule="auto"/>
              <w:ind w:left="219"/>
              <w:rPr>
                <w:rFonts w:ascii="SimSun" w:eastAsia="SimSun" w:hAnsi="SimSun" w:cs="SimSun"/>
                <w:sz w:val="15"/>
                <w:szCs w:val="15"/>
              </w:rPr>
            </w:pPr>
            <w:r>
              <w:rPr>
                <w:rFonts w:ascii="SimSun" w:eastAsia="SimSun" w:hAnsi="SimSun" w:cs="SimSun"/>
                <w:color w:val="A10005"/>
                <w:spacing w:val="-2"/>
                <w:sz w:val="15"/>
                <w:szCs w:val="15"/>
              </w:rPr>
              <w:t>0500%</w:t>
            </w:r>
          </w:p>
          <w:p>
            <w:pPr>
              <w:spacing w:line="229" w:lineRule="auto"/>
              <w:ind w:left="249" w:right="148" w:hanging="20"/>
              <w:rPr>
                <w:rFonts w:ascii="SimSun" w:eastAsia="SimSun" w:hAnsi="SimSun" w:cs="SimSun"/>
                <w:sz w:val="15"/>
                <w:szCs w:val="15"/>
              </w:rPr>
            </w:pPr>
            <w:r>
              <w:rPr>
                <w:rFonts w:ascii="SimSun" w:eastAsia="SimSun" w:hAnsi="SimSun" w:cs="SimSun"/>
                <w:spacing w:val="-2"/>
                <w:sz w:val="16"/>
                <w:szCs w:val="16"/>
              </w:rPr>
              <w:t>009%|</w:t>
            </w:r>
            <w:r>
              <w:rPr>
                <w:rFonts w:ascii="SimSun" w:eastAsia="SimSun" w:hAnsi="SimSun" w:cs="SimSun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SimSun" w:eastAsia="SimSun" w:hAnsi="SimSun" w:cs="SimSun"/>
                <w:spacing w:val="-3"/>
                <w:sz w:val="9"/>
                <w:szCs w:val="9"/>
              </w:rPr>
              <w:t>U</w:t>
            </w:r>
            <w:r>
              <w:rPr>
                <w:rFonts w:ascii="SimSun" w:eastAsia="SimSun" w:hAnsi="SimSun" w:cs="SimSun"/>
                <w:spacing w:val="35"/>
                <w:sz w:val="9"/>
                <w:szCs w:val="9"/>
              </w:rPr>
              <w:t xml:space="preserve"> </w:t>
            </w:r>
            <w:r>
              <w:rPr>
                <w:rFonts w:ascii="SimSun" w:eastAsia="SimSun" w:hAnsi="SimSun" w:cs="SimSun"/>
                <w:color w:val="7B0004"/>
                <w:spacing w:val="-3"/>
                <w:sz w:val="15"/>
                <w:szCs w:val="15"/>
              </w:rPr>
              <w:t>320%</w:t>
            </w:r>
          </w:p>
          <w:p>
            <w:pPr>
              <w:spacing w:before="65" w:line="183" w:lineRule="auto"/>
              <w:ind w:left="249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color w:val="960005"/>
                <w:spacing w:val="-2"/>
                <w:sz w:val="16"/>
                <w:szCs w:val="16"/>
              </w:rPr>
              <w:t>043%</w:t>
            </w:r>
          </w:p>
          <w:p>
            <w:pPr>
              <w:spacing w:before="1" w:line="131" w:lineRule="exact"/>
              <w:ind w:left="229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color w:val="BC0006"/>
                <w:spacing w:val="-2"/>
                <w:position w:val="-2"/>
                <w:sz w:val="16"/>
                <w:szCs w:val="16"/>
              </w:rPr>
              <w:t>007%</w:t>
            </w:r>
          </w:p>
          <w:p>
            <w:pPr>
              <w:spacing w:line="214" w:lineRule="auto"/>
              <w:ind w:left="229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spacing w:val="-2"/>
                <w:sz w:val="16"/>
                <w:szCs w:val="16"/>
              </w:rPr>
              <w:t>009%|</w:t>
            </w:r>
          </w:p>
          <w:p>
            <w:pPr>
              <w:spacing w:before="62" w:line="184" w:lineRule="auto"/>
              <w:ind w:left="229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color w:val="9F000B"/>
                <w:spacing w:val="-2"/>
                <w:sz w:val="16"/>
                <w:szCs w:val="16"/>
              </w:rPr>
              <w:t>016%</w:t>
            </w:r>
          </w:p>
          <w:p>
            <w:pPr>
              <w:spacing w:before="19" w:line="165" w:lineRule="auto"/>
              <w:ind w:left="298"/>
              <w:rPr>
                <w:rFonts w:ascii="SimSun" w:eastAsia="SimSun" w:hAnsi="SimSun" w:cs="SimSun"/>
                <w:sz w:val="15"/>
                <w:szCs w:val="15"/>
              </w:rPr>
            </w:pPr>
            <w:r>
              <w:rPr>
                <w:rFonts w:ascii="SimSun" w:eastAsia="SimSun" w:hAnsi="SimSun" w:cs="SimSun"/>
                <w:color w:val="A80000"/>
                <w:spacing w:val="-2"/>
                <w:sz w:val="15"/>
                <w:szCs w:val="15"/>
              </w:rPr>
              <w:t>87%</w:t>
            </w:r>
          </w:p>
          <w:p>
            <w:pPr>
              <w:spacing w:line="214" w:lineRule="auto"/>
              <w:ind w:left="229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color w:val="A90006"/>
                <w:spacing w:val="-2"/>
                <w:sz w:val="16"/>
                <w:szCs w:val="16"/>
              </w:rPr>
              <w:t>019%|</w:t>
            </w:r>
          </w:p>
          <w:p>
            <w:pPr>
              <w:spacing w:before="33" w:line="97" w:lineRule="exact"/>
              <w:ind w:left="229"/>
              <w:rPr>
                <w:rFonts w:ascii="SimSun" w:eastAsia="SimSun" w:hAnsi="SimSun" w:cs="SimSun"/>
                <w:sz w:val="16"/>
                <w:szCs w:val="16"/>
              </w:rPr>
            </w:pPr>
            <w:r>
              <w:rPr>
                <w:rFonts w:ascii="SimSun" w:eastAsia="SimSun" w:hAnsi="SimSun" w:cs="SimSun"/>
                <w:color w:val="CA0007"/>
                <w:spacing w:val="-2"/>
                <w:position w:val="-3"/>
                <w:sz w:val="16"/>
                <w:szCs w:val="16"/>
              </w:rPr>
              <w:t>010%</w:t>
            </w:r>
          </w:p>
        </w:tc>
        <w:tc>
          <w:tcPr>
            <w:tcW w:w="677" w:type="dxa"/>
            <w:tcBorders>
              <w:left w:val="nil"/>
            </w:tcBorders>
            <w:vAlign w:val="top"/>
          </w:tcPr>
          <w:p>
            <w:pPr>
              <w:spacing w:before="87" w:line="184" w:lineRule="auto"/>
              <w:ind w:left="240"/>
              <w:rPr>
                <w:rFonts w:ascii="SimSun" w:eastAsia="SimSun" w:hAnsi="SimSun" w:cs="SimSun"/>
                <w:sz w:val="15"/>
                <w:szCs w:val="15"/>
              </w:rPr>
            </w:pPr>
            <w:r>
              <w:rPr>
                <w:rFonts w:ascii="SimSun" w:eastAsia="SimSun" w:hAnsi="SimSun" w:cs="SimSun"/>
                <w:spacing w:val="-2"/>
                <w:sz w:val="15"/>
                <w:szCs w:val="15"/>
              </w:rPr>
              <w:t>3.91%</w:t>
            </w:r>
          </w:p>
          <w:p>
            <w:pPr>
              <w:spacing w:before="31" w:line="183" w:lineRule="auto"/>
              <w:ind w:left="230"/>
              <w:rPr>
                <w:rFonts w:ascii="SimSun" w:eastAsia="SimSun" w:hAnsi="SimSun" w:cs="SimSun"/>
                <w:sz w:val="15"/>
                <w:szCs w:val="15"/>
              </w:rPr>
            </w:pPr>
            <w:r>
              <w:rPr>
                <w:rFonts w:ascii="SimSun" w:eastAsia="SimSun" w:hAnsi="SimSun" w:cs="SimSun"/>
                <w:spacing w:val="-2"/>
                <w:sz w:val="15"/>
                <w:szCs w:val="15"/>
              </w:rPr>
              <w:t>9.93%</w:t>
            </w:r>
          </w:p>
          <w:p>
            <w:pPr>
              <w:spacing w:before="30" w:line="211" w:lineRule="exact"/>
              <w:ind w:left="230"/>
              <w:rPr>
                <w:rFonts w:ascii="SimSun" w:eastAsia="SimSun" w:hAnsi="SimSun" w:cs="SimSun"/>
                <w:sz w:val="15"/>
                <w:szCs w:val="15"/>
              </w:rPr>
            </w:pPr>
            <w:r>
              <w:rPr>
                <w:rFonts w:ascii="SimSun" w:eastAsia="SimSun" w:hAnsi="SimSun" w:cs="SimSun"/>
                <w:spacing w:val="-2"/>
                <w:position w:val="6"/>
                <w:sz w:val="15"/>
                <w:szCs w:val="15"/>
              </w:rPr>
              <w:t>4.16%</w:t>
            </w:r>
          </w:p>
          <w:p>
            <w:pPr>
              <w:spacing w:line="183" w:lineRule="auto"/>
              <w:ind w:left="230"/>
              <w:rPr>
                <w:rFonts w:ascii="SimSun" w:eastAsia="SimSun" w:hAnsi="SimSun" w:cs="SimSun"/>
                <w:sz w:val="15"/>
                <w:szCs w:val="15"/>
              </w:rPr>
            </w:pPr>
            <w:r>
              <w:rPr>
                <w:rFonts w:ascii="SimSun" w:eastAsia="SimSun" w:hAnsi="SimSun" w:cs="SimSun"/>
                <w:spacing w:val="-2"/>
                <w:sz w:val="15"/>
                <w:szCs w:val="15"/>
              </w:rPr>
              <w:t>0.37%</w:t>
            </w:r>
          </w:p>
          <w:p>
            <w:pPr>
              <w:spacing w:before="20" w:line="215" w:lineRule="auto"/>
              <w:ind w:left="230" w:firstLine="28"/>
              <w:rPr>
                <w:rFonts w:ascii="SimSun" w:eastAsia="SimSun" w:hAnsi="SimSun" w:cs="SimSun"/>
                <w:sz w:val="15"/>
                <w:szCs w:val="15"/>
              </w:rPr>
            </w:pPr>
            <w:r>
              <w:rPr>
                <w:rFonts w:ascii="SimSun" w:eastAsia="SimSun" w:hAnsi="SimSun" w:cs="SimSun"/>
                <w:spacing w:val="-8"/>
                <w:sz w:val="15"/>
                <w:szCs w:val="15"/>
              </w:rPr>
              <w:t>1.9</w:t>
            </w:r>
            <w:r>
              <w:rPr>
                <w:rFonts w:ascii="SimSun" w:eastAsia="SimSun" w:hAnsi="SimSun" w:cs="SimSun"/>
                <w:spacing w:val="-7"/>
                <w:sz w:val="15"/>
                <w:szCs w:val="15"/>
              </w:rPr>
              <w:t>20</w:t>
            </w:r>
            <w:r>
              <w:rPr>
                <w:rFonts w:ascii="SimSun" w:eastAsia="SimSun" w:hAnsi="SimSun" w:cs="SimSun"/>
                <w:spacing w:val="-4"/>
                <w:sz w:val="15"/>
                <w:szCs w:val="15"/>
              </w:rPr>
              <w:t>%</w:t>
            </w:r>
            <w:r>
              <w:rPr>
                <w:rFonts w:ascii="SimSun" w:eastAsia="SimSun" w:hAnsi="SimSun" w:cs="SimSun"/>
                <w:spacing w:val="4"/>
                <w:sz w:val="15"/>
                <w:szCs w:val="15"/>
              </w:rPr>
              <w:t xml:space="preserve"> </w:t>
            </w:r>
            <w:r>
              <w:rPr>
                <w:rFonts w:ascii="SimSun" w:eastAsia="SimSun" w:hAnsi="SimSun" w:cs="SimSun"/>
                <w:spacing w:val="-5"/>
                <w:sz w:val="15"/>
                <w:szCs w:val="15"/>
              </w:rPr>
              <w:t>5.86%</w:t>
            </w:r>
          </w:p>
          <w:p>
            <w:pPr>
              <w:spacing w:before="47" w:line="191" w:lineRule="auto"/>
              <w:ind w:left="160" w:right="87" w:firstLine="20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3"/>
                <w:sz w:val="14"/>
                <w:szCs w:val="14"/>
              </w:rPr>
              <w:t>14.57%</w:t>
            </w:r>
            <w:r>
              <w:rPr>
                <w:rFonts w:ascii="SimSun" w:eastAsia="SimSun" w:hAnsi="SimSun" w:cs="SimSun"/>
                <w:spacing w:val="1"/>
                <w:sz w:val="14"/>
                <w:szCs w:val="14"/>
              </w:rPr>
              <w:t xml:space="preserve"> </w:t>
            </w:r>
            <w:r>
              <w:rPr>
                <w:rFonts w:ascii="SimSun" w:eastAsia="SimSun" w:hAnsi="SimSun" w:cs="SimSun"/>
                <w:spacing w:val="-3"/>
                <w:sz w:val="14"/>
                <w:szCs w:val="14"/>
              </w:rPr>
              <w:t>16.45%</w:t>
            </w:r>
          </w:p>
          <w:p>
            <w:pPr>
              <w:spacing w:before="44" w:line="221" w:lineRule="auto"/>
              <w:ind w:left="200" w:right="38" w:hanging="50"/>
              <w:jc w:val="right"/>
              <w:rPr>
                <w:rFonts w:ascii="SimSun" w:eastAsia="SimSun" w:hAnsi="SimSun" w:cs="SimSun"/>
                <w:sz w:val="15"/>
                <w:szCs w:val="15"/>
              </w:rPr>
            </w:pPr>
            <w:r>
              <w:rPr>
                <w:rFonts w:ascii="SimSun" w:eastAsia="SimSun" w:hAnsi="SimSun" w:cs="SimSun"/>
                <w:spacing w:val="-4"/>
                <w:sz w:val="15"/>
                <w:szCs w:val="15"/>
              </w:rPr>
              <w:t xml:space="preserve">10.67% </w:t>
            </w:r>
            <w:r>
              <w:rPr>
                <w:rFonts w:ascii="SimSun" w:eastAsia="SimSun" w:hAnsi="SimSun" w:cs="SimSun"/>
                <w:spacing w:val="4"/>
                <w:sz w:val="15"/>
                <w:szCs w:val="15"/>
              </w:rPr>
              <w:t>3.72%</w:t>
            </w:r>
            <w:r>
              <w:rPr>
                <w:rFonts w:ascii="SimSun" w:eastAsia="SimSun" w:hAnsi="SimSun" w:cs="SimSun"/>
                <w:sz w:val="15"/>
                <w:szCs w:val="15"/>
              </w:rPr>
              <w:t xml:space="preserve"> </w:t>
            </w:r>
            <w:r>
              <w:rPr>
                <w:rFonts w:ascii="SimSun" w:eastAsia="SimSun" w:hAnsi="SimSun" w:cs="SimSun"/>
                <w:spacing w:val="-3"/>
                <w:sz w:val="15"/>
                <w:szCs w:val="15"/>
              </w:rPr>
              <w:t>14.64%</w:t>
            </w:r>
            <w:r>
              <w:rPr>
                <w:rFonts w:ascii="SimSun" w:eastAsia="SimSun" w:hAnsi="SimSun" w:cs="SimSun"/>
                <w:sz w:val="15"/>
                <w:szCs w:val="15"/>
              </w:rPr>
              <w:t xml:space="preserve"> </w:t>
            </w:r>
            <w:r>
              <w:rPr>
                <w:rFonts w:ascii="SimSun" w:eastAsia="SimSun" w:hAnsi="SimSun" w:cs="SimSun"/>
                <w:spacing w:val="-4"/>
                <w:sz w:val="15"/>
                <w:szCs w:val="15"/>
              </w:rPr>
              <w:t>1.88%</w:t>
            </w:r>
          </w:p>
          <w:p>
            <w:pPr>
              <w:spacing w:before="48" w:line="118" w:lineRule="exact"/>
              <w:ind w:left="230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spacing w:val="-2"/>
                <w:position w:val="-1"/>
                <w:sz w:val="14"/>
                <w:szCs w:val="14"/>
              </w:rPr>
              <w:t>3.43%</w:t>
            </w:r>
          </w:p>
          <w:p>
            <w:pPr>
              <w:spacing w:line="178" w:lineRule="auto"/>
              <w:ind w:left="190"/>
              <w:rPr>
                <w:rFonts w:ascii="SimSun" w:eastAsia="SimSun" w:hAnsi="SimSun" w:cs="SimSun"/>
                <w:sz w:val="14"/>
                <w:szCs w:val="14"/>
              </w:rPr>
            </w:pPr>
            <w:r>
              <w:rPr>
                <w:rFonts w:ascii="SimSun" w:eastAsia="SimSun" w:hAnsi="SimSun" w:cs="SimSun"/>
                <w:color w:val="830009"/>
                <w:spacing w:val="-2"/>
                <w:sz w:val="14"/>
                <w:szCs w:val="14"/>
              </w:rPr>
              <w:t>9.33%!</w:t>
            </w:r>
          </w:p>
        </w:tc>
        <w:tc>
          <w:tcPr>
            <w:tcW w:w="793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spacing w:line="15" w:lineRule="exact"/>
        <w:rPr>
          <w:rFonts w:ascii="Arial"/>
          <w:sz w:val="2"/>
        </w:rPr>
      </w:pPr>
    </w:p>
    <w:p>
      <w:pPr>
        <w:spacing w:line="15" w:lineRule="exact"/>
        <w:rPr>
          <w:rFonts w:ascii="Arial" w:eastAsia="Arial" w:hAnsi="Arial" w:cs="Arial"/>
          <w:sz w:val="2"/>
          <w:szCs w:val="2"/>
        </w:rPr>
        <w:sectPr>
          <w:footerReference w:type="default" r:id="rId51"/>
          <w:type w:val="continuous"/>
          <w:pgSz w:w="11910" w:h="16840"/>
          <w:pgMar w:top="156" w:right="660" w:bottom="1129" w:left="719" w:header="0" w:footer="860" w:gutter="0"/>
          <w:pgNumType w:start="25"/>
          <w:cols w:num="3" w:space="708" w:equalWidth="0">
            <w:col w:w="3950" w:space="100"/>
            <w:col w:w="1581" w:space="100"/>
            <w:col w:w="4800" w:space="0"/>
          </w:cols>
        </w:sectPr>
      </w:pPr>
    </w:p>
    <w:p>
      <w:pPr>
        <w:pStyle w:val="BodyText"/>
        <w:spacing w:before="255" w:line="224" w:lineRule="auto"/>
        <w:ind w:left="2860"/>
        <w:rPr>
          <w:sz w:val="19"/>
          <w:szCs w:val="19"/>
        </w:rPr>
      </w:pPr>
      <w:r>
        <w:rPr>
          <w:spacing w:val="-13"/>
          <w:sz w:val="19"/>
          <w:szCs w:val="19"/>
        </w:rPr>
        <w:t>数据来源：</w:t>
      </w:r>
      <w:r>
        <w:rPr>
          <w:spacing w:val="-2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pacing w:val="-13"/>
          <w:sz w:val="19"/>
          <w:szCs w:val="19"/>
        </w:rPr>
        <w:t>Wind</w:t>
      </w:r>
      <w:r>
        <w:rPr>
          <w:rFonts w:ascii="SimSun" w:eastAsia="SimSun" w:hAnsi="SimSun" w:cs="SimSun"/>
          <w:spacing w:val="-13"/>
          <w:sz w:val="19"/>
          <w:szCs w:val="19"/>
        </w:rPr>
        <w:t>、</w:t>
      </w:r>
      <w:r>
        <w:rPr>
          <w:spacing w:val="-13"/>
          <w:sz w:val="19"/>
          <w:szCs w:val="19"/>
        </w:rPr>
        <w:t>开源证券研究所</w:t>
      </w:r>
    </w:p>
    <w:p>
      <w:pPr>
        <w:spacing w:line="319" w:lineRule="auto"/>
        <w:rPr>
          <w:rFonts w:ascii="Arial"/>
          <w:sz w:val="21"/>
        </w:rPr>
      </w:pPr>
    </w:p>
    <w:p>
      <w:pPr>
        <w:spacing w:line="319" w:lineRule="auto"/>
        <w:rPr>
          <w:rFonts w:ascii="Arial"/>
          <w:sz w:val="21"/>
        </w:rPr>
      </w:pPr>
    </w:p>
    <w:p>
      <w:pPr>
        <w:pStyle w:val="BodyText"/>
        <w:spacing w:before="62" w:line="222" w:lineRule="auto"/>
        <w:ind w:left="2862"/>
        <w:rPr>
          <w:sz w:val="19"/>
          <w:szCs w:val="19"/>
        </w:rPr>
      </w:pPr>
      <w:r>
        <w:pict>
          <v:rect id="_x0000_s1045" style="width:379.9pt;height:0.5pt;margin-top:12.13pt;margin-left:141.62pt;position:absolute;z-index:251688960" filled="t" fillcolor="navy" stroked="f"/>
        </w:pict>
      </w:r>
      <w:r>
        <w:rPr>
          <w:b/>
          <w:bCs/>
          <w:color w:val="000080"/>
          <w:spacing w:val="-11"/>
          <w:sz w:val="19"/>
          <w:szCs w:val="19"/>
        </w:rPr>
        <w:t>图</w:t>
      </w:r>
      <w:r>
        <w:rPr>
          <w:color w:val="000080"/>
          <w:spacing w:val="-11"/>
          <w:sz w:val="19"/>
          <w:szCs w:val="19"/>
        </w:rPr>
        <w:t xml:space="preserve"> </w:t>
      </w:r>
      <w:r>
        <w:rPr>
          <w:b/>
          <w:bCs/>
          <w:color w:val="000080"/>
          <w:spacing w:val="-11"/>
          <w:sz w:val="19"/>
          <w:szCs w:val="19"/>
        </w:rPr>
        <w:t>1</w:t>
      </w:r>
      <w:r>
        <w:rPr>
          <w:color w:val="000080"/>
          <w:spacing w:val="-11"/>
          <w:sz w:val="19"/>
          <w:szCs w:val="19"/>
        </w:rPr>
        <w:t xml:space="preserve"> </w:t>
      </w:r>
      <w:r>
        <w:rPr>
          <w:b/>
          <w:bCs/>
          <w:color w:val="000080"/>
          <w:spacing w:val="-11"/>
          <w:sz w:val="19"/>
          <w:szCs w:val="19"/>
        </w:rPr>
        <w:t>0</w:t>
      </w:r>
      <w:r>
        <w:rPr>
          <w:color w:val="000080"/>
          <w:spacing w:val="16"/>
          <w:sz w:val="19"/>
          <w:szCs w:val="19"/>
        </w:rPr>
        <w:t xml:space="preserve"> </w:t>
      </w:r>
      <w:r>
        <w:rPr>
          <w:b/>
          <w:bCs/>
          <w:color w:val="000080"/>
          <w:spacing w:val="-11"/>
          <w:sz w:val="19"/>
          <w:szCs w:val="19"/>
        </w:rPr>
        <w:t>;</w:t>
      </w:r>
      <w:r>
        <w:rPr>
          <w:color w:val="000080"/>
          <w:spacing w:val="-11"/>
          <w:sz w:val="19"/>
          <w:szCs w:val="19"/>
        </w:rPr>
        <w:t xml:space="preserve"> </w:t>
      </w:r>
      <w:r>
        <w:rPr>
          <w:b/>
          <w:bCs/>
          <w:color w:val="000080"/>
          <w:spacing w:val="-11"/>
          <w:sz w:val="19"/>
          <w:szCs w:val="19"/>
        </w:rPr>
        <w:t>市</w:t>
      </w:r>
      <w:r>
        <w:rPr>
          <w:color w:val="000080"/>
          <w:spacing w:val="-11"/>
          <w:sz w:val="19"/>
          <w:szCs w:val="19"/>
        </w:rPr>
        <w:t xml:space="preserve"> </w:t>
      </w:r>
      <w:r>
        <w:rPr>
          <w:b/>
          <w:bCs/>
          <w:color w:val="000080"/>
          <w:spacing w:val="-11"/>
          <w:sz w:val="19"/>
          <w:szCs w:val="19"/>
        </w:rPr>
        <w:t>场</w:t>
      </w:r>
      <w:r>
        <w:rPr>
          <w:color w:val="000080"/>
          <w:spacing w:val="-11"/>
          <w:sz w:val="19"/>
          <w:szCs w:val="19"/>
        </w:rPr>
        <w:t xml:space="preserve"> </w:t>
      </w:r>
      <w:r>
        <w:rPr>
          <w:b/>
          <w:bCs/>
          <w:color w:val="000080"/>
          <w:spacing w:val="-11"/>
          <w:sz w:val="19"/>
          <w:szCs w:val="19"/>
        </w:rPr>
        <w:t>预</w:t>
      </w:r>
      <w:r>
        <w:rPr>
          <w:color w:val="000080"/>
          <w:spacing w:val="-11"/>
          <w:sz w:val="19"/>
          <w:szCs w:val="19"/>
        </w:rPr>
        <w:t xml:space="preserve"> </w:t>
      </w:r>
      <w:r>
        <w:rPr>
          <w:b/>
          <w:bCs/>
          <w:color w:val="000080"/>
          <w:spacing w:val="-11"/>
          <w:sz w:val="19"/>
          <w:szCs w:val="19"/>
        </w:rPr>
        <w:t>期</w:t>
      </w:r>
      <w:r>
        <w:rPr>
          <w:color w:val="000080"/>
          <w:spacing w:val="-1"/>
          <w:sz w:val="19"/>
          <w:szCs w:val="19"/>
        </w:rPr>
        <w:t xml:space="preserve"> </w:t>
      </w:r>
      <w:r>
        <w:rPr>
          <w:b/>
          <w:bCs/>
          <w:color w:val="000080"/>
          <w:spacing w:val="-11"/>
          <w:sz w:val="19"/>
          <w:szCs w:val="19"/>
        </w:rPr>
        <w:t>首</w:t>
      </w:r>
      <w:r>
        <w:rPr>
          <w:color w:val="000080"/>
          <w:spacing w:val="-11"/>
          <w:sz w:val="19"/>
          <w:szCs w:val="19"/>
        </w:rPr>
        <w:t xml:space="preserve"> </w:t>
      </w:r>
      <w:r>
        <w:rPr>
          <w:b/>
          <w:bCs/>
          <w:color w:val="000080"/>
          <w:spacing w:val="-11"/>
          <w:sz w:val="19"/>
          <w:szCs w:val="19"/>
        </w:rPr>
        <w:t>次</w:t>
      </w:r>
      <w:r>
        <w:rPr>
          <w:color w:val="000080"/>
          <w:spacing w:val="7"/>
          <w:sz w:val="19"/>
          <w:szCs w:val="19"/>
        </w:rPr>
        <w:t xml:space="preserve"> </w:t>
      </w:r>
      <w:r>
        <w:rPr>
          <w:b/>
          <w:bCs/>
          <w:color w:val="000080"/>
          <w:spacing w:val="-11"/>
          <w:sz w:val="19"/>
          <w:szCs w:val="19"/>
        </w:rPr>
        <w:t>降</w:t>
      </w:r>
      <w:r>
        <w:rPr>
          <w:color w:val="000080"/>
          <w:spacing w:val="9"/>
          <w:sz w:val="19"/>
          <w:szCs w:val="19"/>
        </w:rPr>
        <w:t xml:space="preserve"> </w:t>
      </w:r>
      <w:r>
        <w:rPr>
          <w:b/>
          <w:bCs/>
          <w:color w:val="000080"/>
          <w:spacing w:val="-11"/>
          <w:sz w:val="19"/>
          <w:szCs w:val="19"/>
        </w:rPr>
        <w:t>息</w:t>
      </w:r>
      <w:r>
        <w:rPr>
          <w:color w:val="000080"/>
          <w:spacing w:val="6"/>
          <w:sz w:val="19"/>
          <w:szCs w:val="19"/>
        </w:rPr>
        <w:t xml:space="preserve"> </w:t>
      </w:r>
      <w:r>
        <w:rPr>
          <w:b/>
          <w:bCs/>
          <w:color w:val="000080"/>
          <w:spacing w:val="-11"/>
          <w:sz w:val="19"/>
          <w:szCs w:val="19"/>
        </w:rPr>
        <w:t>时</w:t>
      </w:r>
      <w:r>
        <w:rPr>
          <w:color w:val="000080"/>
          <w:spacing w:val="6"/>
          <w:sz w:val="19"/>
          <w:szCs w:val="19"/>
        </w:rPr>
        <w:t xml:space="preserve"> </w:t>
      </w:r>
      <w:r>
        <w:rPr>
          <w:b/>
          <w:bCs/>
          <w:color w:val="000080"/>
          <w:spacing w:val="-11"/>
          <w:sz w:val="19"/>
          <w:szCs w:val="19"/>
        </w:rPr>
        <w:t>点</w:t>
      </w:r>
      <w:r>
        <w:rPr>
          <w:color w:val="000080"/>
          <w:spacing w:val="1"/>
          <w:sz w:val="19"/>
          <w:szCs w:val="19"/>
        </w:rPr>
        <w:t xml:space="preserve"> </w:t>
      </w:r>
      <w:r>
        <w:rPr>
          <w:b/>
          <w:bCs/>
          <w:color w:val="000080"/>
          <w:spacing w:val="-11"/>
          <w:sz w:val="19"/>
          <w:szCs w:val="19"/>
        </w:rPr>
        <w:t>为</w:t>
      </w:r>
      <w:r>
        <w:rPr>
          <w:color w:val="000080"/>
          <w:spacing w:val="-11"/>
          <w:sz w:val="19"/>
          <w:szCs w:val="19"/>
        </w:rPr>
        <w:t xml:space="preserve"> </w:t>
      </w:r>
      <w:r>
        <w:rPr>
          <w:b/>
          <w:bCs/>
          <w:color w:val="000080"/>
          <w:spacing w:val="-11"/>
          <w:sz w:val="19"/>
          <w:szCs w:val="19"/>
        </w:rPr>
        <w:t>2</w:t>
      </w:r>
      <w:r>
        <w:rPr>
          <w:color w:val="000080"/>
          <w:spacing w:val="-11"/>
          <w:sz w:val="19"/>
          <w:szCs w:val="19"/>
        </w:rPr>
        <w:t xml:space="preserve"> </w:t>
      </w:r>
      <w:r>
        <w:rPr>
          <w:b/>
          <w:bCs/>
          <w:color w:val="000080"/>
          <w:spacing w:val="-11"/>
          <w:sz w:val="19"/>
          <w:szCs w:val="19"/>
        </w:rPr>
        <w:t>0</w:t>
      </w:r>
      <w:r>
        <w:rPr>
          <w:color w:val="000080"/>
          <w:spacing w:val="-11"/>
          <w:sz w:val="19"/>
          <w:szCs w:val="19"/>
        </w:rPr>
        <w:t xml:space="preserve"> </w:t>
      </w:r>
      <w:r>
        <w:rPr>
          <w:b/>
          <w:bCs/>
          <w:color w:val="000080"/>
          <w:spacing w:val="-12"/>
          <w:sz w:val="19"/>
          <w:szCs w:val="19"/>
        </w:rPr>
        <w:t>2</w:t>
      </w:r>
      <w:r>
        <w:rPr>
          <w:color w:val="000080"/>
          <w:spacing w:val="-12"/>
          <w:sz w:val="19"/>
          <w:szCs w:val="19"/>
        </w:rPr>
        <w:t xml:space="preserve"> </w:t>
      </w:r>
      <w:r>
        <w:rPr>
          <w:b/>
          <w:bCs/>
          <w:color w:val="000080"/>
          <w:spacing w:val="-12"/>
          <w:sz w:val="19"/>
          <w:szCs w:val="19"/>
        </w:rPr>
        <w:t>4</w:t>
      </w:r>
      <w:r>
        <w:rPr>
          <w:color w:val="000080"/>
          <w:spacing w:val="-12"/>
          <w:sz w:val="19"/>
          <w:szCs w:val="19"/>
        </w:rPr>
        <w:t xml:space="preserve"> </w:t>
      </w:r>
      <w:r>
        <w:rPr>
          <w:b/>
          <w:bCs/>
          <w:color w:val="000080"/>
          <w:spacing w:val="-12"/>
          <w:sz w:val="19"/>
          <w:szCs w:val="19"/>
        </w:rPr>
        <w:t>年</w:t>
      </w:r>
      <w:r>
        <w:rPr>
          <w:color w:val="000080"/>
          <w:spacing w:val="-12"/>
          <w:sz w:val="19"/>
          <w:szCs w:val="19"/>
        </w:rPr>
        <w:t xml:space="preserve"> </w:t>
      </w:r>
      <w:r>
        <w:rPr>
          <w:b/>
          <w:bCs/>
          <w:color w:val="000080"/>
          <w:spacing w:val="-12"/>
          <w:sz w:val="19"/>
          <w:szCs w:val="19"/>
        </w:rPr>
        <w:t>6</w:t>
      </w:r>
      <w:r>
        <w:rPr>
          <w:color w:val="000080"/>
          <w:spacing w:val="3"/>
          <w:sz w:val="19"/>
          <w:szCs w:val="19"/>
        </w:rPr>
        <w:t xml:space="preserve"> </w:t>
      </w:r>
      <w:r>
        <w:rPr>
          <w:b/>
          <w:bCs/>
          <w:color w:val="000080"/>
          <w:spacing w:val="-12"/>
          <w:sz w:val="19"/>
          <w:szCs w:val="19"/>
        </w:rPr>
        <w:t>月</w:t>
      </w:r>
    </w:p>
    <w:tbl>
      <w:tblPr>
        <w:tblStyle w:val="TableNormal4"/>
        <w:tblW w:w="7420" w:type="dxa"/>
        <w:tblInd w:w="29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1274"/>
        <w:gridCol w:w="679"/>
        <w:gridCol w:w="689"/>
        <w:gridCol w:w="689"/>
        <w:gridCol w:w="679"/>
        <w:gridCol w:w="679"/>
        <w:gridCol w:w="679"/>
        <w:gridCol w:w="679"/>
        <w:gridCol w:w="679"/>
        <w:gridCol w:w="694"/>
      </w:tblGrid>
      <w:tr>
        <w:tblPrEx>
          <w:tblW w:w="7420" w:type="dxa"/>
          <w:tblInd w:w="294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444"/>
        </w:trPr>
        <w:tc>
          <w:tcPr>
            <w:tcW w:w="7420" w:type="dxa"/>
            <w:gridSpan w:val="10"/>
            <w:vAlign w:val="top"/>
          </w:tcPr>
          <w:p>
            <w:pPr>
              <w:spacing w:before="181" w:line="185" w:lineRule="auto"/>
              <w:ind w:left="178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2"/>
                <w:sz w:val="17"/>
                <w:szCs w:val="17"/>
              </w:rPr>
              <w:t>CME</w:t>
            </w: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b/>
                <w:bCs/>
                <w:spacing w:val="-2"/>
                <w:sz w:val="17"/>
                <w:szCs w:val="17"/>
              </w:rPr>
              <w:t>FEDWATCH</w:t>
            </w: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b/>
                <w:bCs/>
                <w:spacing w:val="-2"/>
                <w:sz w:val="17"/>
                <w:szCs w:val="17"/>
              </w:rPr>
              <w:t>TOOL</w:t>
            </w: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b/>
                <w:bCs/>
                <w:spacing w:val="-2"/>
                <w:sz w:val="17"/>
                <w:szCs w:val="17"/>
              </w:rPr>
              <w:t>-MEETING</w:t>
            </w: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b/>
                <w:bCs/>
                <w:spacing w:val="-2"/>
                <w:sz w:val="17"/>
                <w:szCs w:val="17"/>
              </w:rPr>
              <w:t>PROBABILITIES</w:t>
            </w:r>
          </w:p>
        </w:tc>
      </w:tr>
      <w:tr>
        <w:tblPrEx>
          <w:tblW w:w="7420" w:type="dxa"/>
          <w:tblInd w:w="2949" w:type="dxa"/>
          <w:tblLayout w:type="fixed"/>
        </w:tblPrEx>
        <w:trPr>
          <w:trHeight w:val="429"/>
        </w:trPr>
        <w:tc>
          <w:tcPr>
            <w:tcW w:w="1274" w:type="dxa"/>
            <w:vAlign w:val="top"/>
          </w:tcPr>
          <w:p>
            <w:pPr>
              <w:spacing w:before="167" w:line="185" w:lineRule="auto"/>
              <w:ind w:left="4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2"/>
                <w:sz w:val="17"/>
                <w:szCs w:val="17"/>
              </w:rPr>
              <w:t>MEETING</w:t>
            </w: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 xml:space="preserve"> </w:t>
            </w:r>
            <w:r>
              <w:rPr>
                <w:rFonts w:ascii="SimSun" w:eastAsia="SimSun" w:hAnsi="SimSun" w:cs="SimSun"/>
                <w:b/>
                <w:bCs/>
                <w:spacing w:val="-2"/>
                <w:sz w:val="17"/>
                <w:szCs w:val="17"/>
              </w:rPr>
              <w:t>DATE</w:t>
            </w:r>
          </w:p>
        </w:tc>
        <w:tc>
          <w:tcPr>
            <w:tcW w:w="679" w:type="dxa"/>
            <w:vAlign w:val="top"/>
          </w:tcPr>
          <w:p>
            <w:pPr>
              <w:spacing w:before="170" w:line="183" w:lineRule="auto"/>
              <w:ind w:left="6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sz w:val="17"/>
                <w:szCs w:val="17"/>
              </w:rPr>
              <w:t>325-350</w:t>
            </w:r>
          </w:p>
        </w:tc>
        <w:tc>
          <w:tcPr>
            <w:tcW w:w="689" w:type="dxa"/>
            <w:vAlign w:val="top"/>
          </w:tcPr>
          <w:p>
            <w:pPr>
              <w:spacing w:before="170" w:line="183" w:lineRule="auto"/>
              <w:ind w:left="4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sz w:val="17"/>
                <w:szCs w:val="17"/>
              </w:rPr>
              <w:t>350-375</w:t>
            </w:r>
          </w:p>
        </w:tc>
        <w:tc>
          <w:tcPr>
            <w:tcW w:w="689" w:type="dxa"/>
            <w:vAlign w:val="top"/>
          </w:tcPr>
          <w:p>
            <w:pPr>
              <w:spacing w:before="170" w:line="183" w:lineRule="auto"/>
              <w:ind w:left="5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sz w:val="17"/>
                <w:szCs w:val="17"/>
              </w:rPr>
              <w:t>375-400</w:t>
            </w:r>
          </w:p>
        </w:tc>
        <w:tc>
          <w:tcPr>
            <w:tcW w:w="679" w:type="dxa"/>
            <w:vAlign w:val="top"/>
          </w:tcPr>
          <w:p>
            <w:pPr>
              <w:spacing w:before="170" w:line="183" w:lineRule="auto"/>
              <w:ind w:left="3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sz w:val="17"/>
                <w:szCs w:val="17"/>
              </w:rPr>
              <w:t>400-425</w:t>
            </w:r>
          </w:p>
        </w:tc>
        <w:tc>
          <w:tcPr>
            <w:tcW w:w="679" w:type="dxa"/>
            <w:vAlign w:val="top"/>
          </w:tcPr>
          <w:p>
            <w:pPr>
              <w:spacing w:before="170" w:line="183" w:lineRule="auto"/>
              <w:ind w:left="4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sz w:val="17"/>
                <w:szCs w:val="17"/>
              </w:rPr>
              <w:t>425-450</w:t>
            </w:r>
          </w:p>
        </w:tc>
        <w:tc>
          <w:tcPr>
            <w:tcW w:w="679" w:type="dxa"/>
            <w:vAlign w:val="top"/>
          </w:tcPr>
          <w:p>
            <w:pPr>
              <w:spacing w:before="170" w:line="183" w:lineRule="auto"/>
              <w:ind w:left="4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sz w:val="17"/>
                <w:szCs w:val="17"/>
              </w:rPr>
              <w:t>450-475</w:t>
            </w:r>
          </w:p>
        </w:tc>
        <w:tc>
          <w:tcPr>
            <w:tcW w:w="679" w:type="dxa"/>
            <w:vAlign w:val="top"/>
          </w:tcPr>
          <w:p>
            <w:pPr>
              <w:spacing w:before="170" w:line="183" w:lineRule="auto"/>
              <w:ind w:left="4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3"/>
                <w:sz w:val="17"/>
                <w:szCs w:val="17"/>
              </w:rPr>
              <w:t>475-500</w:t>
            </w:r>
          </w:p>
        </w:tc>
        <w:tc>
          <w:tcPr>
            <w:tcW w:w="679" w:type="dxa"/>
            <w:vAlign w:val="top"/>
          </w:tcPr>
          <w:p>
            <w:pPr>
              <w:spacing w:before="170" w:line="183" w:lineRule="auto"/>
              <w:ind w:left="40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sz w:val="17"/>
                <w:szCs w:val="17"/>
              </w:rPr>
              <w:t>500-525</w:t>
            </w:r>
          </w:p>
        </w:tc>
        <w:tc>
          <w:tcPr>
            <w:tcW w:w="694" w:type="dxa"/>
            <w:vAlign w:val="top"/>
          </w:tcPr>
          <w:p>
            <w:pPr>
              <w:spacing w:before="170" w:line="183" w:lineRule="auto"/>
              <w:ind w:left="61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b/>
                <w:bCs/>
                <w:spacing w:val="-4"/>
                <w:sz w:val="17"/>
                <w:szCs w:val="17"/>
              </w:rPr>
              <w:t>525-550</w:t>
            </w:r>
          </w:p>
        </w:tc>
      </w:tr>
      <w:tr>
        <w:tblPrEx>
          <w:tblW w:w="7420" w:type="dxa"/>
          <w:tblInd w:w="2949" w:type="dxa"/>
          <w:tblLayout w:type="fixed"/>
        </w:tblPrEx>
        <w:trPr>
          <w:trHeight w:val="229"/>
        </w:trPr>
        <w:tc>
          <w:tcPr>
            <w:tcW w:w="1274" w:type="dxa"/>
            <w:vAlign w:val="top"/>
          </w:tcPr>
          <w:p>
            <w:pPr>
              <w:spacing w:before="33" w:line="201" w:lineRule="auto"/>
              <w:ind w:left="47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2024/3/20</w:t>
            </w:r>
          </w:p>
        </w:tc>
        <w:tc>
          <w:tcPr>
            <w:tcW w:w="679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</w:p>
        </w:tc>
        <w:tc>
          <w:tcPr>
            <w:tcW w:w="689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</w:p>
        </w:tc>
        <w:tc>
          <w:tcPr>
            <w:tcW w:w="689" w:type="dxa"/>
            <w:vAlign w:val="top"/>
          </w:tcPr>
          <w:p>
            <w:pPr>
              <w:spacing w:line="219" w:lineRule="exact"/>
              <w:rPr>
                <w:rFonts w:ascii="Arial"/>
                <w:sz w:val="19"/>
              </w:rPr>
            </w:pPr>
          </w:p>
        </w:tc>
        <w:tc>
          <w:tcPr>
            <w:tcW w:w="679" w:type="dxa"/>
            <w:vAlign w:val="top"/>
          </w:tcPr>
          <w:p>
            <w:pPr>
              <w:spacing w:before="72" w:line="159" w:lineRule="auto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0.0%</w:t>
            </w:r>
          </w:p>
        </w:tc>
        <w:tc>
          <w:tcPr>
            <w:tcW w:w="679" w:type="dxa"/>
            <w:vAlign w:val="top"/>
          </w:tcPr>
          <w:p>
            <w:pPr>
              <w:spacing w:before="72" w:line="159" w:lineRule="auto"/>
              <w:ind w:left="30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0.0%</w:t>
            </w:r>
          </w:p>
        </w:tc>
        <w:tc>
          <w:tcPr>
            <w:tcW w:w="679" w:type="dxa"/>
            <w:vAlign w:val="top"/>
          </w:tcPr>
          <w:p>
            <w:pPr>
              <w:spacing w:before="72" w:line="159" w:lineRule="auto"/>
              <w:jc w:val="right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002988"/>
                <w:spacing w:val="-2"/>
                <w:sz w:val="17"/>
                <w:szCs w:val="17"/>
              </w:rPr>
              <w:t>0.0%</w:t>
            </w:r>
          </w:p>
        </w:tc>
        <w:tc>
          <w:tcPr>
            <w:tcW w:w="679" w:type="dxa"/>
            <w:vAlign w:val="top"/>
          </w:tcPr>
          <w:p>
            <w:pPr>
              <w:spacing w:before="72" w:line="159" w:lineRule="auto"/>
              <w:ind w:left="30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0.0%</w:t>
            </w:r>
          </w:p>
        </w:tc>
        <w:tc>
          <w:tcPr>
            <w:tcW w:w="679" w:type="dxa"/>
            <w:vAlign w:val="top"/>
          </w:tcPr>
          <w:p>
            <w:pPr>
              <w:spacing w:before="72" w:line="159" w:lineRule="auto"/>
              <w:ind w:right="20"/>
              <w:jc w:val="right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3.0%</w:t>
            </w:r>
          </w:p>
        </w:tc>
        <w:tc>
          <w:tcPr>
            <w:tcW w:w="694" w:type="dxa"/>
            <w:shd w:val="clear" w:color="auto" w:fill="BEF6FE"/>
            <w:vAlign w:val="top"/>
          </w:tcPr>
          <w:p>
            <w:pPr>
              <w:spacing w:before="72" w:line="159" w:lineRule="auto"/>
              <w:ind w:left="22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005484"/>
                <w:spacing w:val="-2"/>
                <w:sz w:val="17"/>
                <w:szCs w:val="17"/>
              </w:rPr>
              <w:t>97.0%</w:t>
            </w:r>
          </w:p>
        </w:tc>
      </w:tr>
      <w:tr>
        <w:tblPrEx>
          <w:tblW w:w="7420" w:type="dxa"/>
          <w:tblInd w:w="2949" w:type="dxa"/>
          <w:tblLayout w:type="fixed"/>
        </w:tblPrEx>
        <w:trPr>
          <w:trHeight w:val="249"/>
        </w:trPr>
        <w:tc>
          <w:tcPr>
            <w:tcW w:w="1274" w:type="dxa"/>
            <w:vAlign w:val="top"/>
          </w:tcPr>
          <w:p>
            <w:pPr>
              <w:spacing w:before="44" w:line="211" w:lineRule="auto"/>
              <w:ind w:right="26"/>
              <w:jc w:val="right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2024/5/1</w:t>
            </w:r>
          </w:p>
        </w:tc>
        <w:tc>
          <w:tcPr>
            <w:tcW w:w="679" w:type="dxa"/>
            <w:vAlign w:val="top"/>
          </w:tcPr>
          <w:p>
            <w:pPr>
              <w:spacing w:before="84" w:line="168" w:lineRule="auto"/>
              <w:ind w:right="15"/>
              <w:jc w:val="right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0.0%</w:t>
            </w:r>
          </w:p>
        </w:tc>
        <w:tc>
          <w:tcPr>
            <w:tcW w:w="689" w:type="dxa"/>
            <w:vAlign w:val="top"/>
          </w:tcPr>
          <w:p>
            <w:pPr>
              <w:spacing w:before="84" w:line="168" w:lineRule="auto"/>
              <w:ind w:left="30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0.0%</w:t>
            </w:r>
          </w:p>
        </w:tc>
        <w:tc>
          <w:tcPr>
            <w:tcW w:w="689" w:type="dxa"/>
            <w:vAlign w:val="top"/>
          </w:tcPr>
          <w:p>
            <w:pPr>
              <w:spacing w:before="84" w:line="168" w:lineRule="auto"/>
              <w:ind w:left="31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0.0%</w:t>
            </w:r>
          </w:p>
        </w:tc>
        <w:tc>
          <w:tcPr>
            <w:tcW w:w="679" w:type="dxa"/>
            <w:vAlign w:val="top"/>
          </w:tcPr>
          <w:p>
            <w:pPr>
              <w:spacing w:before="84" w:line="168" w:lineRule="auto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0.0%</w:t>
            </w:r>
          </w:p>
        </w:tc>
        <w:tc>
          <w:tcPr>
            <w:tcW w:w="679" w:type="dxa"/>
            <w:vAlign w:val="top"/>
          </w:tcPr>
          <w:p>
            <w:pPr>
              <w:spacing w:before="84" w:line="168" w:lineRule="auto"/>
              <w:ind w:left="30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0.0%</w:t>
            </w:r>
          </w:p>
        </w:tc>
        <w:tc>
          <w:tcPr>
            <w:tcW w:w="679" w:type="dxa"/>
            <w:vAlign w:val="top"/>
          </w:tcPr>
          <w:p>
            <w:pPr>
              <w:spacing w:before="84" w:line="168" w:lineRule="auto"/>
              <w:jc w:val="right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0.0%</w:t>
            </w:r>
          </w:p>
        </w:tc>
        <w:tc>
          <w:tcPr>
            <w:tcW w:w="679" w:type="dxa"/>
            <w:vAlign w:val="top"/>
          </w:tcPr>
          <w:p>
            <w:pPr>
              <w:spacing w:before="84" w:line="168" w:lineRule="auto"/>
              <w:ind w:left="30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0.6%</w:t>
            </w:r>
          </w:p>
        </w:tc>
        <w:tc>
          <w:tcPr>
            <w:tcW w:w="679" w:type="dxa"/>
            <w:vAlign w:val="top"/>
          </w:tcPr>
          <w:p>
            <w:pPr>
              <w:spacing w:before="83" w:line="169" w:lineRule="auto"/>
              <w:ind w:left="22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21.1%</w:t>
            </w:r>
          </w:p>
        </w:tc>
        <w:tc>
          <w:tcPr>
            <w:tcW w:w="694" w:type="dxa"/>
            <w:shd w:val="clear" w:color="auto" w:fill="BEF6FE"/>
            <w:vAlign w:val="top"/>
          </w:tcPr>
          <w:p>
            <w:pPr>
              <w:spacing w:before="84" w:line="168" w:lineRule="auto"/>
              <w:ind w:left="22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005C7D"/>
                <w:spacing w:val="-3"/>
                <w:sz w:val="17"/>
                <w:szCs w:val="17"/>
              </w:rPr>
              <w:t>78.4%</w:t>
            </w:r>
          </w:p>
        </w:tc>
      </w:tr>
      <w:tr>
        <w:tblPrEx>
          <w:tblW w:w="7420" w:type="dxa"/>
          <w:tblInd w:w="2949" w:type="dxa"/>
          <w:tblLayout w:type="fixed"/>
        </w:tblPrEx>
        <w:trPr>
          <w:trHeight w:val="229"/>
        </w:trPr>
        <w:tc>
          <w:tcPr>
            <w:tcW w:w="1274" w:type="dxa"/>
            <w:vAlign w:val="top"/>
          </w:tcPr>
          <w:p>
            <w:pPr>
              <w:spacing w:before="35" w:line="199" w:lineRule="auto"/>
              <w:ind w:left="47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2024/6/12</w:t>
            </w:r>
          </w:p>
        </w:tc>
        <w:tc>
          <w:tcPr>
            <w:tcW w:w="679" w:type="dxa"/>
            <w:vAlign w:val="top"/>
          </w:tcPr>
          <w:p>
            <w:pPr>
              <w:spacing w:before="74" w:line="157" w:lineRule="auto"/>
              <w:ind w:right="15"/>
              <w:jc w:val="right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0.0%</w:t>
            </w:r>
          </w:p>
        </w:tc>
        <w:tc>
          <w:tcPr>
            <w:tcW w:w="689" w:type="dxa"/>
            <w:vAlign w:val="top"/>
          </w:tcPr>
          <w:p>
            <w:pPr>
              <w:spacing w:before="74" w:line="157" w:lineRule="auto"/>
              <w:ind w:left="30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0.0%</w:t>
            </w:r>
          </w:p>
        </w:tc>
        <w:tc>
          <w:tcPr>
            <w:tcW w:w="689" w:type="dxa"/>
            <w:vAlign w:val="top"/>
          </w:tcPr>
          <w:p>
            <w:pPr>
              <w:spacing w:before="74" w:line="157" w:lineRule="auto"/>
              <w:ind w:left="31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0.0%</w:t>
            </w:r>
          </w:p>
        </w:tc>
        <w:tc>
          <w:tcPr>
            <w:tcW w:w="679" w:type="dxa"/>
            <w:vAlign w:val="top"/>
          </w:tcPr>
          <w:p>
            <w:pPr>
              <w:spacing w:before="74" w:line="157" w:lineRule="auto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0.0%</w:t>
            </w:r>
          </w:p>
        </w:tc>
        <w:tc>
          <w:tcPr>
            <w:tcW w:w="679" w:type="dxa"/>
            <w:vAlign w:val="top"/>
          </w:tcPr>
          <w:p>
            <w:pPr>
              <w:spacing w:before="74" w:line="157" w:lineRule="auto"/>
              <w:ind w:left="30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0.0%</w:t>
            </w:r>
          </w:p>
        </w:tc>
        <w:tc>
          <w:tcPr>
            <w:tcW w:w="679" w:type="dxa"/>
            <w:vAlign w:val="top"/>
          </w:tcPr>
          <w:p>
            <w:pPr>
              <w:spacing w:before="74" w:line="157" w:lineRule="auto"/>
              <w:jc w:val="right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003F87"/>
                <w:spacing w:val="-2"/>
                <w:sz w:val="17"/>
                <w:szCs w:val="17"/>
              </w:rPr>
              <w:t>0.3%</w:t>
            </w:r>
          </w:p>
        </w:tc>
        <w:tc>
          <w:tcPr>
            <w:tcW w:w="679" w:type="dxa"/>
            <w:vAlign w:val="top"/>
          </w:tcPr>
          <w:p>
            <w:pPr>
              <w:spacing w:before="74" w:line="157" w:lineRule="auto"/>
              <w:ind w:left="21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sz w:val="17"/>
                <w:szCs w:val="17"/>
              </w:rPr>
              <w:t>11.8%</w:t>
            </w:r>
          </w:p>
        </w:tc>
        <w:tc>
          <w:tcPr>
            <w:tcW w:w="679" w:type="dxa"/>
            <w:shd w:val="clear" w:color="auto" w:fill="BEF6FE"/>
            <w:vAlign w:val="top"/>
          </w:tcPr>
          <w:p>
            <w:pPr>
              <w:spacing w:before="74" w:line="157" w:lineRule="auto"/>
              <w:ind w:left="22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003E75"/>
                <w:spacing w:val="-3"/>
                <w:sz w:val="17"/>
                <w:szCs w:val="17"/>
              </w:rPr>
              <w:t>52.5%</w:t>
            </w:r>
          </w:p>
        </w:tc>
        <w:tc>
          <w:tcPr>
            <w:tcW w:w="694" w:type="dxa"/>
            <w:shd w:val="clear" w:color="auto" w:fill="F9F9D1"/>
            <w:vAlign w:val="top"/>
          </w:tcPr>
          <w:p>
            <w:pPr>
              <w:spacing w:before="74" w:line="157" w:lineRule="auto"/>
              <w:ind w:left="22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sz w:val="17"/>
                <w:szCs w:val="17"/>
              </w:rPr>
              <w:t>35.3%</w:t>
            </w:r>
          </w:p>
        </w:tc>
      </w:tr>
      <w:tr>
        <w:tblPrEx>
          <w:tblW w:w="7420" w:type="dxa"/>
          <w:tblInd w:w="2949" w:type="dxa"/>
          <w:tblLayout w:type="fixed"/>
        </w:tblPrEx>
        <w:trPr>
          <w:trHeight w:val="239"/>
        </w:trPr>
        <w:tc>
          <w:tcPr>
            <w:tcW w:w="1274" w:type="dxa"/>
            <w:vAlign w:val="top"/>
          </w:tcPr>
          <w:p>
            <w:pPr>
              <w:spacing w:before="46" w:line="198" w:lineRule="auto"/>
              <w:ind w:left="47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2024/7/31</w:t>
            </w:r>
          </w:p>
        </w:tc>
        <w:tc>
          <w:tcPr>
            <w:tcW w:w="679" w:type="dxa"/>
            <w:vAlign w:val="top"/>
          </w:tcPr>
          <w:p>
            <w:pPr>
              <w:spacing w:before="85" w:line="144" w:lineRule="exact"/>
              <w:ind w:right="15"/>
              <w:jc w:val="right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0.0%</w:t>
            </w:r>
          </w:p>
        </w:tc>
        <w:tc>
          <w:tcPr>
            <w:tcW w:w="689" w:type="dxa"/>
            <w:vAlign w:val="top"/>
          </w:tcPr>
          <w:p>
            <w:pPr>
              <w:spacing w:before="85" w:line="144" w:lineRule="exact"/>
              <w:ind w:left="30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0.0%</w:t>
            </w:r>
          </w:p>
        </w:tc>
        <w:tc>
          <w:tcPr>
            <w:tcW w:w="689" w:type="dxa"/>
            <w:vAlign w:val="top"/>
          </w:tcPr>
          <w:p>
            <w:pPr>
              <w:spacing w:before="85" w:line="144" w:lineRule="exact"/>
              <w:ind w:left="31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0.0%</w:t>
            </w:r>
          </w:p>
        </w:tc>
        <w:tc>
          <w:tcPr>
            <w:tcW w:w="679" w:type="dxa"/>
            <w:vAlign w:val="top"/>
          </w:tcPr>
          <w:p>
            <w:pPr>
              <w:spacing w:before="85" w:line="144" w:lineRule="exact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0.0%</w:t>
            </w:r>
          </w:p>
        </w:tc>
        <w:tc>
          <w:tcPr>
            <w:tcW w:w="679" w:type="dxa"/>
            <w:vAlign w:val="top"/>
          </w:tcPr>
          <w:p>
            <w:pPr>
              <w:spacing w:before="85" w:line="144" w:lineRule="exact"/>
              <w:ind w:left="30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0.2%</w:t>
            </w:r>
          </w:p>
        </w:tc>
        <w:tc>
          <w:tcPr>
            <w:tcW w:w="679" w:type="dxa"/>
            <w:vAlign w:val="top"/>
          </w:tcPr>
          <w:p>
            <w:pPr>
              <w:spacing w:before="85" w:line="144" w:lineRule="exact"/>
              <w:ind w:right="3"/>
              <w:jc w:val="right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7.0%</w:t>
            </w:r>
          </w:p>
        </w:tc>
        <w:tc>
          <w:tcPr>
            <w:tcW w:w="679" w:type="dxa"/>
            <w:vAlign w:val="top"/>
          </w:tcPr>
          <w:p>
            <w:pPr>
              <w:spacing w:before="85" w:line="144" w:lineRule="exact"/>
              <w:ind w:left="21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35.4%</w:t>
            </w:r>
          </w:p>
        </w:tc>
        <w:tc>
          <w:tcPr>
            <w:tcW w:w="679" w:type="dxa"/>
            <w:shd w:val="clear" w:color="auto" w:fill="BEF6FE"/>
            <w:vAlign w:val="top"/>
          </w:tcPr>
          <w:p>
            <w:pPr>
              <w:spacing w:before="85" w:line="144" w:lineRule="exact"/>
              <w:ind w:left="22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42.6%</w:t>
            </w:r>
          </w:p>
        </w:tc>
        <w:tc>
          <w:tcPr>
            <w:tcW w:w="694" w:type="dxa"/>
            <w:shd w:val="clear" w:color="auto" w:fill="F9F9D1"/>
            <w:vAlign w:val="top"/>
          </w:tcPr>
          <w:p>
            <w:pPr>
              <w:spacing w:before="85" w:line="144" w:lineRule="exact"/>
              <w:ind w:left="22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position w:val="-2"/>
                <w:sz w:val="17"/>
                <w:szCs w:val="17"/>
              </w:rPr>
              <w:t>14.9%</w:t>
            </w:r>
          </w:p>
        </w:tc>
      </w:tr>
      <w:tr>
        <w:tblPrEx>
          <w:tblW w:w="7420" w:type="dxa"/>
          <w:tblInd w:w="2949" w:type="dxa"/>
          <w:tblLayout w:type="fixed"/>
        </w:tblPrEx>
        <w:trPr>
          <w:trHeight w:val="239"/>
        </w:trPr>
        <w:tc>
          <w:tcPr>
            <w:tcW w:w="1274" w:type="dxa"/>
            <w:vAlign w:val="top"/>
          </w:tcPr>
          <w:p>
            <w:pPr>
              <w:spacing w:before="47" w:line="197" w:lineRule="auto"/>
              <w:ind w:left="47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2024/9/18</w:t>
            </w:r>
          </w:p>
        </w:tc>
        <w:tc>
          <w:tcPr>
            <w:tcW w:w="679" w:type="dxa"/>
            <w:vAlign w:val="top"/>
          </w:tcPr>
          <w:p>
            <w:pPr>
              <w:spacing w:before="86" w:line="143" w:lineRule="exact"/>
              <w:ind w:right="15"/>
              <w:jc w:val="right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0.0%</w:t>
            </w:r>
          </w:p>
        </w:tc>
        <w:tc>
          <w:tcPr>
            <w:tcW w:w="689" w:type="dxa"/>
            <w:vAlign w:val="top"/>
          </w:tcPr>
          <w:p>
            <w:pPr>
              <w:spacing w:before="86" w:line="143" w:lineRule="exact"/>
              <w:ind w:left="30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0.0%</w:t>
            </w:r>
          </w:p>
        </w:tc>
        <w:tc>
          <w:tcPr>
            <w:tcW w:w="689" w:type="dxa"/>
            <w:vAlign w:val="top"/>
          </w:tcPr>
          <w:p>
            <w:pPr>
              <w:spacing w:before="86" w:line="143" w:lineRule="exact"/>
              <w:ind w:left="31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0.0%</w:t>
            </w:r>
          </w:p>
        </w:tc>
        <w:tc>
          <w:tcPr>
            <w:tcW w:w="679" w:type="dxa"/>
            <w:vAlign w:val="top"/>
          </w:tcPr>
          <w:p>
            <w:pPr>
              <w:spacing w:before="86" w:line="143" w:lineRule="exact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0.1%</w:t>
            </w:r>
          </w:p>
        </w:tc>
        <w:tc>
          <w:tcPr>
            <w:tcW w:w="679" w:type="dxa"/>
            <w:vAlign w:val="top"/>
          </w:tcPr>
          <w:p>
            <w:pPr>
              <w:spacing w:before="86" w:line="143" w:lineRule="exact"/>
              <w:ind w:left="30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5.3%</w:t>
            </w:r>
          </w:p>
        </w:tc>
        <w:tc>
          <w:tcPr>
            <w:tcW w:w="679" w:type="dxa"/>
            <w:vAlign w:val="top"/>
          </w:tcPr>
          <w:p>
            <w:pPr>
              <w:spacing w:before="86" w:line="143" w:lineRule="exact"/>
              <w:ind w:right="6"/>
              <w:jc w:val="right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28.6%</w:t>
            </w:r>
          </w:p>
        </w:tc>
        <w:tc>
          <w:tcPr>
            <w:tcW w:w="679" w:type="dxa"/>
            <w:shd w:val="clear" w:color="auto" w:fill="BEF7FE"/>
            <w:vAlign w:val="top"/>
          </w:tcPr>
          <w:p>
            <w:pPr>
              <w:spacing w:before="86" w:line="143" w:lineRule="exact"/>
              <w:ind w:left="21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40.8%</w:t>
            </w:r>
          </w:p>
        </w:tc>
        <w:tc>
          <w:tcPr>
            <w:tcW w:w="679" w:type="dxa"/>
            <w:shd w:val="clear" w:color="auto" w:fill="FAFAD1"/>
            <w:vAlign w:val="top"/>
          </w:tcPr>
          <w:p>
            <w:pPr>
              <w:spacing w:before="86" w:line="143" w:lineRule="exact"/>
              <w:ind w:left="22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6A6A5F"/>
                <w:spacing w:val="-2"/>
                <w:position w:val="-2"/>
                <w:sz w:val="17"/>
                <w:szCs w:val="17"/>
              </w:rPr>
              <w:t>21.5%</w:t>
            </w:r>
          </w:p>
        </w:tc>
        <w:tc>
          <w:tcPr>
            <w:tcW w:w="694" w:type="dxa"/>
            <w:shd w:val="clear" w:color="auto" w:fill="FAFAD2"/>
            <w:vAlign w:val="top"/>
          </w:tcPr>
          <w:p>
            <w:pPr>
              <w:spacing w:before="86" w:line="143" w:lineRule="exact"/>
              <w:ind w:left="31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6C6B60"/>
                <w:spacing w:val="-3"/>
                <w:position w:val="-2"/>
                <w:sz w:val="17"/>
                <w:szCs w:val="17"/>
              </w:rPr>
              <w:t>3.6%</w:t>
            </w:r>
          </w:p>
        </w:tc>
      </w:tr>
      <w:tr>
        <w:tblPrEx>
          <w:tblW w:w="7420" w:type="dxa"/>
          <w:tblInd w:w="2949" w:type="dxa"/>
          <w:tblLayout w:type="fixed"/>
        </w:tblPrEx>
        <w:trPr>
          <w:trHeight w:val="240"/>
        </w:trPr>
        <w:tc>
          <w:tcPr>
            <w:tcW w:w="1274" w:type="dxa"/>
            <w:vAlign w:val="top"/>
          </w:tcPr>
          <w:p>
            <w:pPr>
              <w:spacing w:before="48" w:line="197" w:lineRule="auto"/>
              <w:ind w:left="47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2024/11/7</w:t>
            </w:r>
          </w:p>
        </w:tc>
        <w:tc>
          <w:tcPr>
            <w:tcW w:w="679" w:type="dxa"/>
            <w:vAlign w:val="top"/>
          </w:tcPr>
          <w:p>
            <w:pPr>
              <w:spacing w:before="87" w:line="143" w:lineRule="exact"/>
              <w:ind w:right="15"/>
              <w:jc w:val="right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0.0%</w:t>
            </w:r>
          </w:p>
        </w:tc>
        <w:tc>
          <w:tcPr>
            <w:tcW w:w="689" w:type="dxa"/>
            <w:vAlign w:val="top"/>
          </w:tcPr>
          <w:p>
            <w:pPr>
              <w:spacing w:before="87" w:line="143" w:lineRule="exact"/>
              <w:ind w:left="30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0.0%</w:t>
            </w:r>
          </w:p>
        </w:tc>
        <w:tc>
          <w:tcPr>
            <w:tcW w:w="689" w:type="dxa"/>
            <w:vAlign w:val="top"/>
          </w:tcPr>
          <w:p>
            <w:pPr>
              <w:spacing w:before="87" w:line="143" w:lineRule="exact"/>
              <w:ind w:left="31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0.1%</w:t>
            </w:r>
          </w:p>
        </w:tc>
        <w:tc>
          <w:tcPr>
            <w:tcW w:w="679" w:type="dxa"/>
            <w:vAlign w:val="top"/>
          </w:tcPr>
          <w:p>
            <w:pPr>
              <w:spacing w:before="87" w:line="143" w:lineRule="exact"/>
              <w:ind w:left="29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3.0%</w:t>
            </w:r>
          </w:p>
        </w:tc>
        <w:tc>
          <w:tcPr>
            <w:tcW w:w="679" w:type="dxa"/>
            <w:vAlign w:val="top"/>
          </w:tcPr>
          <w:p>
            <w:pPr>
              <w:spacing w:before="87" w:line="143" w:lineRule="exact"/>
              <w:ind w:left="21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position w:val="-2"/>
                <w:sz w:val="17"/>
                <w:szCs w:val="17"/>
              </w:rPr>
              <w:t>18.2%</w:t>
            </w:r>
          </w:p>
        </w:tc>
        <w:tc>
          <w:tcPr>
            <w:tcW w:w="679" w:type="dxa"/>
            <w:shd w:val="clear" w:color="auto" w:fill="BEF6FE"/>
            <w:vAlign w:val="top"/>
          </w:tcPr>
          <w:p>
            <w:pPr>
              <w:spacing w:before="87" w:line="143" w:lineRule="exact"/>
              <w:ind w:right="8"/>
              <w:jc w:val="right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006174"/>
                <w:spacing w:val="-3"/>
                <w:position w:val="-2"/>
                <w:sz w:val="17"/>
                <w:szCs w:val="17"/>
              </w:rPr>
              <w:t>35.4%</w:t>
            </w:r>
          </w:p>
        </w:tc>
        <w:tc>
          <w:tcPr>
            <w:tcW w:w="679" w:type="dxa"/>
            <w:shd w:val="clear" w:color="auto" w:fill="F9F9D1"/>
            <w:vAlign w:val="top"/>
          </w:tcPr>
          <w:p>
            <w:pPr>
              <w:spacing w:before="87" w:line="143" w:lineRule="exact"/>
              <w:ind w:left="21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75726B"/>
                <w:spacing w:val="-3"/>
                <w:position w:val="-2"/>
                <w:sz w:val="17"/>
                <w:szCs w:val="17"/>
              </w:rPr>
              <w:t>30.1%</w:t>
            </w:r>
          </w:p>
        </w:tc>
        <w:tc>
          <w:tcPr>
            <w:tcW w:w="679" w:type="dxa"/>
            <w:shd w:val="clear" w:color="auto" w:fill="F9F9D1"/>
            <w:vAlign w:val="top"/>
          </w:tcPr>
          <w:p>
            <w:pPr>
              <w:spacing w:before="87" w:line="143" w:lineRule="exact"/>
              <w:ind w:left="22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795500"/>
                <w:spacing w:val="-4"/>
                <w:position w:val="-2"/>
                <w:sz w:val="17"/>
                <w:szCs w:val="17"/>
              </w:rPr>
              <w:t>11.6%</w:t>
            </w:r>
          </w:p>
        </w:tc>
        <w:tc>
          <w:tcPr>
            <w:tcW w:w="694" w:type="dxa"/>
            <w:shd w:val="clear" w:color="auto" w:fill="F9F9D1"/>
            <w:vAlign w:val="top"/>
          </w:tcPr>
          <w:p>
            <w:pPr>
              <w:spacing w:before="87" w:line="143" w:lineRule="exact"/>
              <w:ind w:left="31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795D00"/>
                <w:spacing w:val="-5"/>
                <w:position w:val="-2"/>
                <w:sz w:val="17"/>
                <w:szCs w:val="17"/>
              </w:rPr>
              <w:t>1.6%</w:t>
            </w:r>
          </w:p>
        </w:tc>
      </w:tr>
    </w:tbl>
    <w:p>
      <w:pPr>
        <w:sectPr>
          <w:footerReference w:type="default" r:id="rId52"/>
          <w:type w:val="continuous"/>
          <w:pgSz w:w="11910" w:h="16840"/>
          <w:pgMar w:top="156" w:right="660" w:bottom="1129" w:left="719" w:header="0" w:footer="860" w:gutter="0"/>
          <w:pgNumType w:start="26"/>
          <w:cols w:num="1" w:space="708" w:equalWidth="0">
            <w:col w:w="10530" w:space="0"/>
          </w:cols>
        </w:sectPr>
      </w:pPr>
    </w:p>
    <w:tbl>
      <w:tblPr>
        <w:tblStyle w:val="TableNormal5"/>
        <w:tblW w:w="7420" w:type="dxa"/>
        <w:tblInd w:w="29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1274"/>
        <w:gridCol w:w="679"/>
        <w:gridCol w:w="689"/>
        <w:gridCol w:w="689"/>
        <w:gridCol w:w="679"/>
        <w:gridCol w:w="679"/>
        <w:gridCol w:w="679"/>
        <w:gridCol w:w="679"/>
        <w:gridCol w:w="679"/>
        <w:gridCol w:w="694"/>
      </w:tblGrid>
      <w:tr>
        <w:tblPrEx>
          <w:tblW w:w="7420" w:type="dxa"/>
          <w:tblInd w:w="294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229"/>
        </w:trPr>
        <w:tc>
          <w:tcPr>
            <w:tcW w:w="1274" w:type="dxa"/>
            <w:vAlign w:val="top"/>
          </w:tcPr>
          <w:p>
            <w:pPr>
              <w:spacing w:before="38" w:line="196" w:lineRule="auto"/>
              <w:ind w:right="26"/>
              <w:jc w:val="right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2024/12/18</w:t>
            </w:r>
          </w:p>
        </w:tc>
        <w:tc>
          <w:tcPr>
            <w:tcW w:w="679" w:type="dxa"/>
            <w:vAlign w:val="top"/>
          </w:tcPr>
          <w:p>
            <w:pPr>
              <w:spacing w:before="77" w:line="142" w:lineRule="exact"/>
              <w:ind w:right="15"/>
              <w:jc w:val="right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0.0%</w:t>
            </w:r>
          </w:p>
        </w:tc>
        <w:tc>
          <w:tcPr>
            <w:tcW w:w="689" w:type="dxa"/>
            <w:vAlign w:val="top"/>
          </w:tcPr>
          <w:p>
            <w:pPr>
              <w:spacing w:before="77" w:line="142" w:lineRule="exact"/>
              <w:ind w:left="30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000485"/>
                <w:spacing w:val="-2"/>
                <w:position w:val="-2"/>
                <w:sz w:val="17"/>
                <w:szCs w:val="17"/>
              </w:rPr>
              <w:t>0.1%</w:t>
            </w:r>
          </w:p>
        </w:tc>
        <w:tc>
          <w:tcPr>
            <w:tcW w:w="689" w:type="dxa"/>
            <w:vAlign w:val="top"/>
          </w:tcPr>
          <w:p>
            <w:pPr>
              <w:spacing w:before="77" w:line="142" w:lineRule="exact"/>
              <w:ind w:left="31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2.1%</w:t>
            </w:r>
          </w:p>
        </w:tc>
        <w:tc>
          <w:tcPr>
            <w:tcW w:w="679" w:type="dxa"/>
            <w:vAlign w:val="top"/>
          </w:tcPr>
          <w:p>
            <w:pPr>
              <w:spacing w:before="77" w:line="142" w:lineRule="exact"/>
              <w:ind w:left="20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position w:val="-2"/>
                <w:sz w:val="17"/>
                <w:szCs w:val="17"/>
              </w:rPr>
              <w:t>13.6%</w:t>
            </w:r>
          </w:p>
        </w:tc>
        <w:tc>
          <w:tcPr>
            <w:tcW w:w="679" w:type="dxa"/>
            <w:vAlign w:val="top"/>
          </w:tcPr>
          <w:p>
            <w:pPr>
              <w:spacing w:before="77" w:line="142" w:lineRule="exact"/>
              <w:ind w:left="21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3"/>
                <w:position w:val="-2"/>
                <w:sz w:val="17"/>
                <w:szCs w:val="17"/>
              </w:rPr>
              <w:t>30.2%</w:t>
            </w:r>
          </w:p>
        </w:tc>
        <w:tc>
          <w:tcPr>
            <w:tcW w:w="679" w:type="dxa"/>
            <w:shd w:val="clear" w:color="auto" w:fill="BEF7FE"/>
            <w:vAlign w:val="top"/>
          </w:tcPr>
          <w:p>
            <w:pPr>
              <w:spacing w:before="77" w:line="142" w:lineRule="exact"/>
              <w:ind w:right="8"/>
              <w:jc w:val="right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006A84"/>
                <w:spacing w:val="-3"/>
                <w:position w:val="-2"/>
                <w:sz w:val="17"/>
                <w:szCs w:val="17"/>
              </w:rPr>
              <w:t>31.7%</w:t>
            </w:r>
          </w:p>
        </w:tc>
        <w:tc>
          <w:tcPr>
            <w:tcW w:w="679" w:type="dxa"/>
            <w:shd w:val="clear" w:color="auto" w:fill="F9FAD1"/>
            <w:vAlign w:val="top"/>
          </w:tcPr>
          <w:p>
            <w:pPr>
              <w:spacing w:before="77" w:line="142" w:lineRule="exact"/>
              <w:ind w:left="217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78776A"/>
                <w:spacing w:val="-4"/>
                <w:position w:val="-2"/>
                <w:sz w:val="17"/>
                <w:szCs w:val="17"/>
              </w:rPr>
              <w:t>17.2%</w:t>
            </w:r>
          </w:p>
        </w:tc>
        <w:tc>
          <w:tcPr>
            <w:tcW w:w="679" w:type="dxa"/>
            <w:shd w:val="clear" w:color="auto" w:fill="FAFAD1"/>
            <w:vAlign w:val="top"/>
          </w:tcPr>
          <w:p>
            <w:pPr>
              <w:spacing w:before="77" w:line="142" w:lineRule="exact"/>
              <w:ind w:right="16"/>
              <w:jc w:val="right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6A6465"/>
                <w:spacing w:val="-2"/>
                <w:position w:val="-2"/>
                <w:sz w:val="17"/>
                <w:szCs w:val="17"/>
              </w:rPr>
              <w:t>4.6%</w:t>
            </w:r>
          </w:p>
        </w:tc>
        <w:tc>
          <w:tcPr>
            <w:tcW w:w="694" w:type="dxa"/>
            <w:shd w:val="clear" w:color="auto" w:fill="FAFAD2"/>
            <w:vAlign w:val="top"/>
          </w:tcPr>
          <w:p>
            <w:pPr>
              <w:spacing w:before="77" w:line="142" w:lineRule="exact"/>
              <w:ind w:left="31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67746F"/>
                <w:spacing w:val="-2"/>
                <w:position w:val="-2"/>
                <w:sz w:val="17"/>
                <w:szCs w:val="17"/>
              </w:rPr>
              <w:t>0.5%</w:t>
            </w:r>
          </w:p>
        </w:tc>
      </w:tr>
      <w:tr>
        <w:tblPrEx>
          <w:tblW w:w="7420" w:type="dxa"/>
          <w:tblInd w:w="2949" w:type="dxa"/>
          <w:tblLayout w:type="fixed"/>
        </w:tblPrEx>
        <w:trPr>
          <w:trHeight w:val="249"/>
        </w:trPr>
        <w:tc>
          <w:tcPr>
            <w:tcW w:w="1274" w:type="dxa"/>
            <w:vAlign w:val="top"/>
          </w:tcPr>
          <w:p>
            <w:pPr>
              <w:spacing w:before="49" w:line="206" w:lineRule="auto"/>
              <w:ind w:left="47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2025/1/29</w:t>
            </w:r>
          </w:p>
        </w:tc>
        <w:tc>
          <w:tcPr>
            <w:tcW w:w="679" w:type="dxa"/>
            <w:vAlign w:val="top"/>
          </w:tcPr>
          <w:p>
            <w:pPr>
              <w:spacing w:before="88" w:line="163" w:lineRule="auto"/>
              <w:ind w:right="15"/>
              <w:jc w:val="right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0.0%</w:t>
            </w:r>
          </w:p>
        </w:tc>
        <w:tc>
          <w:tcPr>
            <w:tcW w:w="689" w:type="dxa"/>
            <w:vAlign w:val="top"/>
          </w:tcPr>
          <w:p>
            <w:pPr>
              <w:spacing w:before="87" w:line="164" w:lineRule="auto"/>
              <w:ind w:left="30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5"/>
                <w:sz w:val="17"/>
                <w:szCs w:val="17"/>
              </w:rPr>
              <w:t>1.3%</w:t>
            </w:r>
          </w:p>
        </w:tc>
        <w:tc>
          <w:tcPr>
            <w:tcW w:w="689" w:type="dxa"/>
            <w:vAlign w:val="top"/>
          </w:tcPr>
          <w:p>
            <w:pPr>
              <w:spacing w:before="88" w:line="163" w:lineRule="auto"/>
              <w:ind w:left="31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9.0%</w:t>
            </w:r>
          </w:p>
        </w:tc>
        <w:tc>
          <w:tcPr>
            <w:tcW w:w="679" w:type="dxa"/>
            <w:vAlign w:val="top"/>
          </w:tcPr>
          <w:p>
            <w:pPr>
              <w:spacing w:before="88" w:line="163" w:lineRule="auto"/>
              <w:ind w:left="20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sz w:val="17"/>
                <w:szCs w:val="17"/>
              </w:rPr>
              <w:t>23.5%</w:t>
            </w:r>
          </w:p>
        </w:tc>
        <w:tc>
          <w:tcPr>
            <w:tcW w:w="679" w:type="dxa"/>
            <w:shd w:val="clear" w:color="auto" w:fill="BEF6FE"/>
            <w:vAlign w:val="top"/>
          </w:tcPr>
          <w:p>
            <w:pPr>
              <w:spacing w:before="87" w:line="164" w:lineRule="auto"/>
              <w:ind w:left="21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003C81"/>
                <w:spacing w:val="-3"/>
                <w:sz w:val="17"/>
                <w:szCs w:val="17"/>
              </w:rPr>
              <w:t>31.1%</w:t>
            </w:r>
          </w:p>
        </w:tc>
        <w:tc>
          <w:tcPr>
            <w:tcW w:w="679" w:type="dxa"/>
            <w:shd w:val="clear" w:color="auto" w:fill="F9FAD1"/>
            <w:vAlign w:val="top"/>
          </w:tcPr>
          <w:p>
            <w:pPr>
              <w:spacing w:before="88" w:line="163" w:lineRule="auto"/>
              <w:ind w:right="6"/>
              <w:jc w:val="right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7B746D"/>
                <w:spacing w:val="-2"/>
                <w:sz w:val="17"/>
                <w:szCs w:val="17"/>
              </w:rPr>
              <w:t>23.0%</w:t>
            </w:r>
          </w:p>
        </w:tc>
        <w:tc>
          <w:tcPr>
            <w:tcW w:w="679" w:type="dxa"/>
            <w:shd w:val="clear" w:color="auto" w:fill="F9F9D1"/>
            <w:vAlign w:val="top"/>
          </w:tcPr>
          <w:p>
            <w:pPr>
              <w:spacing w:before="88" w:line="163" w:lineRule="auto"/>
              <w:ind w:left="30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7A766D"/>
                <w:spacing w:val="-2"/>
                <w:sz w:val="17"/>
                <w:szCs w:val="17"/>
              </w:rPr>
              <w:t>9.7%</w:t>
            </w:r>
          </w:p>
        </w:tc>
        <w:tc>
          <w:tcPr>
            <w:tcW w:w="679" w:type="dxa"/>
            <w:shd w:val="clear" w:color="auto" w:fill="F9FAD1"/>
            <w:vAlign w:val="top"/>
          </w:tcPr>
          <w:p>
            <w:pPr>
              <w:spacing w:before="87" w:line="164" w:lineRule="auto"/>
              <w:ind w:right="19"/>
              <w:jc w:val="right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767376"/>
                <w:spacing w:val="-3"/>
                <w:sz w:val="17"/>
                <w:szCs w:val="17"/>
              </w:rPr>
              <w:t>2.1%</w:t>
            </w:r>
          </w:p>
        </w:tc>
        <w:tc>
          <w:tcPr>
            <w:tcW w:w="694" w:type="dxa"/>
            <w:shd w:val="clear" w:color="auto" w:fill="F9F9D1"/>
            <w:vAlign w:val="top"/>
          </w:tcPr>
          <w:p>
            <w:pPr>
              <w:spacing w:before="88" w:line="163" w:lineRule="auto"/>
              <w:ind w:left="31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838172"/>
                <w:spacing w:val="-2"/>
                <w:sz w:val="17"/>
                <w:szCs w:val="17"/>
              </w:rPr>
              <w:t>0.2%</w:t>
            </w:r>
          </w:p>
        </w:tc>
      </w:tr>
      <w:tr>
        <w:tblPrEx>
          <w:tblW w:w="7420" w:type="dxa"/>
          <w:tblInd w:w="2949" w:type="dxa"/>
          <w:tblLayout w:type="fixed"/>
        </w:tblPrEx>
        <w:trPr>
          <w:trHeight w:val="244"/>
        </w:trPr>
        <w:tc>
          <w:tcPr>
            <w:tcW w:w="1274" w:type="dxa"/>
            <w:vAlign w:val="top"/>
          </w:tcPr>
          <w:p>
            <w:pPr>
              <w:spacing w:before="50" w:line="199" w:lineRule="auto"/>
              <w:ind w:left="47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1"/>
                <w:sz w:val="17"/>
                <w:szCs w:val="17"/>
              </w:rPr>
              <w:t>2025/3/12</w:t>
            </w:r>
          </w:p>
        </w:tc>
        <w:tc>
          <w:tcPr>
            <w:tcW w:w="679" w:type="dxa"/>
            <w:vAlign w:val="top"/>
          </w:tcPr>
          <w:p>
            <w:pPr>
              <w:spacing w:before="89" w:line="145" w:lineRule="exact"/>
              <w:ind w:right="15"/>
              <w:jc w:val="right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0.5%</w:t>
            </w:r>
          </w:p>
        </w:tc>
        <w:tc>
          <w:tcPr>
            <w:tcW w:w="689" w:type="dxa"/>
            <w:vAlign w:val="top"/>
          </w:tcPr>
          <w:p>
            <w:pPr>
              <w:spacing w:before="89" w:line="145" w:lineRule="exact"/>
              <w:ind w:left="302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4.0%</w:t>
            </w:r>
          </w:p>
        </w:tc>
        <w:tc>
          <w:tcPr>
            <w:tcW w:w="689" w:type="dxa"/>
            <w:vAlign w:val="top"/>
          </w:tcPr>
          <w:p>
            <w:pPr>
              <w:spacing w:before="89" w:line="157" w:lineRule="auto"/>
              <w:ind w:left="223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4"/>
                <w:sz w:val="17"/>
                <w:szCs w:val="17"/>
              </w:rPr>
              <w:t>14.2%</w:t>
            </w:r>
          </w:p>
        </w:tc>
        <w:tc>
          <w:tcPr>
            <w:tcW w:w="679" w:type="dxa"/>
            <w:vAlign w:val="top"/>
          </w:tcPr>
          <w:p>
            <w:pPr>
              <w:spacing w:before="89" w:line="145" w:lineRule="exact"/>
              <w:ind w:left="204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spacing w:val="-2"/>
                <w:position w:val="-2"/>
                <w:sz w:val="17"/>
                <w:szCs w:val="17"/>
              </w:rPr>
              <w:t>26.2%</w:t>
            </w:r>
          </w:p>
        </w:tc>
        <w:tc>
          <w:tcPr>
            <w:tcW w:w="679" w:type="dxa"/>
            <w:shd w:val="clear" w:color="auto" w:fill="BEF6FE"/>
            <w:vAlign w:val="top"/>
          </w:tcPr>
          <w:p>
            <w:pPr>
              <w:spacing w:before="89" w:line="145" w:lineRule="exact"/>
              <w:ind w:left="215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00477E"/>
                <w:spacing w:val="-2"/>
                <w:position w:val="-2"/>
                <w:sz w:val="17"/>
                <w:szCs w:val="17"/>
              </w:rPr>
              <w:t>28.2%</w:t>
            </w:r>
          </w:p>
        </w:tc>
        <w:tc>
          <w:tcPr>
            <w:tcW w:w="679" w:type="dxa"/>
            <w:shd w:val="clear" w:color="auto" w:fill="F9F9D1"/>
            <w:vAlign w:val="top"/>
          </w:tcPr>
          <w:p>
            <w:pPr>
              <w:spacing w:before="89" w:line="157" w:lineRule="auto"/>
              <w:ind w:right="17"/>
              <w:jc w:val="right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716C60"/>
                <w:spacing w:val="-4"/>
                <w:sz w:val="17"/>
                <w:szCs w:val="17"/>
              </w:rPr>
              <w:t>18.3%</w:t>
            </w:r>
          </w:p>
        </w:tc>
        <w:tc>
          <w:tcPr>
            <w:tcW w:w="679" w:type="dxa"/>
            <w:shd w:val="clear" w:color="auto" w:fill="F9F9D1"/>
            <w:vAlign w:val="top"/>
          </w:tcPr>
          <w:p>
            <w:pPr>
              <w:spacing w:before="89" w:line="145" w:lineRule="exact"/>
              <w:ind w:left="306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72626B"/>
                <w:spacing w:val="-3"/>
                <w:position w:val="-2"/>
                <w:sz w:val="17"/>
                <w:szCs w:val="17"/>
              </w:rPr>
              <w:t>7.0%</w:t>
            </w:r>
          </w:p>
        </w:tc>
        <w:tc>
          <w:tcPr>
            <w:tcW w:w="679" w:type="dxa"/>
            <w:shd w:val="clear" w:color="auto" w:fill="F9F9D1"/>
            <w:vAlign w:val="top"/>
          </w:tcPr>
          <w:p>
            <w:pPr>
              <w:spacing w:before="89" w:line="157" w:lineRule="auto"/>
              <w:ind w:left="318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7A6E00"/>
                <w:spacing w:val="-5"/>
                <w:sz w:val="17"/>
                <w:szCs w:val="17"/>
              </w:rPr>
              <w:t>1.4%</w:t>
            </w:r>
          </w:p>
        </w:tc>
        <w:tc>
          <w:tcPr>
            <w:tcW w:w="694" w:type="dxa"/>
            <w:shd w:val="clear" w:color="auto" w:fill="F9F9D1"/>
            <w:vAlign w:val="top"/>
          </w:tcPr>
          <w:p>
            <w:pPr>
              <w:spacing w:before="89" w:line="157" w:lineRule="auto"/>
              <w:ind w:left="319"/>
              <w:rPr>
                <w:rFonts w:ascii="SimSun" w:eastAsia="SimSun" w:hAnsi="SimSun" w:cs="SimSun"/>
                <w:sz w:val="17"/>
                <w:szCs w:val="17"/>
              </w:rPr>
            </w:pPr>
            <w:r>
              <w:rPr>
                <w:rFonts w:ascii="SimSun" w:eastAsia="SimSun" w:hAnsi="SimSun" w:cs="SimSun"/>
                <w:color w:val="707371"/>
                <w:spacing w:val="-2"/>
                <w:sz w:val="17"/>
                <w:szCs w:val="17"/>
              </w:rPr>
              <w:t>0.1%</w:t>
            </w:r>
          </w:p>
        </w:tc>
      </w:tr>
    </w:tbl>
    <w:p>
      <w:pPr>
        <w:pStyle w:val="BodyText"/>
        <w:spacing w:before="198" w:line="192" w:lineRule="auto"/>
        <w:ind w:left="2860"/>
        <w:rPr>
          <w:sz w:val="19"/>
          <w:szCs w:val="19"/>
        </w:rPr>
      </w:pPr>
      <w:r>
        <w:rPr>
          <w:spacing w:val="2"/>
          <w:sz w:val="19"/>
          <w:szCs w:val="19"/>
        </w:rPr>
        <w:t>资料来源：</w:t>
      </w:r>
      <w:r>
        <w:rPr>
          <w:spacing w:val="-2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z w:val="19"/>
          <w:szCs w:val="19"/>
        </w:rPr>
        <w:t>CME</w:t>
      </w:r>
      <w:r>
        <w:rPr>
          <w:rFonts w:ascii="Times New Roman" w:eastAsia="Times New Roman" w:hAnsi="Times New Roman" w:cs="Times New Roman"/>
          <w:spacing w:val="38"/>
          <w:w w:val="101"/>
          <w:sz w:val="19"/>
          <w:szCs w:val="19"/>
        </w:rPr>
        <w:t xml:space="preserve"> </w:t>
      </w:r>
      <w:r>
        <w:rPr>
          <w:spacing w:val="2"/>
          <w:sz w:val="19"/>
          <w:szCs w:val="19"/>
        </w:rPr>
        <w:t>(数据截至2024年3月5日)</w:t>
      </w:r>
    </w:p>
    <w:p>
      <w:pPr>
        <w:spacing w:line="192" w:lineRule="auto"/>
        <w:rPr>
          <w:sz w:val="19"/>
          <w:szCs w:val="19"/>
        </w:rPr>
      </w:pPr>
      <w:r>
        <w:rPr>
          <w:sz w:val="19"/>
          <w:szCs w:val="19"/>
        </w:rPr>
        <w:br/>
      </w:r>
      <w:r>
        <w:rPr>
          <w:sz w:val="19"/>
          <w:szCs w:val="19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3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https://d.book118.com/986152200200010055</w:t>
        </w:r>
      </w:hyperlink>
    </w:p>
    <w:p>
      <w:pPr>
        <w:spacing w:line="192" w:lineRule="auto"/>
        <w:rPr>
          <w:sz w:val="19"/>
          <w:szCs w:val="19"/>
        </w:rPr>
      </w:pPr>
    </w:p>
    <w:sectPr>
      <w:footerReference w:type="default" r:id="rId54"/>
      <w:type w:val="nextPage"/>
      <w:pgSz w:w="11910" w:h="16840"/>
      <w:pgMar w:top="156" w:right="660" w:bottom="1129" w:left="719" w:header="0" w:footer="860" w:gutter="0"/>
      <w:pgNumType w:start="27"/>
      <w:cols w:num="1" w:space="708" w:equalWidth="0">
        <w:col w:w="10530" w:space="0"/>
      </w:cols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52" w:line="212" w:lineRule="auto"/>
      <w:ind w:left="709"/>
    </w:pPr>
    <w:r>
      <w:drawing>
        <wp:anchor distT="0" distB="0" distL="0" distR="0" simplePos="0" relativeHeight="251658240" behindDoc="0" locked="0" layoutInCell="0" allowOverlap="1">
          <wp:simplePos x="0" y="0"/>
          <wp:positionH relativeFrom="page">
            <wp:posOffset>438115</wp:posOffset>
          </wp:positionH>
          <wp:positionV relativeFrom="page">
            <wp:posOffset>9963126</wp:posOffset>
          </wp:positionV>
          <wp:extent cx="6692971" cy="6350"/>
          <wp:effectExtent l="0" t="0" r="0" b="0"/>
          <wp:wrapNone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692971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0.9pt;height:14.2pt;margin-top:1.2pt;margin-left:535pt;position:absolute;z-index:251659264" filled="f" stroked="f">
          <o:lock v:ext="edit" aspectratio="f"/>
          <v:textbox inset="0,0,0,0">
            <w:txbxContent>
              <w:p>
                <w:pPr>
                  <w:spacing w:before="20" w:line="224" w:lineRule="auto"/>
                  <w:ind w:left="20"/>
                  <w:rPr>
                    <w:rFonts w:ascii="SimSun" w:eastAsia="SimSun" w:hAnsi="SimSun" w:cs="SimSun"/>
                    <w:sz w:val="20"/>
                    <w:szCs w:val="20"/>
                  </w:rPr>
                </w:pPr>
                <w:r>
                  <w:rPr>
                    <w:rFonts w:ascii="SimSun" w:eastAsia="SimSun" w:hAnsi="SimSun" w:cs="SimSun"/>
                    <w:spacing w:val="-5"/>
                    <w:sz w:val="20"/>
                    <w:szCs w:val="20"/>
                  </w:rPr>
                  <w:t>1/27</w:t>
                </w:r>
              </w:p>
            </w:txbxContent>
          </v:textbox>
        </v:shape>
      </w:pict>
    </w:r>
    <w:r>
      <w:rPr>
        <w:spacing w:val="-1"/>
      </w:rPr>
      <w:t>请务必参阅正文后面的信息披露和法律声明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52" w:line="212" w:lineRule="auto"/>
      <w:ind w:left="709"/>
    </w:pPr>
    <w:r>
      <w:drawing>
        <wp:anchor distT="0" distB="0" distL="0" distR="0" simplePos="0" relativeHeight="251660288" behindDoc="0" locked="0" layoutInCell="0" allowOverlap="1">
          <wp:simplePos x="0" y="0"/>
          <wp:positionH relativeFrom="page">
            <wp:posOffset>438115</wp:posOffset>
          </wp:positionH>
          <wp:positionV relativeFrom="page">
            <wp:posOffset>9963126</wp:posOffset>
          </wp:positionV>
          <wp:extent cx="6692971" cy="6350"/>
          <wp:effectExtent l="0" t="0" r="0" b="0"/>
          <wp:wrapNone/>
          <wp:docPr id="1125021655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5021655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692971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0.9pt;height:14.2pt;margin-top:1.2pt;margin-left:535pt;position:absolute;z-index:251661312" filled="f" stroked="f">
          <o:lock v:ext="edit" aspectratio="f"/>
          <v:textbox inset="0,0,0,0">
            <w:txbxContent>
              <w:p>
                <w:pPr>
                  <w:spacing w:before="20" w:line="224" w:lineRule="auto"/>
                  <w:ind w:left="20"/>
                  <w:rPr>
                    <w:rFonts w:ascii="SimSun" w:eastAsia="SimSun" w:hAnsi="SimSun" w:cs="SimSun"/>
                    <w:sz w:val="20"/>
                    <w:szCs w:val="20"/>
                  </w:rPr>
                </w:pPr>
                <w:r>
                  <w:rPr>
                    <w:rFonts w:ascii="SimSun" w:eastAsia="SimSun" w:hAnsi="SimSun" w:cs="SimSun"/>
                    <w:spacing w:val="-5"/>
                    <w:sz w:val="20"/>
                    <w:szCs w:val="20"/>
                  </w:rPr>
                  <w:t>1/27</w:t>
                </w:r>
              </w:p>
            </w:txbxContent>
          </v:textbox>
        </v:shape>
      </w:pict>
    </w:r>
    <w:r>
      <w:rPr>
        <w:spacing w:val="-1"/>
      </w:rPr>
      <w:t>请务必参阅正文后面的信息披露和法律声明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52" w:line="212" w:lineRule="auto"/>
      <w:ind w:left="709"/>
    </w:pPr>
    <w:r>
      <w:drawing>
        <wp:anchor distT="0" distB="0" distL="0" distR="0" simplePos="0" relativeHeight="251662336" behindDoc="0" locked="0" layoutInCell="0" allowOverlap="1">
          <wp:simplePos x="0" y="0"/>
          <wp:positionH relativeFrom="page">
            <wp:posOffset>438115</wp:posOffset>
          </wp:positionH>
          <wp:positionV relativeFrom="page">
            <wp:posOffset>9963126</wp:posOffset>
          </wp:positionV>
          <wp:extent cx="6692971" cy="6350"/>
          <wp:effectExtent l="0" t="0" r="0" b="0"/>
          <wp:wrapNone/>
          <wp:docPr id="1213469840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3469840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692971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0.9pt;height:14.2pt;margin-top:1.2pt;margin-left:535pt;position:absolute;z-index:251663360" filled="f" stroked="f">
          <o:lock v:ext="edit" aspectratio="f"/>
          <v:textbox inset="0,0,0,0">
            <w:txbxContent>
              <w:p>
                <w:pPr>
                  <w:spacing w:before="20" w:line="224" w:lineRule="auto"/>
                  <w:ind w:left="20"/>
                  <w:rPr>
                    <w:rFonts w:ascii="SimSun" w:eastAsia="SimSun" w:hAnsi="SimSun" w:cs="SimSun"/>
                    <w:sz w:val="20"/>
                    <w:szCs w:val="20"/>
                  </w:rPr>
                </w:pPr>
                <w:r>
                  <w:rPr>
                    <w:rFonts w:ascii="SimSun" w:eastAsia="SimSun" w:hAnsi="SimSun" w:cs="SimSun"/>
                    <w:spacing w:val="-5"/>
                    <w:sz w:val="20"/>
                    <w:szCs w:val="20"/>
                  </w:rPr>
                  <w:t>1/27</w:t>
                </w:r>
              </w:p>
            </w:txbxContent>
          </v:textbox>
        </v:shape>
      </w:pict>
    </w:r>
    <w:r>
      <w:rPr>
        <w:spacing w:val="-1"/>
      </w:rPr>
      <w:t>请务必参阅正文后面的信息披露和法律声明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52" w:line="212" w:lineRule="auto"/>
      <w:ind w:left="709"/>
    </w:pPr>
    <w:r>
      <w:drawing>
        <wp:anchor distT="0" distB="0" distL="0" distR="0" simplePos="0" relativeHeight="251664384" behindDoc="0" locked="0" layoutInCell="0" allowOverlap="1">
          <wp:simplePos x="0" y="0"/>
          <wp:positionH relativeFrom="page">
            <wp:posOffset>438115</wp:posOffset>
          </wp:positionH>
          <wp:positionV relativeFrom="page">
            <wp:posOffset>9963126</wp:posOffset>
          </wp:positionV>
          <wp:extent cx="6692971" cy="6350"/>
          <wp:effectExtent l="0" t="0" r="0" b="0"/>
          <wp:wrapNone/>
          <wp:docPr id="1080540819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0540819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692971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0.9pt;height:14.2pt;margin-top:1.2pt;margin-left:535pt;position:absolute;z-index:251665408" filled="f" stroked="f">
          <o:lock v:ext="edit" aspectratio="f"/>
          <v:textbox inset="0,0,0,0">
            <w:txbxContent>
              <w:p>
                <w:pPr>
                  <w:spacing w:before="20" w:line="224" w:lineRule="auto"/>
                  <w:ind w:left="20"/>
                  <w:rPr>
                    <w:rFonts w:ascii="SimSun" w:eastAsia="SimSun" w:hAnsi="SimSun" w:cs="SimSun"/>
                    <w:sz w:val="20"/>
                    <w:szCs w:val="20"/>
                  </w:rPr>
                </w:pPr>
                <w:r>
                  <w:rPr>
                    <w:rFonts w:ascii="SimSun" w:eastAsia="SimSun" w:hAnsi="SimSun" w:cs="SimSun"/>
                    <w:spacing w:val="-5"/>
                    <w:sz w:val="20"/>
                    <w:szCs w:val="20"/>
                  </w:rPr>
                  <w:t>1/27</w:t>
                </w:r>
              </w:p>
            </w:txbxContent>
          </v:textbox>
        </v:shape>
      </w:pict>
    </w:r>
    <w:r>
      <w:rPr>
        <w:spacing w:val="-1"/>
      </w:rPr>
      <w:t>请务必参阅正文后面的信息披露和法律声明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41" w:line="212" w:lineRule="auto"/>
      <w:ind w:left="40"/>
      <w:rPr>
        <w:sz w:val="19"/>
        <w:szCs w:val="19"/>
      </w:rPr>
    </w:pPr>
    <w:r>
      <w:drawing>
        <wp:anchor distT="0" distB="0" distL="0" distR="0" simplePos="0" relativeHeight="251666432" behindDoc="0" locked="0" layoutInCell="0" allowOverlap="1">
          <wp:simplePos x="0" y="0"/>
          <wp:positionH relativeFrom="page">
            <wp:posOffset>457174</wp:posOffset>
          </wp:positionH>
          <wp:positionV relativeFrom="page">
            <wp:posOffset>9975852</wp:posOffset>
          </wp:positionV>
          <wp:extent cx="6686543" cy="6350"/>
          <wp:effectExtent l="0" t="0" r="0" b="0"/>
          <wp:wrapNone/>
          <wp:docPr id="8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686543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18.7pt;height:10.75pt;margin-top:2.68pt;margin-left:498.5pt;position:absolute;z-index:251667456" filled="f" stroked="f">
          <o:lock v:ext="edit" aspectratio="f"/>
          <v:textbox inset="0,0,0,0">
            <w:txbxContent>
              <w:p>
                <w:pPr>
                  <w:spacing w:before="19" w:line="192" w:lineRule="auto"/>
                  <w:ind w:left="20"/>
                  <w:rPr>
                    <w:rFonts w:ascii="Times New Roman" w:eastAsia="Times New Roman" w:hAnsi="Times New Roman" w:cs="Times New Roman"/>
                    <w:sz w:val="19"/>
                    <w:szCs w:val="19"/>
                  </w:rPr>
                </w:pPr>
                <w:r>
                  <w:rPr>
                    <w:rFonts w:ascii="Times New Roman" w:eastAsia="Times New Roman" w:hAnsi="Times New Roman" w:cs="Times New Roman"/>
                    <w:spacing w:val="-1"/>
                    <w:sz w:val="19"/>
                    <w:szCs w:val="19"/>
                  </w:rPr>
                  <w:t>2/27</w:t>
                </w:r>
              </w:p>
            </w:txbxContent>
          </v:textbox>
        </v:shape>
      </w:pict>
    </w:r>
    <w:r>
      <w:rPr>
        <w:spacing w:val="9"/>
        <w:sz w:val="19"/>
        <w:szCs w:val="19"/>
      </w:rPr>
      <w:t>请务必参阅正文后面的信息披露和法律声明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41" w:line="212" w:lineRule="auto"/>
      <w:ind w:left="40"/>
      <w:rPr>
        <w:sz w:val="19"/>
        <w:szCs w:val="19"/>
      </w:rPr>
    </w:pPr>
    <w:r>
      <w:drawing>
        <wp:anchor distT="0" distB="0" distL="0" distR="0" simplePos="0" relativeHeight="251668480" behindDoc="0" locked="0" layoutInCell="0" allowOverlap="1">
          <wp:simplePos x="0" y="0"/>
          <wp:positionH relativeFrom="page">
            <wp:posOffset>457174</wp:posOffset>
          </wp:positionH>
          <wp:positionV relativeFrom="page">
            <wp:posOffset>9975852</wp:posOffset>
          </wp:positionV>
          <wp:extent cx="6686543" cy="6350"/>
          <wp:effectExtent l="0" t="0" r="0" b="0"/>
          <wp:wrapNone/>
          <wp:docPr id="1627502499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7502499" name="IM 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686543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18.7pt;height:10.75pt;margin-top:2.68pt;margin-left:498.5pt;position:absolute;z-index:251669504" filled="f" stroked="f">
          <o:lock v:ext="edit" aspectratio="f"/>
          <v:textbox inset="0,0,0,0">
            <w:txbxContent>
              <w:p>
                <w:pPr>
                  <w:spacing w:before="19" w:line="192" w:lineRule="auto"/>
                  <w:ind w:left="20"/>
                  <w:rPr>
                    <w:rFonts w:ascii="Times New Roman" w:eastAsia="Times New Roman" w:hAnsi="Times New Roman" w:cs="Times New Roman"/>
                    <w:sz w:val="19"/>
                    <w:szCs w:val="19"/>
                  </w:rPr>
                </w:pPr>
                <w:r>
                  <w:rPr>
                    <w:rFonts w:ascii="Times New Roman" w:eastAsia="Times New Roman" w:hAnsi="Times New Roman" w:cs="Times New Roman"/>
                    <w:spacing w:val="-1"/>
                    <w:sz w:val="19"/>
                    <w:szCs w:val="19"/>
                  </w:rPr>
                  <w:t>2/27</w:t>
                </w:r>
              </w:p>
            </w:txbxContent>
          </v:textbox>
        </v:shape>
      </w:pict>
    </w:r>
    <w:r>
      <w:rPr>
        <w:spacing w:val="9"/>
        <w:sz w:val="19"/>
        <w:szCs w:val="19"/>
      </w:rPr>
      <w:t>请务必参阅正文后面的信息披露和法律声明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41" w:line="212" w:lineRule="auto"/>
      <w:ind w:left="20"/>
      <w:rPr>
        <w:sz w:val="19"/>
        <w:szCs w:val="19"/>
      </w:rPr>
    </w:pPr>
    <w:r>
      <w:drawing>
        <wp:anchor distT="0" distB="0" distL="0" distR="0" simplePos="0" relativeHeight="251670528" behindDoc="0" locked="0" layoutInCell="0" allowOverlap="1">
          <wp:simplePos x="0" y="0"/>
          <wp:positionH relativeFrom="page">
            <wp:posOffset>457174</wp:posOffset>
          </wp:positionH>
          <wp:positionV relativeFrom="page">
            <wp:posOffset>9975852</wp:posOffset>
          </wp:positionV>
          <wp:extent cx="6686543" cy="6350"/>
          <wp:effectExtent l="0" t="0" r="0" b="0"/>
          <wp:wrapNone/>
          <wp:docPr id="12" name="IM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 1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686543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18.5pt;height:10.75pt;margin-top:2.68pt;margin-left:497.5pt;position:absolute;z-index:251671552" filled="f" stroked="f">
          <o:lock v:ext="edit" aspectratio="f"/>
          <v:textbox inset="0,0,0,0">
            <w:txbxContent>
              <w:p>
                <w:pPr>
                  <w:spacing w:before="19" w:line="192" w:lineRule="auto"/>
                  <w:ind w:left="20"/>
                  <w:rPr>
                    <w:rFonts w:ascii="Times New Roman" w:eastAsia="Times New Roman" w:hAnsi="Times New Roman" w:cs="Times New Roman"/>
                    <w:sz w:val="19"/>
                    <w:szCs w:val="19"/>
                  </w:rPr>
                </w:pPr>
                <w:r>
                  <w:rPr>
                    <w:rFonts w:ascii="Times New Roman" w:eastAsia="Times New Roman" w:hAnsi="Times New Roman" w:cs="Times New Roman"/>
                    <w:spacing w:val="-2"/>
                    <w:sz w:val="19"/>
                    <w:szCs w:val="19"/>
                  </w:rPr>
                  <w:t>3/27</w:t>
                </w:r>
              </w:p>
            </w:txbxContent>
          </v:textbox>
        </v:shape>
      </w:pict>
    </w:r>
    <w:r>
      <w:rPr>
        <w:spacing w:val="9"/>
        <w:sz w:val="19"/>
        <w:szCs w:val="19"/>
      </w:rPr>
      <w:t>请务必参阅正文后面的信息披露和法律声明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41" w:line="212" w:lineRule="auto"/>
      <w:ind w:left="20"/>
      <w:rPr>
        <w:sz w:val="19"/>
        <w:szCs w:val="19"/>
      </w:rPr>
    </w:pPr>
    <w:r>
      <w:drawing>
        <wp:anchor distT="0" distB="0" distL="0" distR="0" simplePos="0" relativeHeight="251672576" behindDoc="0" locked="0" layoutInCell="0" allowOverlap="1">
          <wp:simplePos x="0" y="0"/>
          <wp:positionH relativeFrom="page">
            <wp:posOffset>457174</wp:posOffset>
          </wp:positionH>
          <wp:positionV relativeFrom="page">
            <wp:posOffset>9975852</wp:posOffset>
          </wp:positionV>
          <wp:extent cx="6686543" cy="6350"/>
          <wp:effectExtent l="0" t="0" r="0" b="0"/>
          <wp:wrapNone/>
          <wp:docPr id="2040337061" name="IM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0337061" name="IM 1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686543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18.5pt;height:10.75pt;margin-top:2.68pt;margin-left:497.5pt;position:absolute;z-index:251673600" filled="f" stroked="f">
          <o:lock v:ext="edit" aspectratio="f"/>
          <v:textbox inset="0,0,0,0">
            <w:txbxContent>
              <w:p>
                <w:pPr>
                  <w:spacing w:before="19" w:line="192" w:lineRule="auto"/>
                  <w:ind w:left="20"/>
                  <w:rPr>
                    <w:rFonts w:ascii="Times New Roman" w:eastAsia="Times New Roman" w:hAnsi="Times New Roman" w:cs="Times New Roman"/>
                    <w:sz w:val="19"/>
                    <w:szCs w:val="19"/>
                  </w:rPr>
                </w:pPr>
                <w:r>
                  <w:rPr>
                    <w:rFonts w:ascii="Times New Roman" w:eastAsia="Times New Roman" w:hAnsi="Times New Roman" w:cs="Times New Roman"/>
                    <w:spacing w:val="-2"/>
                    <w:sz w:val="19"/>
                    <w:szCs w:val="19"/>
                  </w:rPr>
                  <w:t>3/27</w:t>
                </w:r>
              </w:p>
            </w:txbxContent>
          </v:textbox>
        </v:shape>
      </w:pict>
    </w:r>
    <w:r>
      <w:rPr>
        <w:spacing w:val="9"/>
        <w:sz w:val="19"/>
        <w:szCs w:val="19"/>
      </w:rPr>
      <w:t>请务必参阅正文后面的信息披露和法律声明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47" w:line="210" w:lineRule="auto"/>
      <w:ind w:left="20"/>
      <w:rPr>
        <w:rFonts w:ascii="SimSun" w:eastAsia="SimSun" w:hAnsi="SimSun" w:cs="SimSun"/>
        <w:sz w:val="19"/>
        <w:szCs w:val="19"/>
      </w:rPr>
    </w:pPr>
    <w:r>
      <w:drawing>
        <wp:anchor distT="0" distB="0" distL="0" distR="0" simplePos="0" relativeHeight="251674624" behindDoc="0" locked="0" layoutInCell="0" allowOverlap="1">
          <wp:simplePos x="0" y="0"/>
          <wp:positionH relativeFrom="page">
            <wp:posOffset>457174</wp:posOffset>
          </wp:positionH>
          <wp:positionV relativeFrom="page">
            <wp:posOffset>9975852</wp:posOffset>
          </wp:positionV>
          <wp:extent cx="6686543" cy="6350"/>
          <wp:effectExtent l="0" t="0" r="0" b="0"/>
          <wp:wrapNone/>
          <wp:docPr id="16" name="IM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 1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686543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18.75pt;height:10.75pt;margin-top:2.67pt;margin-left:497.5pt;position:absolute;z-index:251675648" filled="f" stroked="f">
          <o:lock v:ext="edit" aspectratio="f"/>
          <v:textbox inset="0,0,0,0">
            <w:txbxContent>
              <w:p>
                <w:pPr>
                  <w:spacing w:before="19" w:line="192" w:lineRule="auto"/>
                  <w:ind w:left="20"/>
                  <w:rPr>
                    <w:rFonts w:ascii="Times New Roman" w:eastAsia="Times New Roman" w:hAnsi="Times New Roman" w:cs="Times New Roman"/>
                    <w:sz w:val="19"/>
                    <w:szCs w:val="19"/>
                  </w:rPr>
                </w:pPr>
                <w:r>
                  <w:rPr>
                    <w:rFonts w:ascii="Times New Roman" w:eastAsia="Times New Roman" w:hAnsi="Times New Roman" w:cs="Times New Roman"/>
                    <w:spacing w:val="-1"/>
                    <w:sz w:val="19"/>
                    <w:szCs w:val="19"/>
                  </w:rPr>
                  <w:t>4/27</w:t>
                </w:r>
              </w:p>
            </w:txbxContent>
          </v:textbox>
        </v:shape>
      </w:pict>
    </w:r>
    <w:r>
      <w:rPr>
        <w:rFonts w:ascii="SimSun" w:eastAsia="SimSun" w:hAnsi="SimSun" w:cs="SimSun"/>
        <w:spacing w:val="8"/>
        <w:sz w:val="19"/>
        <w:szCs w:val="19"/>
      </w:rPr>
      <w:t>请务必参阅正文后面的信息披露和法律声明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21" w:line="213" w:lineRule="auto"/>
      <w:ind w:left="20"/>
      <w:rPr>
        <w:sz w:val="21"/>
        <w:szCs w:val="21"/>
      </w:rPr>
    </w:pPr>
    <w:r>
      <w:drawing>
        <wp:anchor distT="0" distB="0" distL="0" distR="0" simplePos="0" relativeHeight="251676672" behindDoc="0" locked="0" layoutInCell="0" allowOverlap="1">
          <wp:simplePos x="0" y="0"/>
          <wp:positionH relativeFrom="page">
            <wp:posOffset>457174</wp:posOffset>
          </wp:positionH>
          <wp:positionV relativeFrom="page">
            <wp:posOffset>9975852</wp:posOffset>
          </wp:positionV>
          <wp:extent cx="6686543" cy="6350"/>
          <wp:effectExtent l="0" t="0" r="0" b="0"/>
          <wp:wrapNone/>
          <wp:docPr id="20" name="IM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 20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686543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2.4pt;height:14.8pt;margin-top:-0.3pt;margin-left:497.5pt;position:absolute;z-index:251677696" filled="f" stroked="f">
          <o:lock v:ext="edit" aspectratio="f"/>
          <v:textbox inset="0,0,0,0">
            <w:txbxContent>
              <w:p>
                <w:pPr>
                  <w:spacing w:before="20" w:line="224" w:lineRule="auto"/>
                  <w:ind w:left="20"/>
                  <w:rPr>
                    <w:rFonts w:ascii="SimSun" w:eastAsia="SimSun" w:hAnsi="SimSun" w:cs="SimSun"/>
                    <w:sz w:val="21"/>
                    <w:szCs w:val="21"/>
                  </w:rPr>
                </w:pPr>
                <w:r>
                  <w:rPr>
                    <w:rFonts w:ascii="SimSun" w:eastAsia="SimSun" w:hAnsi="SimSun" w:cs="SimSun"/>
                    <w:spacing w:val="-3"/>
                    <w:sz w:val="21"/>
                    <w:szCs w:val="21"/>
                  </w:rPr>
                  <w:t>5/27</w:t>
                </w:r>
              </w:p>
            </w:txbxContent>
          </v:textbox>
        </v:shape>
      </w:pict>
    </w:r>
    <w:r>
      <w:rPr>
        <w:spacing w:val="-11"/>
        <w:sz w:val="21"/>
        <w:szCs w:val="21"/>
      </w:rPr>
      <w:t>请务必参阅正文后面的信息披露和法律声明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21" w:line="213" w:lineRule="auto"/>
      <w:ind w:left="20"/>
      <w:rPr>
        <w:sz w:val="21"/>
        <w:szCs w:val="21"/>
      </w:rPr>
    </w:pPr>
    <w:r>
      <w:drawing>
        <wp:anchor distT="0" distB="0" distL="0" distR="0" simplePos="0" relativeHeight="251678720" behindDoc="0" locked="0" layoutInCell="0" allowOverlap="1">
          <wp:simplePos x="0" y="0"/>
          <wp:positionH relativeFrom="page">
            <wp:posOffset>457174</wp:posOffset>
          </wp:positionH>
          <wp:positionV relativeFrom="page">
            <wp:posOffset>9975852</wp:posOffset>
          </wp:positionV>
          <wp:extent cx="6686543" cy="6350"/>
          <wp:effectExtent l="0" t="0" r="0" b="0"/>
          <wp:wrapNone/>
          <wp:docPr id="2102545659" name="IM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2545659" name="IM 20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686543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2.4pt;height:14.8pt;margin-top:-0.3pt;margin-left:497.5pt;position:absolute;z-index:251679744" filled="f" stroked="f">
          <o:lock v:ext="edit" aspectratio="f"/>
          <v:textbox inset="0,0,0,0">
            <w:txbxContent>
              <w:p>
                <w:pPr>
                  <w:spacing w:before="20" w:line="224" w:lineRule="auto"/>
                  <w:ind w:left="20"/>
                  <w:rPr>
                    <w:rFonts w:ascii="SimSun" w:eastAsia="SimSun" w:hAnsi="SimSun" w:cs="SimSun"/>
                    <w:sz w:val="21"/>
                    <w:szCs w:val="21"/>
                  </w:rPr>
                </w:pPr>
                <w:r>
                  <w:rPr>
                    <w:rFonts w:ascii="SimSun" w:eastAsia="SimSun" w:hAnsi="SimSun" w:cs="SimSun"/>
                    <w:spacing w:val="-3"/>
                    <w:sz w:val="21"/>
                    <w:szCs w:val="21"/>
                  </w:rPr>
                  <w:t>5/27</w:t>
                </w:r>
              </w:p>
            </w:txbxContent>
          </v:textbox>
        </v:shape>
      </w:pict>
    </w:r>
    <w:r>
      <w:rPr>
        <w:spacing w:val="-11"/>
        <w:sz w:val="21"/>
        <w:szCs w:val="21"/>
      </w:rPr>
      <w:t>请务必参阅正文后面的信息披露和法律声明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21" w:line="213" w:lineRule="auto"/>
      <w:ind w:left="20"/>
      <w:rPr>
        <w:sz w:val="21"/>
        <w:szCs w:val="21"/>
      </w:rPr>
    </w:pPr>
    <w:r>
      <w:drawing>
        <wp:anchor distT="0" distB="0" distL="0" distR="0" simplePos="0" relativeHeight="251680768" behindDoc="0" locked="0" layoutInCell="0" allowOverlap="1">
          <wp:simplePos x="0" y="0"/>
          <wp:positionH relativeFrom="page">
            <wp:posOffset>457174</wp:posOffset>
          </wp:positionH>
          <wp:positionV relativeFrom="page">
            <wp:posOffset>9975852</wp:posOffset>
          </wp:positionV>
          <wp:extent cx="6686543" cy="6350"/>
          <wp:effectExtent l="0" t="0" r="0" b="0"/>
          <wp:wrapNone/>
          <wp:docPr id="24" name="IM 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 2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686543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2.55pt;height:14.8pt;margin-top:-0.3pt;margin-left:497.5pt;position:absolute;z-index:251681792" filled="f" stroked="f">
          <o:lock v:ext="edit" aspectratio="f"/>
          <v:textbox inset="0,0,0,0">
            <w:txbxContent>
              <w:p>
                <w:pPr>
                  <w:spacing w:before="20" w:line="224" w:lineRule="auto"/>
                  <w:ind w:left="20"/>
                  <w:rPr>
                    <w:rFonts w:ascii="SimSun" w:eastAsia="SimSun" w:hAnsi="SimSun" w:cs="SimSun"/>
                    <w:sz w:val="21"/>
                    <w:szCs w:val="21"/>
                  </w:rPr>
                </w:pPr>
                <w:r>
                  <w:rPr>
                    <w:rFonts w:ascii="SimSun" w:eastAsia="SimSun" w:hAnsi="SimSun" w:cs="SimSun"/>
                    <w:spacing w:val="-2"/>
                    <w:sz w:val="21"/>
                    <w:szCs w:val="21"/>
                  </w:rPr>
                  <w:t>6/27</w:t>
                </w:r>
              </w:p>
            </w:txbxContent>
          </v:textbox>
        </v:shape>
      </w:pict>
    </w:r>
    <w:r>
      <w:rPr>
        <w:spacing w:val="-11"/>
        <w:sz w:val="21"/>
        <w:szCs w:val="21"/>
      </w:rPr>
      <w:t>请务必参阅正文后面的信息披露和法律声明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21" w:line="213" w:lineRule="auto"/>
      <w:ind w:left="20"/>
      <w:rPr>
        <w:sz w:val="21"/>
        <w:szCs w:val="21"/>
      </w:rPr>
    </w:pPr>
    <w:r>
      <w:drawing>
        <wp:anchor distT="0" distB="0" distL="0" distR="0" simplePos="0" relativeHeight="251682816" behindDoc="0" locked="0" layoutInCell="0" allowOverlap="1">
          <wp:simplePos x="0" y="0"/>
          <wp:positionH relativeFrom="page">
            <wp:posOffset>457174</wp:posOffset>
          </wp:positionH>
          <wp:positionV relativeFrom="page">
            <wp:posOffset>9975852</wp:posOffset>
          </wp:positionV>
          <wp:extent cx="6686543" cy="6350"/>
          <wp:effectExtent l="0" t="0" r="0" b="0"/>
          <wp:wrapNone/>
          <wp:docPr id="974492471" name="IM 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4492471" name="IM 2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686543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22.55pt;height:14.8pt;margin-top:-0.3pt;margin-left:497.5pt;position:absolute;z-index:251683840" filled="f" stroked="f">
          <o:lock v:ext="edit" aspectratio="f"/>
          <v:textbox inset="0,0,0,0">
            <w:txbxContent>
              <w:p>
                <w:pPr>
                  <w:spacing w:before="20" w:line="224" w:lineRule="auto"/>
                  <w:ind w:left="20"/>
                  <w:rPr>
                    <w:rFonts w:ascii="SimSun" w:eastAsia="SimSun" w:hAnsi="SimSun" w:cs="SimSun"/>
                    <w:sz w:val="21"/>
                    <w:szCs w:val="21"/>
                  </w:rPr>
                </w:pPr>
                <w:r>
                  <w:rPr>
                    <w:rFonts w:ascii="SimSun" w:eastAsia="SimSun" w:hAnsi="SimSun" w:cs="SimSun"/>
                    <w:spacing w:val="-2"/>
                    <w:sz w:val="21"/>
                    <w:szCs w:val="21"/>
                  </w:rPr>
                  <w:t>6/27</w:t>
                </w:r>
              </w:p>
            </w:txbxContent>
          </v:textbox>
        </v:shape>
      </w:pict>
    </w:r>
    <w:r>
      <w:rPr>
        <w:spacing w:val="-11"/>
        <w:sz w:val="21"/>
        <w:szCs w:val="21"/>
      </w:rPr>
      <w:t>请务必参阅正文后面的信息披露和法律声明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21" w:line="213" w:lineRule="auto"/>
      <w:ind w:left="20"/>
      <w:rPr>
        <w:sz w:val="21"/>
        <w:szCs w:val="21"/>
      </w:rPr>
    </w:pPr>
    <w:r>
      <w:drawing>
        <wp:anchor distT="0" distB="0" distL="0" distR="0" simplePos="0" relativeHeight="251684864" behindDoc="0" locked="0" layoutInCell="0" allowOverlap="1">
          <wp:simplePos x="0" y="0"/>
          <wp:positionH relativeFrom="page">
            <wp:posOffset>457174</wp:posOffset>
          </wp:positionH>
          <wp:positionV relativeFrom="page">
            <wp:posOffset>9975852</wp:posOffset>
          </wp:positionV>
          <wp:extent cx="6686543" cy="6350"/>
          <wp:effectExtent l="0" t="0" r="0" b="0"/>
          <wp:wrapNone/>
          <wp:docPr id="28" name="IM 2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 2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686543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22.35pt;height:14.8pt;margin-top:-0.3pt;margin-left:497.5pt;position:absolute;z-index:251685888" filled="f" stroked="f">
          <o:lock v:ext="edit" aspectratio="f"/>
          <v:textbox inset="0,0,0,0">
            <w:txbxContent>
              <w:p>
                <w:pPr>
                  <w:spacing w:before="20" w:line="224" w:lineRule="auto"/>
                  <w:ind w:left="20"/>
                  <w:rPr>
                    <w:rFonts w:ascii="SimSun" w:eastAsia="SimSun" w:hAnsi="SimSun" w:cs="SimSun"/>
                    <w:sz w:val="21"/>
                    <w:szCs w:val="21"/>
                  </w:rPr>
                </w:pPr>
                <w:r>
                  <w:rPr>
                    <w:rFonts w:ascii="SimSun" w:eastAsia="SimSun" w:hAnsi="SimSun" w:cs="SimSun"/>
                    <w:spacing w:val="-3"/>
                    <w:sz w:val="21"/>
                    <w:szCs w:val="21"/>
                  </w:rPr>
                  <w:t>7/27</w:t>
                </w:r>
              </w:p>
            </w:txbxContent>
          </v:textbox>
        </v:shape>
      </w:pict>
    </w:r>
    <w:r>
      <w:rPr>
        <w:spacing w:val="-11"/>
        <w:sz w:val="21"/>
        <w:szCs w:val="21"/>
      </w:rPr>
      <w:t>请务必参阅正文后面的信息披露和法律声明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21" w:line="213" w:lineRule="auto"/>
      <w:ind w:left="20"/>
      <w:rPr>
        <w:sz w:val="21"/>
        <w:szCs w:val="21"/>
      </w:rPr>
    </w:pPr>
    <w:r>
      <w:drawing>
        <wp:anchor distT="0" distB="0" distL="0" distR="0" simplePos="0" relativeHeight="251686912" behindDoc="0" locked="0" layoutInCell="0" allowOverlap="1">
          <wp:simplePos x="0" y="0"/>
          <wp:positionH relativeFrom="page">
            <wp:posOffset>457174</wp:posOffset>
          </wp:positionH>
          <wp:positionV relativeFrom="page">
            <wp:posOffset>9975852</wp:posOffset>
          </wp:positionV>
          <wp:extent cx="6686543" cy="6350"/>
          <wp:effectExtent l="0" t="0" r="0" b="0"/>
          <wp:wrapNone/>
          <wp:docPr id="831589910" name="IM 2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1589910" name="IM 2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686543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width:22.35pt;height:14.8pt;margin-top:-0.3pt;margin-left:497.5pt;position:absolute;z-index:251687936" filled="f" stroked="f">
          <o:lock v:ext="edit" aspectratio="f"/>
          <v:textbox inset="0,0,0,0">
            <w:txbxContent>
              <w:p>
                <w:pPr>
                  <w:spacing w:before="20" w:line="224" w:lineRule="auto"/>
                  <w:ind w:left="20"/>
                  <w:rPr>
                    <w:rFonts w:ascii="SimSun" w:eastAsia="SimSun" w:hAnsi="SimSun" w:cs="SimSun"/>
                    <w:sz w:val="21"/>
                    <w:szCs w:val="21"/>
                  </w:rPr>
                </w:pPr>
                <w:r>
                  <w:rPr>
                    <w:rFonts w:ascii="SimSun" w:eastAsia="SimSun" w:hAnsi="SimSun" w:cs="SimSun"/>
                    <w:spacing w:val="-3"/>
                    <w:sz w:val="21"/>
                    <w:szCs w:val="21"/>
                  </w:rPr>
                  <w:t>7/27</w:t>
                </w:r>
              </w:p>
            </w:txbxContent>
          </v:textbox>
        </v:shape>
      </w:pict>
    </w:r>
    <w:r>
      <w:rPr>
        <w:spacing w:val="-11"/>
        <w:sz w:val="21"/>
        <w:szCs w:val="21"/>
      </w:rPr>
      <w:t>请务必参阅正文后面的信息披露和法律声明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21" w:line="213" w:lineRule="auto"/>
      <w:ind w:left="20"/>
      <w:rPr>
        <w:sz w:val="21"/>
        <w:szCs w:val="21"/>
      </w:rPr>
    </w:pPr>
    <w:r>
      <w:drawing>
        <wp:anchor distT="0" distB="0" distL="0" distR="0" simplePos="0" relativeHeight="251688960" behindDoc="0" locked="0" layoutInCell="0" allowOverlap="1">
          <wp:simplePos x="0" y="0"/>
          <wp:positionH relativeFrom="page">
            <wp:posOffset>457174</wp:posOffset>
          </wp:positionH>
          <wp:positionV relativeFrom="page">
            <wp:posOffset>9975852</wp:posOffset>
          </wp:positionV>
          <wp:extent cx="6686543" cy="6350"/>
          <wp:effectExtent l="0" t="0" r="0" b="0"/>
          <wp:wrapNone/>
          <wp:docPr id="32" name="IM 3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 3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686543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22.55pt;height:14.8pt;margin-top:-0.3pt;margin-left:497.5pt;position:absolute;z-index:251689984" filled="f" stroked="f">
          <o:lock v:ext="edit" aspectratio="f"/>
          <v:textbox inset="0,0,0,0">
            <w:txbxContent>
              <w:p>
                <w:pPr>
                  <w:spacing w:before="20" w:line="224" w:lineRule="auto"/>
                  <w:ind w:left="20"/>
                  <w:rPr>
                    <w:rFonts w:ascii="SimSun" w:eastAsia="SimSun" w:hAnsi="SimSun" w:cs="SimSun"/>
                    <w:sz w:val="21"/>
                    <w:szCs w:val="21"/>
                  </w:rPr>
                </w:pPr>
                <w:r>
                  <w:rPr>
                    <w:rFonts w:ascii="SimSun" w:eastAsia="SimSun" w:hAnsi="SimSun" w:cs="SimSun"/>
                    <w:spacing w:val="-2"/>
                    <w:sz w:val="21"/>
                    <w:szCs w:val="21"/>
                  </w:rPr>
                  <w:t>8/27</w:t>
                </w:r>
              </w:p>
            </w:txbxContent>
          </v:textbox>
        </v:shape>
      </w:pict>
    </w:r>
    <w:r>
      <w:rPr>
        <w:spacing w:val="-11"/>
        <w:sz w:val="21"/>
        <w:szCs w:val="21"/>
      </w:rPr>
      <w:t>请务必参阅正文后面的信息披露和法律声明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21" w:line="213" w:lineRule="auto"/>
      <w:ind w:left="20"/>
      <w:rPr>
        <w:sz w:val="21"/>
        <w:szCs w:val="21"/>
      </w:rPr>
    </w:pPr>
    <w:r>
      <w:drawing>
        <wp:anchor distT="0" distB="0" distL="0" distR="0" simplePos="0" relativeHeight="251691008" behindDoc="0" locked="0" layoutInCell="0" allowOverlap="1">
          <wp:simplePos x="0" y="0"/>
          <wp:positionH relativeFrom="page">
            <wp:posOffset>457174</wp:posOffset>
          </wp:positionH>
          <wp:positionV relativeFrom="page">
            <wp:posOffset>9975852</wp:posOffset>
          </wp:positionV>
          <wp:extent cx="6686543" cy="6350"/>
          <wp:effectExtent l="0" t="0" r="0" b="0"/>
          <wp:wrapNone/>
          <wp:docPr id="2143727230" name="IM 3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3727230" name="IM 3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686543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5" type="#_x0000_t202" style="width:22.55pt;height:14.8pt;margin-top:-0.3pt;margin-left:497.5pt;position:absolute;z-index:251692032" filled="f" stroked="f">
          <o:lock v:ext="edit" aspectratio="f"/>
          <v:textbox inset="0,0,0,0">
            <w:txbxContent>
              <w:p>
                <w:pPr>
                  <w:spacing w:before="20" w:line="224" w:lineRule="auto"/>
                  <w:ind w:left="20"/>
                  <w:rPr>
                    <w:rFonts w:ascii="SimSun" w:eastAsia="SimSun" w:hAnsi="SimSun" w:cs="SimSun"/>
                    <w:sz w:val="21"/>
                    <w:szCs w:val="21"/>
                  </w:rPr>
                </w:pPr>
                <w:r>
                  <w:rPr>
                    <w:rFonts w:ascii="SimSun" w:eastAsia="SimSun" w:hAnsi="SimSun" w:cs="SimSun"/>
                    <w:spacing w:val="-2"/>
                    <w:sz w:val="21"/>
                    <w:szCs w:val="21"/>
                  </w:rPr>
                  <w:t>8/27</w:t>
                </w:r>
              </w:p>
            </w:txbxContent>
          </v:textbox>
        </v:shape>
      </w:pict>
    </w:r>
    <w:r>
      <w:rPr>
        <w:spacing w:val="-11"/>
        <w:sz w:val="21"/>
        <w:szCs w:val="21"/>
      </w:rPr>
      <w:t>请务必参阅正文后面的信息披露和法律声明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32" w:line="212" w:lineRule="auto"/>
      <w:ind w:left="40"/>
    </w:pPr>
    <w:r>
      <w:drawing>
        <wp:anchor distT="0" distB="0" distL="0" distR="0" simplePos="0" relativeHeight="251693056" behindDoc="0" locked="0" layoutInCell="0" allowOverlap="1">
          <wp:simplePos x="0" y="0"/>
          <wp:positionH relativeFrom="page">
            <wp:posOffset>457174</wp:posOffset>
          </wp:positionH>
          <wp:positionV relativeFrom="page">
            <wp:posOffset>9975852</wp:posOffset>
          </wp:positionV>
          <wp:extent cx="6686543" cy="6350"/>
          <wp:effectExtent l="0" t="0" r="0" b="0"/>
          <wp:wrapNone/>
          <wp:docPr id="36" name="IM 3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IM 3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686543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width:21.6pt;height:14.2pt;margin-top:0.19pt;margin-left:500pt;position:absolute;z-index:251694080" filled="f" stroked="f">
          <o:lock v:ext="edit" aspectratio="f"/>
          <v:textbox inset="0,0,0,0">
            <w:txbxContent>
              <w:p>
                <w:pPr>
                  <w:spacing w:before="20" w:line="224" w:lineRule="auto"/>
                  <w:ind w:left="20"/>
                  <w:rPr>
                    <w:rFonts w:ascii="SimSun" w:eastAsia="SimSun" w:hAnsi="SimSun" w:cs="SimSun"/>
                    <w:sz w:val="20"/>
                    <w:szCs w:val="20"/>
                  </w:rPr>
                </w:pPr>
                <w:r>
                  <w:rPr>
                    <w:rFonts w:ascii="SimSun" w:eastAsia="SimSun" w:hAnsi="SimSun" w:cs="SimSun"/>
                    <w:spacing w:val="-2"/>
                    <w:sz w:val="20"/>
                    <w:szCs w:val="20"/>
                  </w:rPr>
                  <w:t>9/27</w:t>
                </w:r>
              </w:p>
            </w:txbxContent>
          </v:textbox>
        </v:shape>
      </w:pict>
    </w:r>
    <w:r>
      <w:rPr>
        <w:spacing w:val="-1"/>
      </w:rPr>
      <w:t>请务必参阅正文后面的信息披露和法律声明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32" w:line="212" w:lineRule="auto"/>
      <w:ind w:left="40"/>
    </w:pPr>
    <w:r>
      <w:drawing>
        <wp:anchor distT="0" distB="0" distL="0" distR="0" simplePos="0" relativeHeight="251695104" behindDoc="0" locked="0" layoutInCell="0" allowOverlap="1">
          <wp:simplePos x="0" y="0"/>
          <wp:positionH relativeFrom="page">
            <wp:posOffset>457174</wp:posOffset>
          </wp:positionH>
          <wp:positionV relativeFrom="page">
            <wp:posOffset>9975852</wp:posOffset>
          </wp:positionV>
          <wp:extent cx="6686543" cy="6350"/>
          <wp:effectExtent l="0" t="0" r="0" b="0"/>
          <wp:wrapNone/>
          <wp:docPr id="2009717460" name="IM 3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9717460" name="IM 3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686543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width:21.6pt;height:14.2pt;margin-top:0.19pt;margin-left:500pt;position:absolute;z-index:251696128" filled="f" stroked="f">
          <o:lock v:ext="edit" aspectratio="f"/>
          <v:textbox inset="0,0,0,0">
            <w:txbxContent>
              <w:p>
                <w:pPr>
                  <w:spacing w:before="20" w:line="224" w:lineRule="auto"/>
                  <w:ind w:left="20"/>
                  <w:rPr>
                    <w:rFonts w:ascii="SimSun" w:eastAsia="SimSun" w:hAnsi="SimSun" w:cs="SimSun"/>
                    <w:sz w:val="20"/>
                    <w:szCs w:val="20"/>
                  </w:rPr>
                </w:pPr>
                <w:r>
                  <w:rPr>
                    <w:rFonts w:ascii="SimSun" w:eastAsia="SimSun" w:hAnsi="SimSun" w:cs="SimSun"/>
                    <w:spacing w:val="-2"/>
                    <w:sz w:val="20"/>
                    <w:szCs w:val="20"/>
                  </w:rPr>
                  <w:t>9/27</w:t>
                </w:r>
              </w:p>
            </w:txbxContent>
          </v:textbox>
        </v:shape>
      </w:pict>
    </w:r>
    <w:r>
      <w:rPr>
        <w:spacing w:val="-1"/>
      </w:rPr>
      <w:t>请务必参阅正文后面的信息披露和法律声明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32" w:line="212" w:lineRule="auto"/>
      <w:ind w:left="40"/>
    </w:pPr>
    <w:r>
      <w:drawing>
        <wp:anchor distT="0" distB="0" distL="0" distR="0" simplePos="0" relativeHeight="251697152" behindDoc="0" locked="0" layoutInCell="0" allowOverlap="1">
          <wp:simplePos x="0" y="0"/>
          <wp:positionH relativeFrom="page">
            <wp:posOffset>457174</wp:posOffset>
          </wp:positionH>
          <wp:positionV relativeFrom="page">
            <wp:posOffset>9975852</wp:posOffset>
          </wp:positionV>
          <wp:extent cx="6686543" cy="6350"/>
          <wp:effectExtent l="0" t="0" r="0" b="0"/>
          <wp:wrapNone/>
          <wp:docPr id="580726878" name="IM 3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0726878" name="IM 3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686543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8" type="#_x0000_t202" style="width:21.6pt;height:14.2pt;margin-top:0.19pt;margin-left:500pt;position:absolute;z-index:251698176" filled="f" stroked="f">
          <o:lock v:ext="edit" aspectratio="f"/>
          <v:textbox inset="0,0,0,0">
            <w:txbxContent>
              <w:p>
                <w:pPr>
                  <w:spacing w:before="20" w:line="224" w:lineRule="auto"/>
                  <w:ind w:left="20"/>
                  <w:rPr>
                    <w:rFonts w:ascii="SimSun" w:eastAsia="SimSun" w:hAnsi="SimSun" w:cs="SimSun"/>
                    <w:sz w:val="20"/>
                    <w:szCs w:val="20"/>
                  </w:rPr>
                </w:pPr>
                <w:r>
                  <w:rPr>
                    <w:rFonts w:ascii="SimSun" w:eastAsia="SimSun" w:hAnsi="SimSun" w:cs="SimSun"/>
                    <w:spacing w:val="-2"/>
                    <w:sz w:val="20"/>
                    <w:szCs w:val="20"/>
                  </w:rPr>
                  <w:t>9/27</w:t>
                </w:r>
              </w:p>
            </w:txbxContent>
          </v:textbox>
        </v:shape>
      </w:pict>
    </w:r>
    <w:r>
      <w:rPr>
        <w:spacing w:val="-1"/>
      </w:rPr>
      <w:t>请务必参阅正文后面的信息披露和法律声明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32" w:line="196" w:lineRule="auto"/>
      <w:ind w:left="10"/>
      <w:rPr>
        <w:rFonts w:ascii="SimSun" w:eastAsia="SimSun" w:hAnsi="SimSun" w:cs="SimSun"/>
        <w:sz w:val="26"/>
        <w:szCs w:val="26"/>
      </w:rPr>
    </w:pPr>
    <w:r>
      <w:drawing>
        <wp:anchor distT="0" distB="0" distL="0" distR="0" simplePos="0" relativeHeight="251699200" behindDoc="0" locked="0" layoutInCell="0" allowOverlap="1">
          <wp:simplePos x="0" y="0"/>
          <wp:positionH relativeFrom="page">
            <wp:posOffset>463527</wp:posOffset>
          </wp:positionH>
          <wp:positionV relativeFrom="page">
            <wp:posOffset>9982182</wp:posOffset>
          </wp:positionV>
          <wp:extent cx="6692895" cy="6416"/>
          <wp:effectExtent l="0" t="0" r="0" b="0"/>
          <wp:wrapNone/>
          <wp:docPr id="64" name="IM 6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" name="IM 6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692895" cy="6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pacing w:val="-13"/>
        <w:sz w:val="21"/>
        <w:szCs w:val="21"/>
      </w:rPr>
      <w:t>请务必参阅正文后面的信息披露和法律声明</w:t>
    </w:r>
    <w:r>
      <w:rPr>
        <w:spacing w:val="1"/>
        <w:sz w:val="21"/>
        <w:szCs w:val="21"/>
      </w:rPr>
      <w:t xml:space="preserve">                          </w:t>
    </w:r>
    <w:r>
      <w:rPr>
        <w:sz w:val="21"/>
        <w:szCs w:val="21"/>
      </w:rPr>
      <w:t xml:space="preserve">                                </w:t>
    </w:r>
    <w:r>
      <w:rPr>
        <w:rFonts w:ascii="SimSun" w:eastAsia="SimSun" w:hAnsi="SimSun" w:cs="SimSun"/>
        <w:spacing w:val="-13"/>
        <w:position w:val="-2"/>
        <w:sz w:val="26"/>
        <w:szCs w:val="26"/>
      </w:rPr>
      <w:t>10127</w: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32" w:line="196" w:lineRule="auto"/>
      <w:ind w:left="10"/>
      <w:rPr>
        <w:rFonts w:ascii="SimSun" w:eastAsia="SimSun" w:hAnsi="SimSun" w:cs="SimSun"/>
        <w:sz w:val="26"/>
        <w:szCs w:val="26"/>
      </w:rPr>
    </w:pPr>
    <w:r>
      <w:drawing>
        <wp:anchor distT="0" distB="0" distL="0" distR="0" simplePos="0" relativeHeight="251700224" behindDoc="0" locked="0" layoutInCell="0" allowOverlap="1">
          <wp:simplePos x="0" y="0"/>
          <wp:positionH relativeFrom="page">
            <wp:posOffset>463527</wp:posOffset>
          </wp:positionH>
          <wp:positionV relativeFrom="page">
            <wp:posOffset>9982182</wp:posOffset>
          </wp:positionV>
          <wp:extent cx="6692895" cy="6416"/>
          <wp:effectExtent l="0" t="0" r="0" b="0"/>
          <wp:wrapNone/>
          <wp:docPr id="1798198820" name="IM 6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98820" name="IM 6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692895" cy="6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pacing w:val="-13"/>
        <w:sz w:val="21"/>
        <w:szCs w:val="21"/>
      </w:rPr>
      <w:t>请务必参阅正文后面的信息披露和法律声明</w:t>
    </w:r>
    <w:r>
      <w:rPr>
        <w:spacing w:val="1"/>
        <w:sz w:val="21"/>
        <w:szCs w:val="21"/>
      </w:rPr>
      <w:t xml:space="preserve">                          </w:t>
    </w:r>
    <w:r>
      <w:rPr>
        <w:sz w:val="21"/>
        <w:szCs w:val="21"/>
      </w:rPr>
      <w:t xml:space="preserve">                                </w:t>
    </w:r>
    <w:r>
      <w:rPr>
        <w:rFonts w:ascii="SimSun" w:eastAsia="SimSun" w:hAnsi="SimSun" w:cs="SimSun"/>
        <w:spacing w:val="-13"/>
        <w:position w:val="-2"/>
        <w:sz w:val="26"/>
        <w:szCs w:val="26"/>
      </w:rPr>
      <w:t>10127</w: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32" w:line="196" w:lineRule="auto"/>
      <w:ind w:left="10"/>
      <w:rPr>
        <w:rFonts w:ascii="SimSun" w:eastAsia="SimSun" w:hAnsi="SimSun" w:cs="SimSun"/>
        <w:sz w:val="26"/>
        <w:szCs w:val="26"/>
      </w:rPr>
    </w:pPr>
    <w:r>
      <w:drawing>
        <wp:anchor distT="0" distB="0" distL="0" distR="0" simplePos="0" relativeHeight="251701248" behindDoc="0" locked="0" layoutInCell="0" allowOverlap="1">
          <wp:simplePos x="0" y="0"/>
          <wp:positionH relativeFrom="page">
            <wp:posOffset>463527</wp:posOffset>
          </wp:positionH>
          <wp:positionV relativeFrom="page">
            <wp:posOffset>9982182</wp:posOffset>
          </wp:positionV>
          <wp:extent cx="6692895" cy="6416"/>
          <wp:effectExtent l="0" t="0" r="0" b="0"/>
          <wp:wrapNone/>
          <wp:docPr id="1439208763" name="IM 6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9208763" name="IM 6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692895" cy="6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pacing w:val="-13"/>
        <w:sz w:val="21"/>
        <w:szCs w:val="21"/>
      </w:rPr>
      <w:t>请务必参阅正文后面的信息披露和法律声明</w:t>
    </w:r>
    <w:r>
      <w:rPr>
        <w:spacing w:val="1"/>
        <w:sz w:val="21"/>
        <w:szCs w:val="21"/>
      </w:rPr>
      <w:t xml:space="preserve">                          </w:t>
    </w:r>
    <w:r>
      <w:rPr>
        <w:sz w:val="21"/>
        <w:szCs w:val="21"/>
      </w:rPr>
      <w:t xml:space="preserve">                                </w:t>
    </w:r>
    <w:r>
      <w:rPr>
        <w:rFonts w:ascii="SimSun" w:eastAsia="SimSun" w:hAnsi="SimSun" w:cs="SimSun"/>
        <w:spacing w:val="-13"/>
        <w:position w:val="-2"/>
        <w:sz w:val="26"/>
        <w:szCs w:val="26"/>
      </w:rPr>
      <w:t>10127</w: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41" w:line="212" w:lineRule="auto"/>
      <w:ind w:left="20"/>
      <w:rPr>
        <w:sz w:val="19"/>
        <w:szCs w:val="19"/>
      </w:rPr>
    </w:pPr>
    <w:r>
      <w:drawing>
        <wp:anchor distT="0" distB="0" distL="0" distR="0" simplePos="0" relativeHeight="251702272" behindDoc="0" locked="0" layoutInCell="0" allowOverlap="1">
          <wp:simplePos x="0" y="0"/>
          <wp:positionH relativeFrom="page">
            <wp:posOffset>457174</wp:posOffset>
          </wp:positionH>
          <wp:positionV relativeFrom="page">
            <wp:posOffset>9975852</wp:posOffset>
          </wp:positionV>
          <wp:extent cx="6686543" cy="6350"/>
          <wp:effectExtent l="0" t="0" r="0" b="0"/>
          <wp:wrapNone/>
          <wp:docPr id="76" name="IM 7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" name="IM 7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686543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9" type="#_x0000_t202" style="width:24.7pt;height:13.55pt;margin-top:0.63pt;margin-left:494.5pt;position:absolute;z-index:251703296" filled="f" stroked="f">
          <o:lock v:ext="edit" aspectratio="f"/>
          <v:textbox inset="0,0,0,0">
            <w:txbxContent>
              <w:p>
                <w:pPr>
                  <w:spacing w:before="20" w:line="224" w:lineRule="auto"/>
                  <w:ind w:left="20"/>
                  <w:rPr>
                    <w:rFonts w:ascii="SimSun" w:eastAsia="SimSun" w:hAnsi="SimSun" w:cs="SimSun"/>
                    <w:sz w:val="19"/>
                    <w:szCs w:val="19"/>
                  </w:rPr>
                </w:pPr>
                <w:r>
                  <w:rPr>
                    <w:rFonts w:ascii="SimSun" w:eastAsia="SimSun" w:hAnsi="SimSun" w:cs="SimSun"/>
                    <w:spacing w:val="-4"/>
                    <w:sz w:val="19"/>
                    <w:szCs w:val="19"/>
                  </w:rPr>
                  <w:t>11/27</w:t>
                </w:r>
              </w:p>
            </w:txbxContent>
          </v:textbox>
        </v:shape>
      </w:pict>
    </w:r>
    <w:r>
      <w:rPr>
        <w:spacing w:val="9"/>
        <w:sz w:val="19"/>
        <w:szCs w:val="19"/>
      </w:rPr>
      <w:t>请务必参阅正文后面的信息披露和法律声明</w: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41" w:line="212" w:lineRule="auto"/>
      <w:ind w:left="20"/>
      <w:rPr>
        <w:sz w:val="19"/>
        <w:szCs w:val="19"/>
      </w:rPr>
    </w:pPr>
    <w:r>
      <w:drawing>
        <wp:anchor distT="0" distB="0" distL="0" distR="0" simplePos="0" relativeHeight="251704320" behindDoc="0" locked="0" layoutInCell="0" allowOverlap="1">
          <wp:simplePos x="0" y="0"/>
          <wp:positionH relativeFrom="page">
            <wp:posOffset>457174</wp:posOffset>
          </wp:positionH>
          <wp:positionV relativeFrom="page">
            <wp:posOffset>9975852</wp:posOffset>
          </wp:positionV>
          <wp:extent cx="6686543" cy="6350"/>
          <wp:effectExtent l="0" t="0" r="0" b="0"/>
          <wp:wrapNone/>
          <wp:docPr id="582412960" name="IM 7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2412960" name="IM 7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686543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24.7pt;height:13.55pt;margin-top:0.63pt;margin-left:494.5pt;position:absolute;z-index:251705344" filled="f" stroked="f">
          <o:lock v:ext="edit" aspectratio="f"/>
          <v:textbox inset="0,0,0,0">
            <w:txbxContent>
              <w:p>
                <w:pPr>
                  <w:spacing w:before="20" w:line="224" w:lineRule="auto"/>
                  <w:ind w:left="20"/>
                  <w:rPr>
                    <w:rFonts w:ascii="SimSun" w:eastAsia="SimSun" w:hAnsi="SimSun" w:cs="SimSun"/>
                    <w:sz w:val="19"/>
                    <w:szCs w:val="19"/>
                  </w:rPr>
                </w:pPr>
                <w:r>
                  <w:rPr>
                    <w:rFonts w:ascii="SimSun" w:eastAsia="SimSun" w:hAnsi="SimSun" w:cs="SimSun"/>
                    <w:spacing w:val="-4"/>
                    <w:sz w:val="19"/>
                    <w:szCs w:val="19"/>
                  </w:rPr>
                  <w:t>11/27</w:t>
                </w:r>
              </w:p>
            </w:txbxContent>
          </v:textbox>
        </v:shape>
      </w:pict>
    </w:r>
    <w:r>
      <w:rPr>
        <w:spacing w:val="9"/>
        <w:sz w:val="19"/>
        <w:szCs w:val="19"/>
      </w:rPr>
      <w:t>请务必参阅正文后面的信息披露和法律声明</w: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41" w:line="212" w:lineRule="auto"/>
      <w:ind w:left="20"/>
      <w:rPr>
        <w:sz w:val="19"/>
        <w:szCs w:val="19"/>
      </w:rPr>
    </w:pPr>
    <w:r>
      <w:drawing>
        <wp:anchor distT="0" distB="0" distL="0" distR="0" simplePos="0" relativeHeight="251706368" behindDoc="0" locked="0" layoutInCell="0" allowOverlap="1">
          <wp:simplePos x="0" y="0"/>
          <wp:positionH relativeFrom="page">
            <wp:posOffset>457174</wp:posOffset>
          </wp:positionH>
          <wp:positionV relativeFrom="page">
            <wp:posOffset>9975852</wp:posOffset>
          </wp:positionV>
          <wp:extent cx="6686543" cy="6350"/>
          <wp:effectExtent l="0" t="0" r="0" b="0"/>
          <wp:wrapNone/>
          <wp:docPr id="440047658" name="IM 7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0047658" name="IM 7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686543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1" type="#_x0000_t202" style="width:24.7pt;height:13.55pt;margin-top:0.63pt;margin-left:494.5pt;position:absolute;z-index:251707392" filled="f" stroked="f">
          <o:lock v:ext="edit" aspectratio="f"/>
          <v:textbox inset="0,0,0,0">
            <w:txbxContent>
              <w:p>
                <w:pPr>
                  <w:spacing w:before="20" w:line="224" w:lineRule="auto"/>
                  <w:ind w:left="20"/>
                  <w:rPr>
                    <w:rFonts w:ascii="SimSun" w:eastAsia="SimSun" w:hAnsi="SimSun" w:cs="SimSun"/>
                    <w:sz w:val="19"/>
                    <w:szCs w:val="19"/>
                  </w:rPr>
                </w:pPr>
                <w:r>
                  <w:rPr>
                    <w:rFonts w:ascii="SimSun" w:eastAsia="SimSun" w:hAnsi="SimSun" w:cs="SimSun"/>
                    <w:spacing w:val="-4"/>
                    <w:sz w:val="19"/>
                    <w:szCs w:val="19"/>
                  </w:rPr>
                  <w:t>11/27</w:t>
                </w:r>
              </w:p>
            </w:txbxContent>
          </v:textbox>
        </v:shape>
      </w:pict>
    </w:r>
    <w:r>
      <w:rPr>
        <w:spacing w:val="9"/>
        <w:sz w:val="19"/>
        <w:szCs w:val="19"/>
      </w:rPr>
      <w:t>请务必参阅正文后面的信息披露和法律声明</w: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41" w:line="212" w:lineRule="auto"/>
      <w:ind w:left="20"/>
      <w:rPr>
        <w:sz w:val="19"/>
        <w:szCs w:val="19"/>
      </w:rPr>
    </w:pPr>
    <w:r>
      <w:drawing>
        <wp:anchor distT="0" distB="0" distL="0" distR="0" simplePos="0" relativeHeight="251708416" behindDoc="0" locked="0" layoutInCell="0" allowOverlap="1">
          <wp:simplePos x="0" y="0"/>
          <wp:positionH relativeFrom="page">
            <wp:posOffset>457174</wp:posOffset>
          </wp:positionH>
          <wp:positionV relativeFrom="page">
            <wp:posOffset>9975852</wp:posOffset>
          </wp:positionV>
          <wp:extent cx="6686543" cy="6350"/>
          <wp:effectExtent l="0" t="0" r="0" b="0"/>
          <wp:wrapNone/>
          <wp:docPr id="187862280" name="IM 7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862280" name="IM 7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686543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2" type="#_x0000_t202" style="width:24.7pt;height:13.55pt;margin-top:0.63pt;margin-left:494.5pt;position:absolute;z-index:251709440" filled="f" stroked="f">
          <o:lock v:ext="edit" aspectratio="f"/>
          <v:textbox inset="0,0,0,0">
            <w:txbxContent>
              <w:p>
                <w:pPr>
                  <w:spacing w:before="20" w:line="224" w:lineRule="auto"/>
                  <w:ind w:left="20"/>
                  <w:rPr>
                    <w:rFonts w:ascii="SimSun" w:eastAsia="SimSun" w:hAnsi="SimSun" w:cs="SimSun"/>
                    <w:sz w:val="19"/>
                    <w:szCs w:val="19"/>
                  </w:rPr>
                </w:pPr>
                <w:r>
                  <w:rPr>
                    <w:rFonts w:ascii="SimSun" w:eastAsia="SimSun" w:hAnsi="SimSun" w:cs="SimSun"/>
                    <w:spacing w:val="-4"/>
                    <w:sz w:val="19"/>
                    <w:szCs w:val="19"/>
                  </w:rPr>
                  <w:t>11/27</w:t>
                </w:r>
              </w:p>
            </w:txbxContent>
          </v:textbox>
        </v:shape>
      </w:pict>
    </w:r>
    <w:r>
      <w:rPr>
        <w:spacing w:val="9"/>
        <w:sz w:val="19"/>
        <w:szCs w:val="19"/>
      </w:rPr>
      <w:t>请务必参阅正文后面的信息披露和法律声明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KaiTi" w:eastAsia="KaiTi" w:hAnsi="KaiTi" w:cs="KaiTi"/>
      <w:sz w:val="20"/>
      <w:szCs w:val="20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Times New Roman" w:eastAsia="Times New Roman" w:hAnsi="Times New Roman" w:cs="Times New Roman"/>
      <w:sz w:val="15"/>
      <w:szCs w:val="15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jpeg" /><Relationship Id="rId11" Type="http://schemas.openxmlformats.org/officeDocument/2006/relationships/footer" Target="footer5.xml" /><Relationship Id="rId12" Type="http://schemas.openxmlformats.org/officeDocument/2006/relationships/footer" Target="footer6.xml" /><Relationship Id="rId13" Type="http://schemas.openxmlformats.org/officeDocument/2006/relationships/footer" Target="footer7.xml" /><Relationship Id="rId14" Type="http://schemas.openxmlformats.org/officeDocument/2006/relationships/footer" Target="footer8.xml" /><Relationship Id="rId15" Type="http://schemas.openxmlformats.org/officeDocument/2006/relationships/footer" Target="footer9.xml" /><Relationship Id="rId16" Type="http://schemas.openxmlformats.org/officeDocument/2006/relationships/image" Target="media/image6.jpeg" /><Relationship Id="rId17" Type="http://schemas.openxmlformats.org/officeDocument/2006/relationships/footer" Target="footer10.xml" /><Relationship Id="rId18" Type="http://schemas.openxmlformats.org/officeDocument/2006/relationships/footer" Target="footer11.xml" /><Relationship Id="rId19" Type="http://schemas.openxmlformats.org/officeDocument/2006/relationships/footer" Target="footer12.xml" /><Relationship Id="rId2" Type="http://schemas.openxmlformats.org/officeDocument/2006/relationships/webSettings" Target="webSettings.xml" /><Relationship Id="rId20" Type="http://schemas.openxmlformats.org/officeDocument/2006/relationships/footer" Target="footer13.xml" /><Relationship Id="rId21" Type="http://schemas.openxmlformats.org/officeDocument/2006/relationships/footer" Target="footer14.xml" /><Relationship Id="rId22" Type="http://schemas.openxmlformats.org/officeDocument/2006/relationships/footer" Target="footer15.xml" /><Relationship Id="rId23" Type="http://schemas.openxmlformats.org/officeDocument/2006/relationships/footer" Target="footer16.xml" /><Relationship Id="rId24" Type="http://schemas.openxmlformats.org/officeDocument/2006/relationships/footer" Target="footer17.xml" /><Relationship Id="rId25" Type="http://schemas.openxmlformats.org/officeDocument/2006/relationships/image" Target="media/image7.png" /><Relationship Id="rId26" Type="http://schemas.openxmlformats.org/officeDocument/2006/relationships/image" Target="media/image8.png" /><Relationship Id="rId27" Type="http://schemas.openxmlformats.org/officeDocument/2006/relationships/image" Target="media/image9.jpeg" /><Relationship Id="rId28" Type="http://schemas.openxmlformats.org/officeDocument/2006/relationships/image" Target="media/image10.png" /><Relationship Id="rId29" Type="http://schemas.openxmlformats.org/officeDocument/2006/relationships/footer" Target="footer18.xml" /><Relationship Id="rId3" Type="http://schemas.openxmlformats.org/officeDocument/2006/relationships/fontTable" Target="fontTable.xml" /><Relationship Id="rId30" Type="http://schemas.openxmlformats.org/officeDocument/2006/relationships/image" Target="media/image11.png" /><Relationship Id="rId31" Type="http://schemas.openxmlformats.org/officeDocument/2006/relationships/image" Target="media/image12.jpeg" /><Relationship Id="rId32" Type="http://schemas.openxmlformats.org/officeDocument/2006/relationships/image" Target="media/image13.png" /><Relationship Id="rId33" Type="http://schemas.openxmlformats.org/officeDocument/2006/relationships/image" Target="media/image14.jpeg" /><Relationship Id="rId34" Type="http://schemas.openxmlformats.org/officeDocument/2006/relationships/footer" Target="footer19.xml" /><Relationship Id="rId35" Type="http://schemas.openxmlformats.org/officeDocument/2006/relationships/image" Target="media/image15.jpeg" /><Relationship Id="rId36" Type="http://schemas.openxmlformats.org/officeDocument/2006/relationships/image" Target="media/image16.png" /><Relationship Id="rId37" Type="http://schemas.openxmlformats.org/officeDocument/2006/relationships/image" Target="media/image17.jpeg" /><Relationship Id="rId38" Type="http://schemas.openxmlformats.org/officeDocument/2006/relationships/footer" Target="footer20.xml" /><Relationship Id="rId39" Type="http://schemas.openxmlformats.org/officeDocument/2006/relationships/image" Target="media/image18.jpeg" /><Relationship Id="rId4" Type="http://schemas.openxmlformats.org/officeDocument/2006/relationships/image" Target="media/image1.jpeg" /><Relationship Id="rId40" Type="http://schemas.openxmlformats.org/officeDocument/2006/relationships/image" Target="media/image19.jpeg" /><Relationship Id="rId41" Type="http://schemas.openxmlformats.org/officeDocument/2006/relationships/image" Target="media/image20.jpeg" /><Relationship Id="rId42" Type="http://schemas.openxmlformats.org/officeDocument/2006/relationships/footer" Target="footer21.xml" /><Relationship Id="rId43" Type="http://schemas.openxmlformats.org/officeDocument/2006/relationships/footer" Target="footer22.xml" /><Relationship Id="rId44" Type="http://schemas.openxmlformats.org/officeDocument/2006/relationships/image" Target="media/image22.jpeg" /><Relationship Id="rId45" Type="http://schemas.openxmlformats.org/officeDocument/2006/relationships/image" Target="media/image23.jpeg" /><Relationship Id="rId46" Type="http://schemas.openxmlformats.org/officeDocument/2006/relationships/footer" Target="footer23.xml" /><Relationship Id="rId47" Type="http://schemas.openxmlformats.org/officeDocument/2006/relationships/image" Target="media/image24.jpeg" /><Relationship Id="rId48" Type="http://schemas.openxmlformats.org/officeDocument/2006/relationships/image" Target="media/image25.png" /><Relationship Id="rId49" Type="http://schemas.openxmlformats.org/officeDocument/2006/relationships/image" Target="media/image26.jpeg" /><Relationship Id="rId5" Type="http://schemas.openxmlformats.org/officeDocument/2006/relationships/footer" Target="footer1.xml" /><Relationship Id="rId50" Type="http://schemas.openxmlformats.org/officeDocument/2006/relationships/footer" Target="footer24.xml" /><Relationship Id="rId51" Type="http://schemas.openxmlformats.org/officeDocument/2006/relationships/footer" Target="footer25.xml" /><Relationship Id="rId52" Type="http://schemas.openxmlformats.org/officeDocument/2006/relationships/footer" Target="footer26.xml" /><Relationship Id="rId53" Type="http://schemas.openxmlformats.org/officeDocument/2006/relationships/hyperlink" Target="https://d.book118.com/986152200200010055" TargetMode="External" /><Relationship Id="rId54" Type="http://schemas.openxmlformats.org/officeDocument/2006/relationships/footer" Target="footer27.xml" /><Relationship Id="rId55" Type="http://schemas.openxmlformats.org/officeDocument/2006/relationships/theme" Target="theme/theme1.xml" /><Relationship Id="rId56" Type="http://schemas.openxmlformats.org/officeDocument/2006/relationships/styles" Target="styles.xml" /><Relationship Id="rId6" Type="http://schemas.openxmlformats.org/officeDocument/2006/relationships/image" Target="media/image3.jpeg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footer" Target="footer4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4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5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footer6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footer7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footer8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footer9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footer10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footer11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footer12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footer13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footer14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footer15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footer16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footer17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footer18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footer19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footer20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footer21.xml.rels><?xml version="1.0" encoding="utf-8" standalone="yes"?><Relationships xmlns="http://schemas.openxmlformats.org/package/2006/relationships"><Relationship Id="rId1" Type="http://schemas.openxmlformats.org/officeDocument/2006/relationships/image" Target="media/image21.png" /></Relationships>
</file>

<file path=word/_rels/footer22.xml.rels><?xml version="1.0" encoding="utf-8" standalone="yes"?><Relationships xmlns="http://schemas.openxmlformats.org/package/2006/relationships"><Relationship Id="rId1" Type="http://schemas.openxmlformats.org/officeDocument/2006/relationships/image" Target="media/image21.png" /></Relationships>
</file>

<file path=word/_rels/footer23.xml.rels><?xml version="1.0" encoding="utf-8" standalone="yes"?><Relationships xmlns="http://schemas.openxmlformats.org/package/2006/relationships"><Relationship Id="rId1" Type="http://schemas.openxmlformats.org/officeDocument/2006/relationships/image" Target="media/image21.png" /></Relationships>
</file>

<file path=word/_rels/footer24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footer25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footer26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_rels/footer27.xml.rels><?xml version="1.0" encoding="utf-8" standalone="yes"?><Relationships xmlns="http://schemas.openxmlformats.org/package/2006/relationships"><Relationship Id="rId1" Type="http://schemas.openxmlformats.org/officeDocument/2006/relationships/image" Target="media/image5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2024-03-08T22:56:52Z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2024-03-08T22:57:00Z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65eb272fcc71d6001fdc9ab1wl</vt:lpwstr>
  </property>
</Properties>
</file>