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信息测量产品行业相关公司筹备报告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eastAsia="zh-CN"/>
          </w:rPr>
          <w:t>(七)、信息测量产品项目建设必要性分析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四、信息测量产品项目概况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_Toc12095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(二)、信息测量产品项目提出的理由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(三)、信息测量产品项目选址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(六)、信息测量产品项目投资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(七)、信息测量产品项目进度规划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4" w:history="1">
        <w:r>
          <w:rPr>
            <w:rFonts w:ascii="仿宋" w:eastAsia="仿宋" w:hAnsi="仿宋" w:cs="仿宋" w:hint="eastAsia"/>
            <w:lang w:eastAsia="zh-CN"/>
          </w:rPr>
          <w:t>(九)、信息测量产品项目综合评价</w:t>
        </w:r>
        <w:r>
          <w:tab/>
        </w:r>
        <w:r>
          <w:fldChar w:fldCharType="begin"/>
        </w:r>
        <w:r>
          <w:instrText xml:space="preserve"> PAGEREF _Toc8554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九、信息测量产品项目风险分析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1" w:history="1">
        <w:r>
          <w:rPr>
            <w:rFonts w:ascii="仿宋" w:eastAsia="仿宋" w:hAnsi="仿宋" w:cs="仿宋" w:hint="eastAsia"/>
            <w:lang w:eastAsia="zh-CN"/>
          </w:rPr>
          <w:t>(一)、信息测量产品项目风险分析</w:t>
        </w:r>
        <w:r>
          <w:tab/>
        </w:r>
        <w:r>
          <w:fldChar w:fldCharType="begin"/>
        </w:r>
        <w:r>
          <w:instrText xml:space="preserve"> PAGEREF _Toc3901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(二)、信息测量产品项目风险对策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(一)、信息测量产品项目背景分析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(二)、信息测量产品项目建设必要性分析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_Toc31524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_Toc10641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(二)、合作信息测量产品项目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9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9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https://d.book118.com/987021003160006032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信息测量产品行业相关公司筹备报告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信息测量产品行业相关公司筹备报告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信息测量产品行业相关公司筹备报告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信息测量产品行业相关公司筹备报告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信息测量产品行业相关公司筹备报告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021003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2024-01-12T09:32:00Z</dcterms:created>
  <dcterms:modified xsi:type="dcterms:W3CDTF">2024-01-12T09:32:56Z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24241753897C4F25AEBF1847E1E0AF48_11</vt:lpwstr>
  </property>
  <property fmtid="{D5CDD505-2E9C-101B-9397-08002B2CF9AE}" pid="3" name="KSOProductBuildVer">
    <vt:lpwstr>2052-12.1.0.16120</vt:lpwstr>
  </property>
</Properties>
</file>