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B00F4C" w:rsidP="00B00F4C" w14:paraId="08D35F49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B00F4C">
        <w:rPr>
          <w:rFonts w:ascii="华文中宋" w:eastAsia="华文中宋" w:hAnsi="华文中宋"/>
          <w:b/>
          <w:sz w:val="30"/>
        </w:rPr>
        <w:t>2023</w:t>
      </w:r>
      <w:r w:rsidRPr="00B00F4C">
        <w:rPr>
          <w:rFonts w:ascii="华文中宋" w:eastAsia="华文中宋" w:hAnsi="华文中宋"/>
          <w:b/>
          <w:sz w:val="30"/>
        </w:rPr>
        <w:t>中国民用航空适航审定中心招聘事业单位工作人员</w:t>
      </w:r>
      <w:r w:rsidRPr="00B00F4C">
        <w:rPr>
          <w:rFonts w:ascii="华文中宋" w:eastAsia="华文中宋" w:hAnsi="华文中宋"/>
          <w:b/>
          <w:sz w:val="30"/>
        </w:rPr>
        <w:t>30</w:t>
      </w:r>
      <w:r w:rsidRPr="00B00F4C">
        <w:rPr>
          <w:rFonts w:ascii="华文中宋" w:eastAsia="华文中宋" w:hAnsi="华文中宋"/>
          <w:b/>
          <w:sz w:val="30"/>
        </w:rPr>
        <w:t>人笔试备考题库及答案解析</w:t>
      </w:r>
    </w:p>
    <w:p w:rsidR="00A77B3E" w14:paraId="2FFB317D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2A64434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4F9356C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中国古代演戏的场所在历史上有过各种不同的名称和形态。就建筑而言，唐代称为戏场，宋代称为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27512F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、戏园</w:t>
      </w:r>
    </w:p>
    <w:p w:rsidR="006D34C4" w14:paraId="4065858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、勾阑</w:t>
      </w:r>
    </w:p>
    <w:p w:rsidR="006D34C4" w14:paraId="11C0E9F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、戏台</w:t>
      </w:r>
    </w:p>
    <w:p w:rsidR="006D34C4" w14:paraId="30DD1CC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、戏楼</w:t>
      </w:r>
    </w:p>
    <w:p w:rsidR="006D34C4" w14:paraId="2DA5A28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465A1E7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戏场泛指中国古代演戏的场所，在历史上有过各种不同的名称和形态。唐代中国戏剧已具雏形，至宋，金两代正式形成。各个朝代的演戏场所随着戏剧艺术的发展而演进。就建筑而言，以唐代的戏场，宋代的勾阑</w:t>
      </w:r>
      <w:r w:rsidRPr="006D34C4">
        <w:rPr>
          <w:rFonts w:ascii="微软雅黑" w:eastAsia="微软雅黑" w:cs="微软雅黑"/>
          <w:szCs w:val="14"/>
        </w:rPr>
        <w:t>(</w:t>
      </w:r>
      <w:r w:rsidRPr="006D34C4">
        <w:rPr>
          <w:rFonts w:ascii="微软雅黑" w:eastAsia="微软雅黑" w:cs="微软雅黑"/>
          <w:szCs w:val="14"/>
        </w:rPr>
        <w:t>也作勾栏，构栏</w:t>
      </w:r>
      <w:r w:rsidRPr="006D34C4">
        <w:rPr>
          <w:rFonts w:ascii="微软雅黑" w:eastAsia="微软雅黑" w:cs="微软雅黑"/>
          <w:szCs w:val="14"/>
        </w:rPr>
        <w:t>)</w:t>
      </w:r>
      <w:r w:rsidRPr="006D34C4">
        <w:rPr>
          <w:rFonts w:ascii="微软雅黑" w:eastAsia="微软雅黑" w:cs="微软雅黑"/>
          <w:szCs w:val="14"/>
        </w:rPr>
        <w:t>，元代的戏台和清代的戏楼，戏园为其主流。故选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0A5099C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调查报告的写作主要采用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三种表达方式。</w:t>
      </w:r>
    </w:p>
    <w:p w:rsidR="006D34C4" w14:paraId="5127034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、议论、说明、描写</w:t>
      </w:r>
    </w:p>
    <w:p w:rsidR="006D34C4" w14:paraId="60B5EB9F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、记叙、议论、说明</w:t>
      </w:r>
    </w:p>
    <w:p w:rsidR="006D34C4" w14:paraId="3E1D266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、记叙、议论、抒情</w:t>
      </w:r>
    </w:p>
    <w:p w:rsidR="006D34C4" w14:paraId="7F56152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、说明、记叙、描写</w:t>
      </w:r>
    </w:p>
    <w:p w:rsidR="006D34C4" w14:paraId="24756E2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4810906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调查报告以介绍事实材料为主，运用叙述的方法把事情的起因、发展和结果交待清楚，但它不是运用文学具体描绘和形象刻画，是让读者具体了解经验成功之处或错误失误之处，所以要运用材料叙述来说明问题。为了揭示事物的本质意义，表明作者的主观见解，在叙述的过程中，作者往往要进行一些议论。但这种议论只能是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画龙点睛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的，要恰到好处、点到即止。故选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3E81D53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提供企业核心竞争力，促进产品升级的最直接有效的途径是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5DE094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、品牌营销</w:t>
      </w:r>
    </w:p>
    <w:p w:rsidR="006D34C4" w14:paraId="0216E8A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、扩大规模</w:t>
      </w:r>
    </w:p>
    <w:p w:rsidR="006D34C4" w14:paraId="43E6F0F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、降低成本</w:t>
      </w:r>
    </w:p>
    <w:p w:rsidR="006D34C4" w14:paraId="0DB6AEA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、创新发展</w:t>
      </w:r>
    </w:p>
    <w:p w:rsidR="006D34C4" w14:paraId="3456869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D</w:t>
      </w:r>
    </w:p>
    <w:p w:rsidR="006D34C4" w14:paraId="7675635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企业核心竞争力是企业获取持续竞争优势的来源和基础。企业只有以创新发展为核心，以信息化为动力，以争创名牌为手段，以企业文化为后盾，全面提升自己的核心竞争力，才能在日趋激烈的国际市场竞争中有所作为。故选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0709AFC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由于成长环境和性格不同，人们会形成不同的理想信念，从而使之具有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4AF666A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、阶级性</w:t>
      </w:r>
    </w:p>
    <w:p w:rsidR="006D34C4" w14:paraId="69CBE0F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、实践性</w:t>
      </w:r>
    </w:p>
    <w:p w:rsidR="006D34C4" w14:paraId="4D83341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、共同性</w:t>
      </w:r>
    </w:p>
    <w:p w:rsidR="006D34C4" w14:paraId="3D71F23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、多样性</w:t>
      </w:r>
    </w:p>
    <w:p w:rsidR="006D34C4" w14:paraId="57668AC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D</w:t>
      </w:r>
    </w:p>
    <w:p w:rsidR="006D34C4" w14:paraId="13E73A8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理想信念具有多样性与共同性。由于成长环境和性格等的不同，人们会形成不同的理想信念，从而使之具有多样性。但同时，在一定的社会中，人们各自的理想信念又有相同之处，从而形成共同的理想信念。故选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8BE24E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对于道德与法律，描述不正确的是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19A075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、道德是法律的外延</w:t>
      </w:r>
    </w:p>
    <w:p w:rsidR="006D34C4" w14:paraId="2D1927AB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、法律是道德的底线</w:t>
      </w:r>
    </w:p>
    <w:p w:rsidR="006D34C4" w14:paraId="39139D6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、道德是自发自律的行为</w:t>
      </w:r>
    </w:p>
    <w:p w:rsidR="006D34C4" w14:paraId="4089F01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、法律具有阶级性，但道德没有</w:t>
      </w:r>
    </w:p>
    <w:p w:rsidR="006D34C4" w14:paraId="06CCE91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D</w:t>
      </w:r>
    </w:p>
    <w:p w:rsidR="006D34C4" w14:paraId="7E15FFE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法律是成文的道德，道德是内心的法律，法律和道德都具有规范社会行为、维护社会秩序的作用。道德和法律也有明显的区别，道德的调节范围大于法律，可以调节法律无法调节的领域</w:t>
      </w:r>
      <w:r w:rsidRPr="006D34C4">
        <w:rPr>
          <w:rFonts w:ascii="微软雅黑" w:eastAsia="微软雅黑" w:cs="微软雅黑"/>
          <w:szCs w:val="14"/>
        </w:rPr>
        <w:t>;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https://d.book118.com/987024020161006035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:rsidP="00B77510" w14:paraId="19801F9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00F4C" w14:paraId="4226C2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:rsidP="00B77510" w14:paraId="6349DFAA" w14:textId="65C191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00F4C" w14:paraId="47F7D3D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paraId="05C2D7E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00F4C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:rsidP="00B77510" w14:textId="65C191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00F4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00F4C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:rsidP="00B77510" w14:textId="65C191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00F4C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paraId="3D781E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paraId="4EE465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paraId="2B001BB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0F4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D34C4"/>
    <w:rsid w:val="00A77B3E"/>
    <w:rsid w:val="00B00F4C"/>
    <w:rsid w:val="00B77510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66B20E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B00F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B00F4C"/>
    <w:rPr>
      <w:sz w:val="18"/>
      <w:szCs w:val="18"/>
    </w:rPr>
  </w:style>
  <w:style w:type="paragraph" w:styleId="Footer">
    <w:name w:val="footer"/>
    <w:basedOn w:val="Normal"/>
    <w:link w:val="a0"/>
    <w:rsid w:val="00B00F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B00F4C"/>
    <w:rPr>
      <w:sz w:val="18"/>
      <w:szCs w:val="18"/>
    </w:rPr>
  </w:style>
  <w:style w:type="character" w:styleId="PageNumber">
    <w:name w:val="page number"/>
    <w:basedOn w:val="DefaultParagraphFont"/>
    <w:rsid w:val="00B0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8702402016100603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2024-01-30T12:58:00Z</dcterms:created>
  <dcterms:modified xsi:type="dcterms:W3CDTF">2024-01-30T12:58:00Z</dcterms:modified>
</cp:coreProperties>
</file>