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高耐候性装饰性防腐漆项目计划设计方案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98" w:history="1">
        <w:r>
          <w:rPr>
            <w:rFonts w:ascii="仿宋" w:eastAsia="仿宋" w:hAnsi="仿宋" w:cs="仿宋" w:hint="eastAsia"/>
            <w:lang w:eastAsia="zh-CN"/>
          </w:rPr>
          <w:t>前言</w:t>
        </w:r>
        <w:r>
          <w:tab/>
        </w:r>
        <w:r>
          <w:fldChar w:fldCharType="begin"/>
        </w:r>
        <w:r>
          <w:instrText xml:space="preserve"> PAGEREF _Toc11998 \h </w:instrText>
        </w:r>
        <w:r>
          <w:fldChar w:fldCharType="separate"/>
        </w:r>
        <w:r>
          <w:t>3</w:t>
        </w:r>
        <w:r>
          <w:fldChar w:fldCharType="end"/>
        </w:r>
      </w:hyperlink>
    </w:p>
    <w:p>
      <w:pPr>
        <w:pStyle w:val="TOC1"/>
        <w:tabs>
          <w:tab w:val="right" w:leader="dot" w:pos="8306"/>
        </w:tabs>
      </w:pPr>
      <w:hyperlink w:anchor="_Toc26291" w:history="1">
        <w:r>
          <w:rPr>
            <w:rFonts w:ascii="仿宋" w:eastAsia="仿宋" w:hAnsi="仿宋" w:cs="仿宋" w:hint="eastAsia"/>
            <w:lang w:eastAsia="zh-CN"/>
          </w:rPr>
          <w:t>一、高耐候性装饰性防腐漆项目选址可行性分析</w:t>
        </w:r>
        <w:r>
          <w:tab/>
        </w:r>
        <w:r>
          <w:fldChar w:fldCharType="begin"/>
        </w:r>
        <w:r>
          <w:instrText xml:space="preserve"> PAGEREF _Toc26291 \h </w:instrText>
        </w:r>
        <w:r>
          <w:fldChar w:fldCharType="separate"/>
        </w:r>
        <w:r>
          <w:t>3</w:t>
        </w:r>
        <w:r>
          <w:fldChar w:fldCharType="end"/>
        </w:r>
      </w:hyperlink>
    </w:p>
    <w:p>
      <w:pPr>
        <w:pStyle w:val="TOC2"/>
        <w:tabs>
          <w:tab w:val="right" w:leader="dot" w:pos="8306"/>
        </w:tabs>
      </w:pPr>
      <w:hyperlink w:anchor="_Toc24614" w:history="1">
        <w:r>
          <w:rPr>
            <w:rFonts w:ascii="仿宋" w:eastAsia="仿宋" w:hAnsi="仿宋" w:cs="仿宋" w:hint="eastAsia"/>
            <w:lang w:eastAsia="zh-CN"/>
          </w:rPr>
          <w:t>(一)、高耐候性装饰性防腐漆项目选址</w:t>
        </w:r>
        <w:r>
          <w:tab/>
        </w:r>
        <w:r>
          <w:fldChar w:fldCharType="begin"/>
        </w:r>
        <w:r>
          <w:instrText xml:space="preserve"> PAGEREF _Toc24614 \h </w:instrText>
        </w:r>
        <w:r>
          <w:fldChar w:fldCharType="separate"/>
        </w:r>
        <w:r>
          <w:t>3</w:t>
        </w:r>
        <w:r>
          <w:fldChar w:fldCharType="end"/>
        </w:r>
      </w:hyperlink>
    </w:p>
    <w:p>
      <w:pPr>
        <w:pStyle w:val="TOC2"/>
        <w:tabs>
          <w:tab w:val="right" w:leader="dot" w:pos="8306"/>
        </w:tabs>
      </w:pPr>
      <w:hyperlink w:anchor="_Toc16046" w:history="1">
        <w:r>
          <w:rPr>
            <w:rFonts w:ascii="仿宋" w:eastAsia="仿宋" w:hAnsi="仿宋" w:cs="仿宋" w:hint="eastAsia"/>
            <w:lang w:eastAsia="zh-CN"/>
          </w:rPr>
          <w:t>(二)、用地控制指标</w:t>
        </w:r>
        <w:r>
          <w:tab/>
        </w:r>
        <w:r>
          <w:fldChar w:fldCharType="begin"/>
        </w:r>
        <w:r>
          <w:instrText xml:space="preserve"> PAGEREF _Toc16046 \h </w:instrText>
        </w:r>
        <w:r>
          <w:fldChar w:fldCharType="separate"/>
        </w:r>
        <w:r>
          <w:t>3</w:t>
        </w:r>
        <w:r>
          <w:fldChar w:fldCharType="end"/>
        </w:r>
      </w:hyperlink>
    </w:p>
    <w:p>
      <w:pPr>
        <w:pStyle w:val="TOC2"/>
        <w:tabs>
          <w:tab w:val="right" w:leader="dot" w:pos="8306"/>
        </w:tabs>
      </w:pPr>
      <w:hyperlink w:anchor="_Toc31074" w:history="1">
        <w:r>
          <w:rPr>
            <w:rFonts w:ascii="仿宋" w:eastAsia="仿宋" w:hAnsi="仿宋" w:cs="仿宋" w:hint="eastAsia"/>
            <w:lang w:eastAsia="zh-CN"/>
          </w:rPr>
          <w:t>(三)、节约用地措施</w:t>
        </w:r>
        <w:r>
          <w:tab/>
        </w:r>
        <w:r>
          <w:fldChar w:fldCharType="begin"/>
        </w:r>
        <w:r>
          <w:instrText xml:space="preserve"> PAGEREF _Toc31074 \h </w:instrText>
        </w:r>
        <w:r>
          <w:fldChar w:fldCharType="separate"/>
        </w:r>
        <w:r>
          <w:t>5</w:t>
        </w:r>
        <w:r>
          <w:fldChar w:fldCharType="end"/>
        </w:r>
      </w:hyperlink>
    </w:p>
    <w:p>
      <w:pPr>
        <w:pStyle w:val="TOC2"/>
        <w:tabs>
          <w:tab w:val="right" w:leader="dot" w:pos="8306"/>
        </w:tabs>
      </w:pPr>
      <w:hyperlink w:anchor="_Toc24974" w:history="1">
        <w:r>
          <w:rPr>
            <w:rFonts w:ascii="仿宋" w:eastAsia="仿宋" w:hAnsi="仿宋" w:cs="仿宋" w:hint="eastAsia"/>
            <w:lang w:eastAsia="zh-CN"/>
          </w:rPr>
          <w:t>(四)、总图布置方案</w:t>
        </w:r>
        <w:r>
          <w:tab/>
        </w:r>
        <w:r>
          <w:fldChar w:fldCharType="begin"/>
        </w:r>
        <w:r>
          <w:instrText xml:space="preserve"> PAGEREF _Toc24974 \h </w:instrText>
        </w:r>
        <w:r>
          <w:fldChar w:fldCharType="separate"/>
        </w:r>
        <w:r>
          <w:t>6</w:t>
        </w:r>
        <w:r>
          <w:fldChar w:fldCharType="end"/>
        </w:r>
      </w:hyperlink>
    </w:p>
    <w:p>
      <w:pPr>
        <w:pStyle w:val="TOC2"/>
        <w:tabs>
          <w:tab w:val="right" w:leader="dot" w:pos="8306"/>
        </w:tabs>
      </w:pPr>
      <w:hyperlink w:anchor="_Toc20128" w:history="1">
        <w:r>
          <w:rPr>
            <w:rFonts w:ascii="仿宋" w:eastAsia="仿宋" w:hAnsi="仿宋" w:cs="仿宋" w:hint="eastAsia"/>
            <w:lang w:eastAsia="zh-CN"/>
          </w:rPr>
          <w:t>(五)、选址综合评价</w:t>
        </w:r>
        <w:r>
          <w:tab/>
        </w:r>
        <w:r>
          <w:fldChar w:fldCharType="begin"/>
        </w:r>
        <w:r>
          <w:instrText xml:space="preserve"> PAGEREF _Toc20128 \h </w:instrText>
        </w:r>
        <w:r>
          <w:fldChar w:fldCharType="separate"/>
        </w:r>
        <w:r>
          <w:t>8</w:t>
        </w:r>
        <w:r>
          <w:fldChar w:fldCharType="end"/>
        </w:r>
      </w:hyperlink>
    </w:p>
    <w:p>
      <w:pPr>
        <w:pStyle w:val="TOC1"/>
        <w:tabs>
          <w:tab w:val="right" w:leader="dot" w:pos="8306"/>
        </w:tabs>
      </w:pPr>
      <w:hyperlink w:anchor="_Toc2905" w:history="1">
        <w:r>
          <w:rPr>
            <w:rFonts w:ascii="仿宋" w:eastAsia="仿宋" w:hAnsi="仿宋" w:cs="仿宋" w:hint="eastAsia"/>
            <w:lang w:eastAsia="zh-CN"/>
          </w:rPr>
          <w:t>二、市场分析、调研</w:t>
        </w:r>
        <w:r>
          <w:tab/>
        </w:r>
        <w:r>
          <w:fldChar w:fldCharType="begin"/>
        </w:r>
        <w:r>
          <w:instrText xml:space="preserve"> PAGEREF _Toc2905 \h </w:instrText>
        </w:r>
        <w:r>
          <w:fldChar w:fldCharType="separate"/>
        </w:r>
        <w:r>
          <w:t>9</w:t>
        </w:r>
        <w:r>
          <w:fldChar w:fldCharType="end"/>
        </w:r>
      </w:hyperlink>
    </w:p>
    <w:p>
      <w:pPr>
        <w:pStyle w:val="TOC2"/>
        <w:tabs>
          <w:tab w:val="right" w:leader="dot" w:pos="8306"/>
        </w:tabs>
      </w:pPr>
      <w:hyperlink w:anchor="_Toc11088" w:history="1">
        <w:r>
          <w:rPr>
            <w:rFonts w:ascii="仿宋" w:eastAsia="仿宋" w:hAnsi="仿宋" w:cs="仿宋" w:hint="eastAsia"/>
            <w:lang w:eastAsia="zh-CN"/>
          </w:rPr>
          <w:t>(一)、高耐候性装饰性防腐漆行业分析</w:t>
        </w:r>
        <w:r>
          <w:tab/>
        </w:r>
        <w:r>
          <w:fldChar w:fldCharType="begin"/>
        </w:r>
        <w:r>
          <w:instrText xml:space="preserve"> PAGEREF _Toc11088 \h </w:instrText>
        </w:r>
        <w:r>
          <w:fldChar w:fldCharType="separate"/>
        </w:r>
        <w:r>
          <w:t>9</w:t>
        </w:r>
        <w:r>
          <w:fldChar w:fldCharType="end"/>
        </w:r>
      </w:hyperlink>
    </w:p>
    <w:p>
      <w:pPr>
        <w:pStyle w:val="TOC2"/>
        <w:tabs>
          <w:tab w:val="right" w:leader="dot" w:pos="8306"/>
        </w:tabs>
      </w:pPr>
      <w:hyperlink w:anchor="_Toc25400" w:history="1">
        <w:r>
          <w:rPr>
            <w:rFonts w:ascii="仿宋" w:eastAsia="仿宋" w:hAnsi="仿宋" w:cs="仿宋" w:hint="eastAsia"/>
            <w:lang w:eastAsia="zh-CN"/>
          </w:rPr>
          <w:t>(二)、高耐候性装饰性防腐漆市场分析预测</w:t>
        </w:r>
        <w:r>
          <w:tab/>
        </w:r>
        <w:r>
          <w:fldChar w:fldCharType="begin"/>
        </w:r>
        <w:r>
          <w:instrText xml:space="preserve"> PAGEREF _Toc25400 \h </w:instrText>
        </w:r>
        <w:r>
          <w:fldChar w:fldCharType="separate"/>
        </w:r>
        <w:r>
          <w:t>10</w:t>
        </w:r>
        <w:r>
          <w:fldChar w:fldCharType="end"/>
        </w:r>
      </w:hyperlink>
    </w:p>
    <w:p>
      <w:pPr>
        <w:pStyle w:val="TOC1"/>
        <w:tabs>
          <w:tab w:val="right" w:leader="dot" w:pos="8306"/>
        </w:tabs>
      </w:pPr>
      <w:hyperlink w:anchor="_Toc25990" w:history="1">
        <w:r>
          <w:rPr>
            <w:rFonts w:ascii="仿宋" w:eastAsia="仿宋" w:hAnsi="仿宋" w:cs="仿宋" w:hint="eastAsia"/>
            <w:lang w:eastAsia="zh-CN"/>
          </w:rPr>
          <w:t>三、工艺说明</w:t>
        </w:r>
        <w:r>
          <w:tab/>
        </w:r>
        <w:r>
          <w:fldChar w:fldCharType="begin"/>
        </w:r>
        <w:r>
          <w:instrText xml:space="preserve"> PAGEREF _Toc25990 \h </w:instrText>
        </w:r>
        <w:r>
          <w:fldChar w:fldCharType="separate"/>
        </w:r>
        <w:r>
          <w:t>10</w:t>
        </w:r>
        <w:r>
          <w:fldChar w:fldCharType="end"/>
        </w:r>
      </w:hyperlink>
    </w:p>
    <w:p>
      <w:pPr>
        <w:pStyle w:val="TOC2"/>
        <w:tabs>
          <w:tab w:val="right" w:leader="dot" w:pos="8306"/>
        </w:tabs>
      </w:pPr>
      <w:hyperlink w:anchor="_Toc19512" w:history="1">
        <w:r>
          <w:rPr>
            <w:rFonts w:ascii="仿宋" w:eastAsia="仿宋" w:hAnsi="仿宋" w:cs="仿宋" w:hint="eastAsia"/>
            <w:lang w:eastAsia="zh-CN"/>
          </w:rPr>
          <w:t>(一)、技术管理特点</w:t>
        </w:r>
        <w:r>
          <w:tab/>
        </w:r>
        <w:r>
          <w:fldChar w:fldCharType="begin"/>
        </w:r>
        <w:r>
          <w:instrText xml:space="preserve"> PAGEREF _Toc19512 \h </w:instrText>
        </w:r>
        <w:r>
          <w:fldChar w:fldCharType="separate"/>
        </w:r>
        <w:r>
          <w:t>10</w:t>
        </w:r>
        <w:r>
          <w:fldChar w:fldCharType="end"/>
        </w:r>
      </w:hyperlink>
    </w:p>
    <w:p>
      <w:pPr>
        <w:pStyle w:val="TOC2"/>
        <w:tabs>
          <w:tab w:val="right" w:leader="dot" w:pos="8306"/>
        </w:tabs>
      </w:pPr>
      <w:hyperlink w:anchor="_Toc19521" w:history="1">
        <w:r>
          <w:rPr>
            <w:rFonts w:ascii="仿宋" w:eastAsia="仿宋" w:hAnsi="仿宋" w:cs="仿宋" w:hint="eastAsia"/>
            <w:lang w:eastAsia="zh-CN"/>
          </w:rPr>
          <w:t>(二)、高耐候性装饰性防腐漆项目工艺技术设计方案</w:t>
        </w:r>
        <w:r>
          <w:tab/>
        </w:r>
        <w:r>
          <w:fldChar w:fldCharType="begin"/>
        </w:r>
        <w:r>
          <w:instrText xml:space="preserve"> PAGEREF _Toc19521 \h </w:instrText>
        </w:r>
        <w:r>
          <w:fldChar w:fldCharType="separate"/>
        </w:r>
        <w:r>
          <w:t>12</w:t>
        </w:r>
        <w:r>
          <w:fldChar w:fldCharType="end"/>
        </w:r>
      </w:hyperlink>
    </w:p>
    <w:p>
      <w:pPr>
        <w:pStyle w:val="TOC2"/>
        <w:tabs>
          <w:tab w:val="right" w:leader="dot" w:pos="8306"/>
        </w:tabs>
      </w:pPr>
      <w:hyperlink w:anchor="_Toc30965" w:history="1">
        <w:r>
          <w:rPr>
            <w:rFonts w:ascii="仿宋" w:eastAsia="仿宋" w:hAnsi="仿宋" w:cs="仿宋" w:hint="eastAsia"/>
            <w:lang w:eastAsia="zh-CN"/>
          </w:rPr>
          <w:t>(三)、设备选型方案</w:t>
        </w:r>
        <w:r>
          <w:tab/>
        </w:r>
        <w:r>
          <w:fldChar w:fldCharType="begin"/>
        </w:r>
        <w:r>
          <w:instrText xml:space="preserve"> PAGEREF _Toc30965 \h </w:instrText>
        </w:r>
        <w:r>
          <w:fldChar w:fldCharType="separate"/>
        </w:r>
        <w:r>
          <w:t>13</w:t>
        </w:r>
        <w:r>
          <w:fldChar w:fldCharType="end"/>
        </w:r>
      </w:hyperlink>
    </w:p>
    <w:p>
      <w:pPr>
        <w:pStyle w:val="TOC1"/>
        <w:tabs>
          <w:tab w:val="right" w:leader="dot" w:pos="8306"/>
        </w:tabs>
      </w:pPr>
      <w:hyperlink w:anchor="_Toc20702" w:history="1">
        <w:r>
          <w:rPr>
            <w:rFonts w:ascii="仿宋" w:eastAsia="仿宋" w:hAnsi="仿宋" w:cs="仿宋" w:hint="eastAsia"/>
            <w:lang w:eastAsia="zh-CN"/>
          </w:rPr>
          <w:t>四、高耐候性装饰性防腐漆项目危机管理</w:t>
        </w:r>
        <w:r>
          <w:tab/>
        </w:r>
        <w:r>
          <w:fldChar w:fldCharType="begin"/>
        </w:r>
        <w:r>
          <w:instrText xml:space="preserve"> PAGEREF _Toc20702 \h </w:instrText>
        </w:r>
        <w:r>
          <w:fldChar w:fldCharType="separate"/>
        </w:r>
        <w:r>
          <w:t>14</w:t>
        </w:r>
        <w:r>
          <w:fldChar w:fldCharType="end"/>
        </w:r>
      </w:hyperlink>
    </w:p>
    <w:p>
      <w:pPr>
        <w:pStyle w:val="TOC2"/>
        <w:tabs>
          <w:tab w:val="right" w:leader="dot" w:pos="8306"/>
        </w:tabs>
      </w:pPr>
      <w:hyperlink w:anchor="_Toc16837" w:history="1">
        <w:r>
          <w:rPr>
            <w:rFonts w:ascii="仿宋" w:eastAsia="仿宋" w:hAnsi="仿宋" w:cs="仿宋" w:hint="eastAsia"/>
            <w:lang w:eastAsia="zh-CN"/>
          </w:rPr>
          <w:t>(一)、危机预警与识别</w:t>
        </w:r>
        <w:r>
          <w:tab/>
        </w:r>
        <w:r>
          <w:fldChar w:fldCharType="begin"/>
        </w:r>
        <w:r>
          <w:instrText xml:space="preserve"> PAGEREF _Toc16837 \h </w:instrText>
        </w:r>
        <w:r>
          <w:fldChar w:fldCharType="separate"/>
        </w:r>
        <w:r>
          <w:t>14</w:t>
        </w:r>
        <w:r>
          <w:fldChar w:fldCharType="end"/>
        </w:r>
      </w:hyperlink>
    </w:p>
    <w:p>
      <w:pPr>
        <w:pStyle w:val="TOC2"/>
        <w:tabs>
          <w:tab w:val="right" w:leader="dot" w:pos="8306"/>
        </w:tabs>
      </w:pPr>
      <w:hyperlink w:anchor="_Toc3357" w:history="1">
        <w:r>
          <w:rPr>
            <w:rFonts w:ascii="仿宋" w:eastAsia="仿宋" w:hAnsi="仿宋" w:cs="仿宋" w:hint="eastAsia"/>
            <w:lang w:eastAsia="zh-CN"/>
          </w:rPr>
          <w:t>(二)、危机应对与恢复</w:t>
        </w:r>
        <w:r>
          <w:tab/>
        </w:r>
        <w:r>
          <w:fldChar w:fldCharType="begin"/>
        </w:r>
        <w:r>
          <w:instrText xml:space="preserve"> PAGEREF _Toc3357 \h </w:instrText>
        </w:r>
        <w:r>
          <w:fldChar w:fldCharType="separate"/>
        </w:r>
        <w:r>
          <w:t>15</w:t>
        </w:r>
        <w:r>
          <w:fldChar w:fldCharType="end"/>
        </w:r>
      </w:hyperlink>
    </w:p>
    <w:p>
      <w:pPr>
        <w:pStyle w:val="TOC1"/>
        <w:tabs>
          <w:tab w:val="right" w:leader="dot" w:pos="8306"/>
        </w:tabs>
      </w:pPr>
      <w:hyperlink w:anchor="_Toc31007" w:history="1">
        <w:r>
          <w:rPr>
            <w:rFonts w:ascii="仿宋" w:eastAsia="仿宋" w:hAnsi="仿宋" w:cs="仿宋" w:hint="eastAsia"/>
            <w:lang w:eastAsia="zh-CN"/>
          </w:rPr>
          <w:t>五、产品规划分析</w:t>
        </w:r>
        <w:r>
          <w:tab/>
        </w:r>
        <w:r>
          <w:fldChar w:fldCharType="begin"/>
        </w:r>
        <w:r>
          <w:instrText xml:space="preserve"> PAGEREF _Toc31007 \h </w:instrText>
        </w:r>
        <w:r>
          <w:fldChar w:fldCharType="separate"/>
        </w:r>
        <w:r>
          <w:t>17</w:t>
        </w:r>
        <w:r>
          <w:fldChar w:fldCharType="end"/>
        </w:r>
      </w:hyperlink>
    </w:p>
    <w:p>
      <w:pPr>
        <w:pStyle w:val="TOC2"/>
        <w:tabs>
          <w:tab w:val="right" w:leader="dot" w:pos="8306"/>
        </w:tabs>
      </w:pPr>
      <w:hyperlink w:anchor="_Toc4712" w:history="1">
        <w:r>
          <w:rPr>
            <w:rFonts w:ascii="仿宋" w:eastAsia="仿宋" w:hAnsi="仿宋" w:cs="仿宋" w:hint="eastAsia"/>
            <w:lang w:eastAsia="zh-CN"/>
          </w:rPr>
          <w:t>(一)、产品规划</w:t>
        </w:r>
        <w:r>
          <w:tab/>
        </w:r>
        <w:r>
          <w:fldChar w:fldCharType="begin"/>
        </w:r>
        <w:r>
          <w:instrText xml:space="preserve"> PAGEREF _Toc4712 \h </w:instrText>
        </w:r>
        <w:r>
          <w:fldChar w:fldCharType="separate"/>
        </w:r>
        <w:r>
          <w:t>17</w:t>
        </w:r>
        <w:r>
          <w:fldChar w:fldCharType="end"/>
        </w:r>
      </w:hyperlink>
    </w:p>
    <w:p>
      <w:pPr>
        <w:pStyle w:val="TOC2"/>
        <w:tabs>
          <w:tab w:val="right" w:leader="dot" w:pos="8306"/>
        </w:tabs>
      </w:pPr>
      <w:hyperlink w:anchor="_Toc6224" w:history="1">
        <w:r>
          <w:rPr>
            <w:rFonts w:ascii="仿宋" w:eastAsia="仿宋" w:hAnsi="仿宋" w:cs="仿宋" w:hint="eastAsia"/>
            <w:lang w:eastAsia="zh-CN"/>
          </w:rPr>
          <w:t>(二)、建设规模</w:t>
        </w:r>
        <w:r>
          <w:tab/>
        </w:r>
        <w:r>
          <w:fldChar w:fldCharType="begin"/>
        </w:r>
        <w:r>
          <w:instrText xml:space="preserve"> PAGEREF _Toc6224 \h </w:instrText>
        </w:r>
        <w:r>
          <w:fldChar w:fldCharType="separate"/>
        </w:r>
        <w:r>
          <w:t>18</w:t>
        </w:r>
        <w:r>
          <w:fldChar w:fldCharType="end"/>
        </w:r>
      </w:hyperlink>
    </w:p>
    <w:p>
      <w:pPr>
        <w:pStyle w:val="TOC1"/>
        <w:tabs>
          <w:tab w:val="right" w:leader="dot" w:pos="8306"/>
        </w:tabs>
      </w:pPr>
      <w:hyperlink w:anchor="_Toc5180" w:history="1">
        <w:r>
          <w:rPr>
            <w:rFonts w:ascii="仿宋" w:eastAsia="仿宋" w:hAnsi="仿宋" w:cs="仿宋" w:hint="eastAsia"/>
            <w:lang w:eastAsia="zh-CN"/>
          </w:rPr>
          <w:t>六、高耐候性装饰性防腐漆项目建设背景及必要性分析</w:t>
        </w:r>
        <w:r>
          <w:tab/>
        </w:r>
        <w:r>
          <w:fldChar w:fldCharType="begin"/>
        </w:r>
        <w:r>
          <w:instrText xml:space="preserve"> PAGEREF _Toc5180 \h </w:instrText>
        </w:r>
        <w:r>
          <w:fldChar w:fldCharType="separate"/>
        </w:r>
        <w:r>
          <w:t>19</w:t>
        </w:r>
        <w:r>
          <w:fldChar w:fldCharType="end"/>
        </w:r>
      </w:hyperlink>
    </w:p>
    <w:p>
      <w:pPr>
        <w:pStyle w:val="TOC2"/>
        <w:tabs>
          <w:tab w:val="right" w:leader="dot" w:pos="8306"/>
        </w:tabs>
      </w:pPr>
      <w:hyperlink w:anchor="_Toc11965" w:history="1">
        <w:r>
          <w:rPr>
            <w:rFonts w:ascii="仿宋" w:eastAsia="仿宋" w:hAnsi="仿宋" w:cs="仿宋" w:hint="eastAsia"/>
            <w:lang w:eastAsia="zh-CN"/>
          </w:rPr>
          <w:t>(一)、高耐候性装饰性防腐漆项目背景分析</w:t>
        </w:r>
        <w:r>
          <w:tab/>
        </w:r>
        <w:r>
          <w:fldChar w:fldCharType="begin"/>
        </w:r>
        <w:r>
          <w:instrText xml:space="preserve"> PAGEREF _Toc11965 \h </w:instrText>
        </w:r>
        <w:r>
          <w:fldChar w:fldCharType="separate"/>
        </w:r>
        <w:r>
          <w:t>19</w:t>
        </w:r>
        <w:r>
          <w:fldChar w:fldCharType="end"/>
        </w:r>
      </w:hyperlink>
    </w:p>
    <w:p>
      <w:pPr>
        <w:pStyle w:val="TOC2"/>
        <w:tabs>
          <w:tab w:val="right" w:leader="dot" w:pos="8306"/>
        </w:tabs>
      </w:pPr>
      <w:hyperlink w:anchor="_Toc20191" w:history="1">
        <w:r>
          <w:rPr>
            <w:rFonts w:ascii="仿宋" w:eastAsia="仿宋" w:hAnsi="仿宋" w:cs="仿宋" w:hint="eastAsia"/>
            <w:lang w:eastAsia="zh-CN"/>
          </w:rPr>
          <w:t>(二)、高耐候性装饰性防腐漆项目建设必要性分析</w:t>
        </w:r>
        <w:r>
          <w:tab/>
        </w:r>
        <w:r>
          <w:fldChar w:fldCharType="begin"/>
        </w:r>
        <w:r>
          <w:instrText xml:space="preserve"> PAGEREF _Toc20191 \h </w:instrText>
        </w:r>
        <w:r>
          <w:fldChar w:fldCharType="separate"/>
        </w:r>
        <w:r>
          <w:t>21</w:t>
        </w:r>
        <w:r>
          <w:fldChar w:fldCharType="end"/>
        </w:r>
      </w:hyperlink>
    </w:p>
    <w:p>
      <w:pPr>
        <w:pStyle w:val="TOC1"/>
        <w:tabs>
          <w:tab w:val="right" w:leader="dot" w:pos="8306"/>
        </w:tabs>
      </w:pPr>
      <w:hyperlink w:anchor="_Toc4156" w:history="1">
        <w:r>
          <w:rPr>
            <w:rFonts w:ascii="仿宋" w:eastAsia="仿宋" w:hAnsi="仿宋" w:cs="仿宋" w:hint="eastAsia"/>
            <w:lang w:eastAsia="zh-CN"/>
          </w:rPr>
          <w:t>七、高耐候性装饰性防腐漆项目人力资源培养与发展</w:t>
        </w:r>
        <w:r>
          <w:tab/>
        </w:r>
        <w:r>
          <w:fldChar w:fldCharType="begin"/>
        </w:r>
        <w:r>
          <w:instrText xml:space="preserve"> PAGEREF _Toc4156 \h </w:instrText>
        </w:r>
        <w:r>
          <w:fldChar w:fldCharType="separate"/>
        </w:r>
        <w:r>
          <w:t>22</w:t>
        </w:r>
        <w:r>
          <w:fldChar w:fldCharType="end"/>
        </w:r>
      </w:hyperlink>
    </w:p>
    <w:p>
      <w:pPr>
        <w:pStyle w:val="TOC2"/>
        <w:tabs>
          <w:tab w:val="right" w:leader="dot" w:pos="8306"/>
        </w:tabs>
      </w:pPr>
      <w:hyperlink w:anchor="_Toc21707" w:history="1">
        <w:r>
          <w:rPr>
            <w:rFonts w:ascii="仿宋" w:eastAsia="仿宋" w:hAnsi="仿宋" w:cs="仿宋" w:hint="eastAsia"/>
            <w:lang w:eastAsia="zh-CN"/>
          </w:rPr>
          <w:t>(一)、人才需求与规划</w:t>
        </w:r>
        <w:r>
          <w:tab/>
        </w:r>
        <w:r>
          <w:fldChar w:fldCharType="begin"/>
        </w:r>
        <w:r>
          <w:instrText xml:space="preserve"> PAGEREF _Toc21707 \h </w:instrText>
        </w:r>
        <w:r>
          <w:fldChar w:fldCharType="separate"/>
        </w:r>
        <w:r>
          <w:t>22</w:t>
        </w:r>
        <w:r>
          <w:fldChar w:fldCharType="end"/>
        </w:r>
      </w:hyperlink>
    </w:p>
    <w:p>
      <w:pPr>
        <w:pStyle w:val="TOC2"/>
        <w:tabs>
          <w:tab w:val="right" w:leader="dot" w:pos="8306"/>
        </w:tabs>
      </w:pPr>
      <w:hyperlink w:anchor="_Toc25431" w:history="1">
        <w:r>
          <w:rPr>
            <w:rFonts w:ascii="仿宋" w:eastAsia="仿宋" w:hAnsi="仿宋" w:cs="仿宋" w:hint="eastAsia"/>
            <w:lang w:eastAsia="zh-CN"/>
          </w:rPr>
          <w:t>(二)、培训与发展计划</w:t>
        </w:r>
        <w:r>
          <w:tab/>
        </w:r>
        <w:r>
          <w:fldChar w:fldCharType="begin"/>
        </w:r>
        <w:r>
          <w:instrText xml:space="preserve"> PAGEREF _Toc25431 \h </w:instrText>
        </w:r>
        <w:r>
          <w:fldChar w:fldCharType="separate"/>
        </w:r>
        <w:r>
          <w:t>23</w:t>
        </w:r>
        <w:r>
          <w:fldChar w:fldCharType="end"/>
        </w:r>
      </w:hyperlink>
    </w:p>
    <w:p>
      <w:pPr>
        <w:pStyle w:val="TOC1"/>
        <w:tabs>
          <w:tab w:val="right" w:leader="dot" w:pos="8306"/>
        </w:tabs>
      </w:pPr>
      <w:hyperlink w:anchor="_Toc123" w:history="1">
        <w:r>
          <w:rPr>
            <w:rFonts w:ascii="仿宋" w:eastAsia="仿宋" w:hAnsi="仿宋" w:cs="仿宋" w:hint="eastAsia"/>
            <w:lang w:eastAsia="zh-CN"/>
          </w:rPr>
          <w:t>八、高耐候性装饰性防腐漆项目风险管理</w:t>
        </w:r>
        <w:r>
          <w:tab/>
        </w:r>
        <w:r>
          <w:fldChar w:fldCharType="begin"/>
        </w:r>
        <w:r>
          <w:instrText xml:space="preserve"> PAGEREF _Toc123 \h </w:instrText>
        </w:r>
        <w:r>
          <w:fldChar w:fldCharType="separate"/>
        </w:r>
        <w:r>
          <w:t>23</w:t>
        </w:r>
        <w:r>
          <w:fldChar w:fldCharType="end"/>
        </w:r>
      </w:hyperlink>
    </w:p>
    <w:p>
      <w:pPr>
        <w:pStyle w:val="TOC2"/>
        <w:tabs>
          <w:tab w:val="right" w:leader="dot" w:pos="8306"/>
        </w:tabs>
      </w:pPr>
      <w:hyperlink w:anchor="_Toc30315" w:history="1">
        <w:r>
          <w:rPr>
            <w:rFonts w:ascii="仿宋" w:eastAsia="仿宋" w:hAnsi="仿宋" w:cs="仿宋" w:hint="eastAsia"/>
            <w:lang w:eastAsia="zh-CN"/>
          </w:rPr>
          <w:t>(一)、风险识别与评估</w:t>
        </w:r>
        <w:r>
          <w:tab/>
        </w:r>
        <w:r>
          <w:fldChar w:fldCharType="begin"/>
        </w:r>
        <w:r>
          <w:instrText xml:space="preserve"> PAGEREF _Toc30315 \h </w:instrText>
        </w:r>
        <w:r>
          <w:fldChar w:fldCharType="separate"/>
        </w:r>
        <w:r>
          <w:t>23</w:t>
        </w:r>
        <w:r>
          <w:fldChar w:fldCharType="end"/>
        </w:r>
      </w:hyperlink>
    </w:p>
    <w:p>
      <w:pPr>
        <w:pStyle w:val="TOC2"/>
        <w:tabs>
          <w:tab w:val="right" w:leader="dot" w:pos="8306"/>
        </w:tabs>
      </w:pPr>
      <w:hyperlink w:anchor="_Toc30066" w:history="1">
        <w:r>
          <w:rPr>
            <w:rFonts w:ascii="仿宋" w:eastAsia="仿宋" w:hAnsi="仿宋" w:cs="仿宋" w:hint="eastAsia"/>
            <w:lang w:eastAsia="zh-CN"/>
          </w:rPr>
          <w:t>(二)、风险应对策略</w:t>
        </w:r>
        <w:r>
          <w:tab/>
        </w:r>
        <w:r>
          <w:fldChar w:fldCharType="begin"/>
        </w:r>
        <w:r>
          <w:instrText xml:space="preserve"> PAGEREF _Toc30066 \h </w:instrText>
        </w:r>
        <w:r>
          <w:fldChar w:fldCharType="separate"/>
        </w:r>
        <w:r>
          <w:t>25</w:t>
        </w:r>
        <w:r>
          <w:fldChar w:fldCharType="end"/>
        </w:r>
      </w:hyperlink>
    </w:p>
    <w:p>
      <w:pPr>
        <w:pStyle w:val="TOC2"/>
        <w:tabs>
          <w:tab w:val="right" w:leader="dot" w:pos="8306"/>
        </w:tabs>
      </w:pPr>
      <w:hyperlink w:anchor="_Toc15112" w:history="1">
        <w:r>
          <w:rPr>
            <w:rFonts w:ascii="仿宋" w:eastAsia="仿宋" w:hAnsi="仿宋" w:cs="仿宋" w:hint="eastAsia"/>
            <w:lang w:eastAsia="zh-CN"/>
          </w:rPr>
          <w:t>(三)、风险监控与控制</w:t>
        </w:r>
        <w:r>
          <w:tab/>
        </w:r>
        <w:r>
          <w:fldChar w:fldCharType="begin"/>
        </w:r>
        <w:r>
          <w:instrText xml:space="preserve"> PAGEREF _Toc15112 \h </w:instrText>
        </w:r>
        <w:r>
          <w:fldChar w:fldCharType="separate"/>
        </w:r>
        <w:r>
          <w:t>26</w:t>
        </w:r>
        <w:r>
          <w:fldChar w:fldCharType="end"/>
        </w:r>
      </w:hyperlink>
    </w:p>
    <w:p>
      <w:pPr>
        <w:pStyle w:val="TOC1"/>
        <w:tabs>
          <w:tab w:val="right" w:leader="dot" w:pos="8306"/>
        </w:tabs>
      </w:pPr>
      <w:hyperlink w:anchor="_Toc12986" w:history="1">
        <w:r>
          <w:rPr>
            <w:rFonts w:ascii="仿宋" w:eastAsia="仿宋" w:hAnsi="仿宋" w:cs="仿宋" w:hint="eastAsia"/>
            <w:lang w:eastAsia="zh-CN"/>
          </w:rPr>
          <w:t>九、高耐候性装饰性防腐漆项目创新与研发</w:t>
        </w:r>
        <w:r>
          <w:tab/>
        </w:r>
        <w:r>
          <w:fldChar w:fldCharType="begin"/>
        </w:r>
        <w:r>
          <w:instrText xml:space="preserve"> PAGEREF _Toc12986 \h </w:instrText>
        </w:r>
        <w:r>
          <w:fldChar w:fldCharType="separate"/>
        </w:r>
        <w:r>
          <w:t>28</w:t>
        </w:r>
        <w:r>
          <w:fldChar w:fldCharType="end"/>
        </w:r>
      </w:hyperlink>
    </w:p>
    <w:p>
      <w:pPr>
        <w:pStyle w:val="TOC2"/>
        <w:tabs>
          <w:tab w:val="right" w:leader="dot" w:pos="8306"/>
        </w:tabs>
      </w:pPr>
      <w:hyperlink w:anchor="_Toc247" w:history="1">
        <w:r>
          <w:rPr>
            <w:rFonts w:ascii="仿宋" w:eastAsia="仿宋" w:hAnsi="仿宋" w:cs="仿宋" w:hint="eastAsia"/>
            <w:lang w:eastAsia="zh-CN"/>
          </w:rPr>
          <w:t>(一)、创新策略与方向</w:t>
        </w:r>
        <w:r>
          <w:tab/>
        </w:r>
        <w:r>
          <w:fldChar w:fldCharType="begin"/>
        </w:r>
        <w:r>
          <w:instrText xml:space="preserve"> PAGEREF _Toc247 \h </w:instrText>
        </w:r>
        <w:r>
          <w:fldChar w:fldCharType="separate"/>
        </w:r>
        <w:r>
          <w:t>28</w:t>
        </w:r>
        <w:r>
          <w:fldChar w:fldCharType="end"/>
        </w:r>
      </w:hyperlink>
    </w:p>
    <w:p>
      <w:pPr>
        <w:pStyle w:val="TOC2"/>
        <w:tabs>
          <w:tab w:val="right" w:leader="dot" w:pos="8306"/>
        </w:tabs>
      </w:pPr>
      <w:hyperlink w:anchor="_Toc2611" w:history="1">
        <w:r>
          <w:rPr>
            <w:rFonts w:ascii="仿宋" w:eastAsia="仿宋" w:hAnsi="仿宋" w:cs="仿宋" w:hint="eastAsia"/>
            <w:lang w:eastAsia="zh-CN"/>
          </w:rPr>
          <w:t>(二)、研发规划与投入</w:t>
        </w:r>
        <w:r>
          <w:tab/>
        </w:r>
        <w:r>
          <w:fldChar w:fldCharType="begin"/>
        </w:r>
        <w:r>
          <w:instrText xml:space="preserve"> PAGEREF _Toc2611 \h </w:instrText>
        </w:r>
        <w:r>
          <w:fldChar w:fldCharType="separate"/>
        </w:r>
        <w:r>
          <w:t>29</w:t>
        </w:r>
        <w:r>
          <w:fldChar w:fldCharType="end"/>
        </w:r>
      </w:hyperlink>
    </w:p>
    <w:p>
      <w:pPr>
        <w:pStyle w:val="TOC1"/>
        <w:tabs>
          <w:tab w:val="right" w:leader="dot" w:pos="8306"/>
        </w:tabs>
      </w:pPr>
      <w:hyperlink w:anchor="_Toc5844" w:history="1">
        <w:r>
          <w:rPr>
            <w:rFonts w:ascii="仿宋" w:eastAsia="仿宋" w:hAnsi="仿宋" w:cs="仿宋" w:hint="eastAsia"/>
            <w:lang w:eastAsia="zh-CN"/>
          </w:rPr>
          <w:t>十、高耐候性装饰性防腐漆项目人力资源管理</w:t>
        </w:r>
        <w:r>
          <w:tab/>
        </w:r>
        <w:r>
          <w:fldChar w:fldCharType="begin"/>
        </w:r>
        <w:r>
          <w:instrText xml:space="preserve"> PAGEREF _Toc5844 \h </w:instrText>
        </w:r>
        <w:r>
          <w:fldChar w:fldCharType="separate"/>
        </w:r>
        <w:r>
          <w:t>31</w:t>
        </w:r>
        <w:r>
          <w:fldChar w:fldCharType="end"/>
        </w:r>
      </w:hyperlink>
    </w:p>
    <w:p>
      <w:pPr>
        <w:pStyle w:val="TOC2"/>
        <w:tabs>
          <w:tab w:val="right" w:leader="dot" w:pos="8306"/>
        </w:tabs>
      </w:pPr>
      <w:hyperlink w:anchor="_Toc11104" w:history="1">
        <w:r>
          <w:rPr>
            <w:rFonts w:ascii="仿宋" w:eastAsia="仿宋" w:hAnsi="仿宋" w:cs="仿宋" w:hint="eastAsia"/>
            <w:lang w:eastAsia="zh-CN"/>
          </w:rPr>
          <w:t>(一)、建立健全的预算管理制度</w:t>
        </w:r>
        <w:r>
          <w:tab/>
        </w:r>
        <w:r>
          <w:fldChar w:fldCharType="begin"/>
        </w:r>
        <w:r>
          <w:instrText xml:space="preserve"> PAGEREF _Toc11104 \h </w:instrText>
        </w:r>
        <w:r>
          <w:fldChar w:fldCharType="separate"/>
        </w:r>
        <w:r>
          <w:t>31</w:t>
        </w:r>
        <w:r>
          <w:fldChar w:fldCharType="end"/>
        </w:r>
      </w:hyperlink>
    </w:p>
    <w:p>
      <w:pPr>
        <w:pStyle w:val="TOC2"/>
        <w:tabs>
          <w:tab w:val="right" w:leader="dot" w:pos="8306"/>
        </w:tabs>
      </w:pPr>
      <w:hyperlink w:anchor="_Toc25635" w:history="1">
        <w:r>
          <w:rPr>
            <w:rFonts w:ascii="仿宋" w:eastAsia="仿宋" w:hAnsi="仿宋" w:cs="仿宋" w:hint="eastAsia"/>
            <w:lang w:eastAsia="zh-CN"/>
          </w:rPr>
          <w:t>(二)、加强资金流动监控</w:t>
        </w:r>
        <w:r>
          <w:tab/>
        </w:r>
        <w:r>
          <w:fldChar w:fldCharType="begin"/>
        </w:r>
        <w:r>
          <w:instrText xml:space="preserve"> PAGEREF _Toc25635 \h </w:instrText>
        </w:r>
        <w:r>
          <w:fldChar w:fldCharType="separate"/>
        </w:r>
        <w:r>
          <w:t>33</w:t>
        </w:r>
        <w:r>
          <w:fldChar w:fldCharType="end"/>
        </w:r>
      </w:hyperlink>
    </w:p>
    <w:p>
      <w:pPr>
        <w:pStyle w:val="TOC2"/>
        <w:tabs>
          <w:tab w:val="right" w:leader="dot" w:pos="8306"/>
        </w:tabs>
      </w:pPr>
      <w:hyperlink w:anchor="_Toc9622" w:history="1">
        <w:r>
          <w:rPr>
            <w:rFonts w:ascii="仿宋" w:eastAsia="仿宋" w:hAnsi="仿宋" w:cs="仿宋" w:hint="eastAsia"/>
            <w:lang w:eastAsia="zh-CN"/>
          </w:rPr>
          <w:t>(三)、制定完善的风险控制机制</w:t>
        </w:r>
        <w:r>
          <w:tab/>
        </w:r>
        <w:r>
          <w:fldChar w:fldCharType="begin"/>
        </w:r>
        <w:r>
          <w:instrText xml:space="preserve"> PAGEREF _Toc9622 \h </w:instrText>
        </w:r>
        <w:r>
          <w:fldChar w:fldCharType="separate"/>
        </w:r>
        <w:r>
          <w:t>34</w:t>
        </w:r>
        <w:r>
          <w:fldChar w:fldCharType="end"/>
        </w:r>
      </w:hyperlink>
    </w:p>
    <w:p>
      <w:pPr>
        <w:pStyle w:val="TOC2"/>
        <w:tabs>
          <w:tab w:val="right" w:leader="dot" w:pos="8306"/>
        </w:tabs>
      </w:pPr>
      <w:hyperlink w:anchor="_Toc28988" w:history="1">
        <w:r>
          <w:rPr>
            <w:rFonts w:ascii="仿宋" w:eastAsia="仿宋" w:hAnsi="仿宋" w:cs="仿宋" w:hint="eastAsia"/>
            <w:lang w:eastAsia="zh-CN"/>
          </w:rPr>
          <w:t>(四)、优化成本管理</w:t>
        </w:r>
        <w:r>
          <w:tab/>
        </w:r>
        <w:r>
          <w:fldChar w:fldCharType="begin"/>
        </w:r>
        <w:r>
          <w:instrText xml:space="preserve"> PAGEREF _Toc28988 \h </w:instrText>
        </w:r>
        <w:r>
          <w:fldChar w:fldCharType="separate"/>
        </w:r>
        <w:r>
          <w:t>35</w:t>
        </w:r>
        <w:r>
          <w:fldChar w:fldCharType="end"/>
        </w:r>
      </w:hyperlink>
    </w:p>
    <w:p>
      <w:pPr>
        <w:pStyle w:val="TOC1"/>
        <w:tabs>
          <w:tab w:val="right" w:leader="dot" w:pos="8306"/>
        </w:tabs>
      </w:pPr>
      <w:hyperlink w:anchor="_Toc9404" w:history="1">
        <w:r>
          <w:rPr>
            <w:rFonts w:ascii="仿宋" w:eastAsia="仿宋" w:hAnsi="仿宋" w:cs="仿宋" w:hint="eastAsia"/>
            <w:lang w:eastAsia="zh-CN"/>
          </w:rPr>
          <w:t>十一、高耐候性装饰性防腐漆项目投资规划</w:t>
        </w:r>
        <w:r>
          <w:tab/>
        </w:r>
        <w:r>
          <w:fldChar w:fldCharType="begin"/>
        </w:r>
        <w:r>
          <w:instrText xml:space="preserve"> PAGEREF _Toc9404 \h </w:instrText>
        </w:r>
        <w:r>
          <w:fldChar w:fldCharType="separate"/>
        </w:r>
        <w:r>
          <w:t>37</w:t>
        </w:r>
        <w:r>
          <w:fldChar w:fldCharType="end"/>
        </w:r>
      </w:hyperlink>
    </w:p>
    <w:p>
      <w:pPr>
        <w:pStyle w:val="TOC2"/>
        <w:tabs>
          <w:tab w:val="right" w:leader="dot" w:pos="8306"/>
        </w:tabs>
      </w:pPr>
      <w:hyperlink w:anchor="_Toc13201" w:history="1">
        <w:r>
          <w:rPr>
            <w:rFonts w:ascii="仿宋" w:eastAsia="仿宋" w:hAnsi="仿宋" w:cs="仿宋" w:hint="eastAsia"/>
            <w:lang w:eastAsia="zh-CN"/>
          </w:rPr>
          <w:t>(一)、高耐候性装饰性防腐漆项目总投资估算</w:t>
        </w:r>
        <w:r>
          <w:tab/>
        </w:r>
        <w:r>
          <w:fldChar w:fldCharType="begin"/>
        </w:r>
        <w:r>
          <w:instrText xml:space="preserve"> PAGEREF _Toc13201 \h </w:instrText>
        </w:r>
        <w:r>
          <w:fldChar w:fldCharType="separate"/>
        </w:r>
        <w:r>
          <w:t>37</w:t>
        </w:r>
        <w:r>
          <w:fldChar w:fldCharType="end"/>
        </w:r>
      </w:hyperlink>
    </w:p>
    <w:p>
      <w:pPr>
        <w:pStyle w:val="TOC2"/>
        <w:tabs>
          <w:tab w:val="right" w:leader="dot" w:pos="8306"/>
        </w:tabs>
      </w:pPr>
      <w:hyperlink w:anchor="_Toc1283" w:history="1">
        <w:r>
          <w:rPr>
            <w:rFonts w:ascii="仿宋" w:eastAsia="仿宋" w:hAnsi="仿宋" w:cs="仿宋" w:hint="eastAsia"/>
            <w:lang w:eastAsia="zh-CN"/>
          </w:rPr>
          <w:t>(二)、资金筹措</w:t>
        </w:r>
        <w:r>
          <w:tab/>
        </w:r>
        <w:r>
          <w:fldChar w:fldCharType="begin"/>
        </w:r>
        <w:r>
          <w:instrText xml:space="preserve"> PAGEREF _Toc1283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96" w:history="1">
        <w:r>
          <w:rPr>
            <w:rFonts w:ascii="仿宋" w:eastAsia="仿宋" w:hAnsi="仿宋" w:cs="仿宋" w:hint="eastAsia"/>
            <w:lang w:eastAsia="zh-CN"/>
          </w:rPr>
          <w:t>十二、生产安全保护</w:t>
        </w:r>
        <w:r>
          <w:tab/>
        </w:r>
        <w:r>
          <w:fldChar w:fldCharType="begin"/>
        </w:r>
        <w:r>
          <w:instrText xml:space="preserve"> PAGEREF _Toc26896 \h </w:instrText>
        </w:r>
        <w:r>
          <w:fldChar w:fldCharType="separate"/>
        </w:r>
        <w:r>
          <w:t>39</w:t>
        </w:r>
        <w:r>
          <w:fldChar w:fldCharType="end"/>
        </w:r>
      </w:hyperlink>
    </w:p>
    <w:p>
      <w:pPr>
        <w:pStyle w:val="TOC2"/>
        <w:tabs>
          <w:tab w:val="right" w:leader="dot" w:pos="8306"/>
        </w:tabs>
      </w:pPr>
      <w:hyperlink w:anchor="_Toc32046" w:history="1">
        <w:r>
          <w:rPr>
            <w:rFonts w:ascii="仿宋" w:eastAsia="仿宋" w:hAnsi="仿宋" w:cs="仿宋" w:hint="eastAsia"/>
            <w:lang w:eastAsia="zh-CN"/>
          </w:rPr>
          <w:t>(一)、消防安全</w:t>
        </w:r>
        <w:r>
          <w:tab/>
        </w:r>
        <w:r>
          <w:fldChar w:fldCharType="begin"/>
        </w:r>
        <w:r>
          <w:instrText xml:space="preserve"> PAGEREF _Toc32046 \h </w:instrText>
        </w:r>
        <w:r>
          <w:fldChar w:fldCharType="separate"/>
        </w:r>
        <w:r>
          <w:t>39</w:t>
        </w:r>
        <w:r>
          <w:fldChar w:fldCharType="end"/>
        </w:r>
      </w:hyperlink>
    </w:p>
    <w:p>
      <w:pPr>
        <w:pStyle w:val="TOC2"/>
        <w:tabs>
          <w:tab w:val="right" w:leader="dot" w:pos="8306"/>
        </w:tabs>
      </w:pPr>
      <w:hyperlink w:anchor="_Toc25525" w:history="1">
        <w:r>
          <w:rPr>
            <w:rFonts w:ascii="仿宋" w:eastAsia="仿宋" w:hAnsi="仿宋" w:cs="仿宋" w:hint="eastAsia"/>
            <w:lang w:eastAsia="zh-CN"/>
          </w:rPr>
          <w:t>(二)、防火防爆总图布置措施</w:t>
        </w:r>
        <w:r>
          <w:tab/>
        </w:r>
        <w:r>
          <w:fldChar w:fldCharType="begin"/>
        </w:r>
        <w:r>
          <w:instrText xml:space="preserve"> PAGEREF _Toc25525 \h </w:instrText>
        </w:r>
        <w:r>
          <w:fldChar w:fldCharType="separate"/>
        </w:r>
        <w:r>
          <w:t>41</w:t>
        </w:r>
        <w:r>
          <w:fldChar w:fldCharType="end"/>
        </w:r>
      </w:hyperlink>
    </w:p>
    <w:p>
      <w:pPr>
        <w:pStyle w:val="TOC2"/>
        <w:tabs>
          <w:tab w:val="right" w:leader="dot" w:pos="8306"/>
        </w:tabs>
      </w:pPr>
      <w:hyperlink w:anchor="_Toc23663" w:history="1">
        <w:r>
          <w:rPr>
            <w:rFonts w:ascii="仿宋" w:eastAsia="仿宋" w:hAnsi="仿宋" w:cs="仿宋" w:hint="eastAsia"/>
            <w:lang w:eastAsia="zh-CN"/>
          </w:rPr>
          <w:t>(三)、自然灾害防范措施</w:t>
        </w:r>
        <w:r>
          <w:tab/>
        </w:r>
        <w:r>
          <w:fldChar w:fldCharType="begin"/>
        </w:r>
        <w:r>
          <w:instrText xml:space="preserve"> PAGEREF _Toc23663 \h </w:instrText>
        </w:r>
        <w:r>
          <w:fldChar w:fldCharType="separate"/>
        </w:r>
        <w:r>
          <w:t>42</w:t>
        </w:r>
        <w:r>
          <w:fldChar w:fldCharType="end"/>
        </w:r>
      </w:hyperlink>
    </w:p>
    <w:p>
      <w:pPr>
        <w:pStyle w:val="TOC2"/>
        <w:tabs>
          <w:tab w:val="right" w:leader="dot" w:pos="8306"/>
        </w:tabs>
      </w:pPr>
      <w:hyperlink w:anchor="_Toc28293" w:history="1">
        <w:r>
          <w:rPr>
            <w:rFonts w:ascii="仿宋" w:eastAsia="仿宋" w:hAnsi="仿宋" w:cs="仿宋" w:hint="eastAsia"/>
            <w:lang w:eastAsia="zh-CN"/>
          </w:rPr>
          <w:t>(四)、安全色及安全标志使用要求</w:t>
        </w:r>
        <w:r>
          <w:tab/>
        </w:r>
        <w:r>
          <w:fldChar w:fldCharType="begin"/>
        </w:r>
        <w:r>
          <w:instrText xml:space="preserve"> PAGEREF _Toc28293 \h </w:instrText>
        </w:r>
        <w:r>
          <w:fldChar w:fldCharType="separate"/>
        </w:r>
        <w:r>
          <w:t>43</w:t>
        </w:r>
        <w:r>
          <w:fldChar w:fldCharType="end"/>
        </w:r>
      </w:hyperlink>
    </w:p>
    <w:p>
      <w:pPr>
        <w:pStyle w:val="TOC2"/>
        <w:tabs>
          <w:tab w:val="right" w:leader="dot" w:pos="8306"/>
        </w:tabs>
      </w:pPr>
      <w:hyperlink w:anchor="_Toc32742" w:history="1">
        <w:r>
          <w:rPr>
            <w:rFonts w:ascii="仿宋" w:eastAsia="仿宋" w:hAnsi="仿宋" w:cs="仿宋" w:hint="eastAsia"/>
            <w:lang w:eastAsia="zh-CN"/>
          </w:rPr>
          <w:t>(五)、防尘防毒措施</w:t>
        </w:r>
        <w:r>
          <w:tab/>
        </w:r>
        <w:r>
          <w:fldChar w:fldCharType="begin"/>
        </w:r>
        <w:r>
          <w:instrText xml:space="preserve"> PAGEREF _Toc32742 \h </w:instrText>
        </w:r>
        <w:r>
          <w:fldChar w:fldCharType="separate"/>
        </w:r>
        <w:r>
          <w:t>44</w:t>
        </w:r>
        <w:r>
          <w:fldChar w:fldCharType="end"/>
        </w:r>
      </w:hyperlink>
    </w:p>
    <w:p>
      <w:pPr>
        <w:pStyle w:val="TOC2"/>
        <w:tabs>
          <w:tab w:val="right" w:leader="dot" w:pos="8306"/>
        </w:tabs>
      </w:pPr>
      <w:hyperlink w:anchor="_Toc32649" w:history="1">
        <w:r>
          <w:rPr>
            <w:rFonts w:ascii="仿宋" w:eastAsia="仿宋" w:hAnsi="仿宋" w:cs="仿宋" w:hint="eastAsia"/>
            <w:lang w:eastAsia="zh-CN"/>
          </w:rPr>
          <w:t>(六)、防静电、触电防护及防雷措施</w:t>
        </w:r>
        <w:r>
          <w:tab/>
        </w:r>
        <w:r>
          <w:fldChar w:fldCharType="begin"/>
        </w:r>
        <w:r>
          <w:instrText xml:space="preserve"> PAGEREF _Toc32649 \h </w:instrText>
        </w:r>
        <w:r>
          <w:fldChar w:fldCharType="separate"/>
        </w:r>
        <w:r>
          <w:t>45</w:t>
        </w:r>
        <w:r>
          <w:fldChar w:fldCharType="end"/>
        </w:r>
      </w:hyperlink>
    </w:p>
    <w:p>
      <w:pPr>
        <w:pStyle w:val="TOC2"/>
        <w:tabs>
          <w:tab w:val="right" w:leader="dot" w:pos="8306"/>
        </w:tabs>
      </w:pPr>
      <w:hyperlink w:anchor="_Toc1339" w:history="1">
        <w:r>
          <w:rPr>
            <w:rFonts w:ascii="仿宋" w:eastAsia="仿宋" w:hAnsi="仿宋" w:cs="仿宋" w:hint="eastAsia"/>
            <w:lang w:eastAsia="zh-CN"/>
          </w:rPr>
          <w:t>(七)、机械设备安全保障措施</w:t>
        </w:r>
        <w:r>
          <w:tab/>
        </w:r>
        <w:r>
          <w:fldChar w:fldCharType="begin"/>
        </w:r>
        <w:r>
          <w:instrText xml:space="preserve"> PAGEREF _Toc1339 \h </w:instrText>
        </w:r>
        <w:r>
          <w:fldChar w:fldCharType="separate"/>
        </w:r>
        <w:r>
          <w:t>46</w:t>
        </w:r>
        <w:r>
          <w:fldChar w:fldCharType="end"/>
        </w:r>
      </w:hyperlink>
    </w:p>
    <w:p>
      <w:pPr>
        <w:pStyle w:val="TOC1"/>
        <w:tabs>
          <w:tab w:val="right" w:leader="dot" w:pos="8306"/>
        </w:tabs>
      </w:pPr>
      <w:hyperlink w:anchor="_Toc18055" w:history="1">
        <w:r>
          <w:rPr>
            <w:rFonts w:ascii="仿宋" w:eastAsia="仿宋" w:hAnsi="仿宋" w:cs="仿宋" w:hint="eastAsia"/>
            <w:lang w:eastAsia="zh-CN"/>
          </w:rPr>
          <w:t>十三、供应链管理</w:t>
        </w:r>
        <w:r>
          <w:tab/>
        </w:r>
        <w:r>
          <w:fldChar w:fldCharType="begin"/>
        </w:r>
        <w:r>
          <w:instrText xml:space="preserve"> PAGEREF _Toc18055 \h </w:instrText>
        </w:r>
        <w:r>
          <w:fldChar w:fldCharType="separate"/>
        </w:r>
        <w:r>
          <w:t>48</w:t>
        </w:r>
        <w:r>
          <w:fldChar w:fldCharType="end"/>
        </w:r>
      </w:hyperlink>
    </w:p>
    <w:p>
      <w:pPr>
        <w:pStyle w:val="TOC2"/>
        <w:tabs>
          <w:tab w:val="right" w:leader="dot" w:pos="8306"/>
        </w:tabs>
      </w:pPr>
      <w:hyperlink w:anchor="_Toc10990" w:history="1">
        <w:r>
          <w:rPr>
            <w:rFonts w:ascii="仿宋" w:eastAsia="仿宋" w:hAnsi="仿宋" w:cs="仿宋" w:hint="eastAsia"/>
            <w:lang w:eastAsia="zh-CN"/>
          </w:rPr>
          <w:t>(一)、供应链战略规划</w:t>
        </w:r>
        <w:r>
          <w:tab/>
        </w:r>
        <w:r>
          <w:fldChar w:fldCharType="begin"/>
        </w:r>
        <w:r>
          <w:instrText xml:space="preserve"> PAGEREF _Toc10990 \h </w:instrText>
        </w:r>
        <w:r>
          <w:fldChar w:fldCharType="separate"/>
        </w:r>
        <w:r>
          <w:t>48</w:t>
        </w:r>
        <w:r>
          <w:fldChar w:fldCharType="end"/>
        </w:r>
      </w:hyperlink>
    </w:p>
    <w:p>
      <w:pPr>
        <w:pStyle w:val="TOC2"/>
        <w:tabs>
          <w:tab w:val="right" w:leader="dot" w:pos="8306"/>
        </w:tabs>
      </w:pPr>
      <w:hyperlink w:anchor="_Toc26242" w:history="1">
        <w:r>
          <w:rPr>
            <w:rFonts w:ascii="仿宋" w:eastAsia="仿宋" w:hAnsi="仿宋" w:cs="仿宋" w:hint="eastAsia"/>
            <w:lang w:eastAsia="zh-CN"/>
          </w:rPr>
          <w:t>(二)、供应商选择与合作</w:t>
        </w:r>
        <w:r>
          <w:tab/>
        </w:r>
        <w:r>
          <w:fldChar w:fldCharType="begin"/>
        </w:r>
        <w:r>
          <w:instrText xml:space="preserve"> PAGEREF _Toc26242 \h </w:instrText>
        </w:r>
        <w:r>
          <w:fldChar w:fldCharType="separate"/>
        </w:r>
        <w:r>
          <w:t>49</w:t>
        </w:r>
        <w:r>
          <w:fldChar w:fldCharType="end"/>
        </w:r>
      </w:hyperlink>
    </w:p>
    <w:p>
      <w:pPr>
        <w:pStyle w:val="TOC2"/>
        <w:tabs>
          <w:tab w:val="right" w:leader="dot" w:pos="8306"/>
        </w:tabs>
      </w:pPr>
      <w:hyperlink w:anchor="_Toc5208" w:history="1">
        <w:r>
          <w:rPr>
            <w:rFonts w:ascii="仿宋" w:eastAsia="仿宋" w:hAnsi="仿宋" w:cs="仿宋" w:hint="eastAsia"/>
            <w:lang w:eastAsia="zh-CN"/>
          </w:rPr>
          <w:t>(三)、物流与库存管理</w:t>
        </w:r>
        <w:r>
          <w:tab/>
        </w:r>
        <w:r>
          <w:fldChar w:fldCharType="begin"/>
        </w:r>
        <w:r>
          <w:instrText xml:space="preserve"> PAGEREF _Toc5208 \h </w:instrText>
        </w:r>
        <w:r>
          <w:fldChar w:fldCharType="separate"/>
        </w:r>
        <w:r>
          <w:t>51</w:t>
        </w:r>
        <w:r>
          <w:fldChar w:fldCharType="end"/>
        </w:r>
      </w:hyperlink>
    </w:p>
    <w:p>
      <w:pPr>
        <w:pStyle w:val="TOC1"/>
        <w:tabs>
          <w:tab w:val="right" w:leader="dot" w:pos="8306"/>
        </w:tabs>
      </w:pPr>
      <w:hyperlink w:anchor="_Toc22608" w:history="1">
        <w:r>
          <w:rPr>
            <w:rFonts w:ascii="仿宋" w:eastAsia="仿宋" w:hAnsi="仿宋" w:cs="仿宋" w:hint="eastAsia"/>
            <w:lang w:eastAsia="zh-CN"/>
          </w:rPr>
          <w:t>十四、营销与推广策略</w:t>
        </w:r>
        <w:r>
          <w:tab/>
        </w:r>
        <w:r>
          <w:fldChar w:fldCharType="begin"/>
        </w:r>
        <w:r>
          <w:instrText xml:space="preserve"> PAGEREF _Toc22608 \h </w:instrText>
        </w:r>
        <w:r>
          <w:fldChar w:fldCharType="separate"/>
        </w:r>
        <w:r>
          <w:t>52</w:t>
        </w:r>
        <w:r>
          <w:fldChar w:fldCharType="end"/>
        </w:r>
      </w:hyperlink>
    </w:p>
    <w:p>
      <w:pPr>
        <w:pStyle w:val="TOC2"/>
        <w:tabs>
          <w:tab w:val="right" w:leader="dot" w:pos="8306"/>
        </w:tabs>
      </w:pPr>
      <w:hyperlink w:anchor="_Toc5739" w:history="1">
        <w:r>
          <w:rPr>
            <w:rFonts w:ascii="仿宋" w:eastAsia="仿宋" w:hAnsi="仿宋" w:cs="仿宋" w:hint="eastAsia"/>
            <w:lang w:eastAsia="zh-CN"/>
          </w:rPr>
          <w:t>(一)、产品/服务定位与特点</w:t>
        </w:r>
        <w:r>
          <w:tab/>
        </w:r>
        <w:r>
          <w:fldChar w:fldCharType="begin"/>
        </w:r>
        <w:r>
          <w:instrText xml:space="preserve"> PAGEREF _Toc5739 \h </w:instrText>
        </w:r>
        <w:r>
          <w:fldChar w:fldCharType="separate"/>
        </w:r>
        <w:r>
          <w:t>52</w:t>
        </w:r>
        <w:r>
          <w:fldChar w:fldCharType="end"/>
        </w:r>
      </w:hyperlink>
    </w:p>
    <w:p>
      <w:pPr>
        <w:pStyle w:val="TOC2"/>
        <w:tabs>
          <w:tab w:val="right" w:leader="dot" w:pos="8306"/>
        </w:tabs>
      </w:pPr>
      <w:hyperlink w:anchor="_Toc9923" w:history="1">
        <w:r>
          <w:rPr>
            <w:rFonts w:ascii="仿宋" w:eastAsia="仿宋" w:hAnsi="仿宋" w:cs="仿宋" w:hint="eastAsia"/>
            <w:lang w:eastAsia="zh-CN"/>
          </w:rPr>
          <w:t>(二)、市场定位与竞争分析</w:t>
        </w:r>
        <w:r>
          <w:tab/>
        </w:r>
        <w:r>
          <w:fldChar w:fldCharType="begin"/>
        </w:r>
        <w:r>
          <w:instrText xml:space="preserve"> PAGEREF _Toc9923 \h </w:instrText>
        </w:r>
        <w:r>
          <w:fldChar w:fldCharType="separate"/>
        </w:r>
        <w:r>
          <w:t>53</w:t>
        </w:r>
        <w:r>
          <w:fldChar w:fldCharType="end"/>
        </w:r>
      </w:hyperlink>
    </w:p>
    <w:p>
      <w:pPr>
        <w:pStyle w:val="TOC2"/>
        <w:tabs>
          <w:tab w:val="right" w:leader="dot" w:pos="8306"/>
        </w:tabs>
      </w:pPr>
      <w:hyperlink w:anchor="_Toc7088" w:history="1">
        <w:r>
          <w:rPr>
            <w:rFonts w:ascii="仿宋" w:eastAsia="仿宋" w:hAnsi="仿宋" w:cs="仿宋" w:hint="eastAsia"/>
            <w:lang w:eastAsia="zh-CN"/>
          </w:rPr>
          <w:t>(三)、营销渠道与策略</w:t>
        </w:r>
        <w:r>
          <w:tab/>
        </w:r>
        <w:r>
          <w:fldChar w:fldCharType="begin"/>
        </w:r>
        <w:r>
          <w:instrText xml:space="preserve"> PAGEREF _Toc7088 \h </w:instrText>
        </w:r>
        <w:r>
          <w:fldChar w:fldCharType="separate"/>
        </w:r>
        <w:r>
          <w:t>55</w:t>
        </w:r>
        <w:r>
          <w:fldChar w:fldCharType="end"/>
        </w:r>
      </w:hyperlink>
    </w:p>
    <w:p>
      <w:pPr>
        <w:pStyle w:val="TOC2"/>
        <w:tabs>
          <w:tab w:val="right" w:leader="dot" w:pos="8306"/>
        </w:tabs>
      </w:pPr>
      <w:hyperlink w:anchor="_Toc31034" w:history="1">
        <w:r>
          <w:rPr>
            <w:rFonts w:ascii="仿宋" w:eastAsia="仿宋" w:hAnsi="仿宋" w:cs="仿宋" w:hint="eastAsia"/>
            <w:lang w:eastAsia="zh-CN"/>
          </w:rPr>
          <w:t>(四)、推广与宣传活动</w:t>
        </w:r>
        <w:r>
          <w:tab/>
        </w:r>
        <w:r>
          <w:fldChar w:fldCharType="begin"/>
        </w:r>
        <w:r>
          <w:instrText xml:space="preserve"> PAGEREF _Toc31034 \h </w:instrText>
        </w:r>
        <w:r>
          <w:fldChar w:fldCharType="separate"/>
        </w:r>
        <w:r>
          <w:t>56</w:t>
        </w:r>
        <w:r>
          <w:fldChar w:fldCharType="end"/>
        </w:r>
      </w:hyperlink>
    </w:p>
    <w:p>
      <w:pPr>
        <w:pStyle w:val="TOC1"/>
        <w:tabs>
          <w:tab w:val="right" w:leader="dot" w:pos="8306"/>
        </w:tabs>
      </w:pPr>
      <w:hyperlink w:anchor="_Toc24864" w:history="1">
        <w:r>
          <w:rPr>
            <w:rFonts w:ascii="仿宋" w:eastAsia="仿宋" w:hAnsi="仿宋" w:cs="仿宋" w:hint="eastAsia"/>
            <w:lang w:eastAsia="zh-CN"/>
          </w:rPr>
          <w:t>十五、高耐候性装饰性防腐漆项目变更管理</w:t>
        </w:r>
        <w:r>
          <w:tab/>
        </w:r>
        <w:r>
          <w:fldChar w:fldCharType="begin"/>
        </w:r>
        <w:r>
          <w:instrText xml:space="preserve"> PAGEREF _Toc24864 \h </w:instrText>
        </w:r>
        <w:r>
          <w:fldChar w:fldCharType="separate"/>
        </w:r>
        <w:r>
          <w:t>61</w:t>
        </w:r>
        <w:r>
          <w:fldChar w:fldCharType="end"/>
        </w:r>
      </w:hyperlink>
    </w:p>
    <w:p>
      <w:pPr>
        <w:pStyle w:val="TOC2"/>
        <w:tabs>
          <w:tab w:val="right" w:leader="dot" w:pos="8306"/>
        </w:tabs>
      </w:pPr>
      <w:hyperlink w:anchor="_Toc18322" w:history="1">
        <w:r>
          <w:rPr>
            <w:rFonts w:ascii="仿宋" w:eastAsia="仿宋" w:hAnsi="仿宋" w:cs="仿宋" w:hint="eastAsia"/>
            <w:lang w:eastAsia="zh-CN"/>
          </w:rPr>
          <w:t>(一)、变更申请与评估</w:t>
        </w:r>
        <w:r>
          <w:tab/>
        </w:r>
        <w:r>
          <w:fldChar w:fldCharType="begin"/>
        </w:r>
        <w:r>
          <w:instrText xml:space="preserve"> PAGEREF _Toc18322 \h </w:instrText>
        </w:r>
        <w:r>
          <w:fldChar w:fldCharType="separate"/>
        </w:r>
        <w:r>
          <w:t>61</w:t>
        </w:r>
        <w:r>
          <w:fldChar w:fldCharType="end"/>
        </w:r>
      </w:hyperlink>
    </w:p>
    <w:p>
      <w:pPr>
        <w:pStyle w:val="TOC2"/>
        <w:tabs>
          <w:tab w:val="right" w:leader="dot" w:pos="8306"/>
        </w:tabs>
      </w:pPr>
      <w:hyperlink w:anchor="_Toc6849" w:history="1">
        <w:r>
          <w:rPr>
            <w:rFonts w:ascii="仿宋" w:eastAsia="仿宋" w:hAnsi="仿宋" w:cs="仿宋" w:hint="eastAsia"/>
            <w:lang w:eastAsia="zh-CN"/>
          </w:rPr>
          <w:t>(二)、变更实施与控制</w:t>
        </w:r>
        <w:r>
          <w:tab/>
        </w:r>
        <w:r>
          <w:fldChar w:fldCharType="begin"/>
        </w:r>
        <w:r>
          <w:instrText xml:space="preserve"> PAGEREF _Toc6849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91"/>
      <w:r>
        <w:rPr>
          <w:rFonts w:ascii="仿宋" w:eastAsia="仿宋" w:hAnsi="仿宋" w:cs="仿宋" w:hint="eastAsia"/>
          <w:sz w:val="28"/>
          <w:lang w:eastAsia="zh-CN"/>
        </w:rPr>
        <w:t>一、高耐候性装饰性防腐漆项目选址可行性分析</w:t>
      </w:r>
      <w:bookmarkEnd w:id="2"/>
    </w:p>
    <w:p>
      <w:pPr>
        <w:pStyle w:val="Heading2"/>
        <w:rPr>
          <w:rFonts w:ascii="仿宋" w:eastAsia="仿宋" w:hAnsi="仿宋" w:cs="仿宋" w:hint="eastAsia"/>
          <w:lang w:eastAsia="zh-CN"/>
        </w:rPr>
      </w:pPr>
      <w:bookmarkStart w:id="3" w:name="_Toc24614"/>
      <w:r>
        <w:rPr>
          <w:rFonts w:ascii="仿宋" w:eastAsia="仿宋" w:hAnsi="仿宋" w:cs="仿宋" w:hint="eastAsia"/>
          <w:lang w:eastAsia="zh-CN"/>
        </w:rPr>
        <w:t>(一)、高耐候性装饰性防腐漆项目选址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该高耐候性装饰性防腐漆项目选址位于XX省XX市XX区XXX街道</w:t>
      </w:r>
    </w:p>
    <w:p>
      <w:pPr>
        <w:pStyle w:val="Heading2"/>
        <w:ind w:firstLine="560" w:firstLineChars="200"/>
        <w:rPr>
          <w:rFonts w:ascii="仿宋" w:eastAsia="仿宋" w:hAnsi="仿宋" w:cs="仿宋" w:hint="eastAsia"/>
          <w:sz w:val="28"/>
          <w:lang w:eastAsia="zh-CN"/>
        </w:rPr>
      </w:pPr>
      <w:bookmarkStart w:id="4" w:name="_Toc1604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耐候性装饰性防腐漆项目的征地面积将根据高耐候性装饰性防腐漆项目的实际规模和需求进行精确规划。具体面积XXX平方米，旨在确保高耐候性装饰性防腐漆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净用地面积是在征地面积基础上去除不可利用面积后的实际可开发用地。具体面积XXX平方米，考虑到环保、交通、安全等多方面因素，以确保高耐候性装饰性防腐漆项目在整体利用效率上达到最优。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高耐候性装饰性防腐漆项目计划建设的建筑总规模具体面积XXX平方米。这一规模的确定综合考虑了高耐候性装饰性防腐漆项目的性质、规模，以及城市规划的相关要求，确保建筑布局与周边环境协调一致。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绿地率是高耐候性装饰性防腐漆项目用地中被规划为绿地的比例。具体面积XXX平方米，旨在通过合理规划绿地，改善高耐候性装饰性防腐漆项目周边环境，提升居民生活质量，并符合城市整体绿化规划。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容积率是用地上可以建设的建筑总体积与用地面积之比。具体面积XXX，通过合理的容积率规划，确保高耐候性装饰性防腐漆项目建筑规模与周边环境和谐共生。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耐候性装饰性防腐漆项目选址与当地城市规划相一致，具体面积XXX平方米。通过与城市规划部门深入沟通，确保高耐候性装饰性防腐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耐候性装饰性防腐漆项目选址符合当地产业政策，具体面积XXX平方米。这包括高耐候性装饰性防腐漆项目对当地经济的促进作用，以及对相关产业的带动效应，确保高耐候性装饰性防腐漆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耐候性装饰性防腐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确保高耐候性装饰性防腐漆项目选址具备必要的公共设施配套，具体面积XXX平方米。这包括交通便利性、教育、医疗等基础设施，以提高居民生活品质，使得高耐候性装饰性防腐漆项目选址更具吸引力。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考虑用地总体要求对当地社会稳定性的影响，具体面积XXX平方米。通过深入了解当地社区反馈，确保高耐候性装饰性防腐漆项目的选址和建设过程对当地社会和谐稳定产生积极作用。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耐候性装饰性防腐漆项目选址不仅符合法规和规划，还在实际操作中具有可行性。这一全面规划将为高耐候性装饰性防腐漆项目的成功实施提供坚实的基础，确保高耐候性装饰性防腐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07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耐候性装饰性防腐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耐候性装饰性防腐漆项目的设备规划和空间设计中，我们将采取灵活设备布局的措施。设备布局将根据实际需求进行灵活设计，避免不必要的浪费。通过合理规划设备摆放位置，我们将提高设备的利用率，减少设备间距，以确保高耐候性装饰性防腐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耐候性装饰性防腐漆项目内部引入共享设施的概念，例如共享会议室、办公区等。通过这种方式，我们可以减少对资源的重复建设，提高资源共享效率，从而减小高耐候性装饰性防腐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97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耐候性装饰性防腐漆项目的总图布置中，我们将不同功能区域进行明确的规划，以最大程度满足高耐候性装饰性防腐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12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耐候性装饰性防腐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耐候性装饰性防腐漆项目对环境的影响是综合评价的重要因素之一。我们将详细考虑选址周边的自然环境、生态保护区、水源地等情况，确保高耐候性装饰性防腐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对选址的评价还需充分考虑当地政府的产业政策和法规。我们将详细了解高耐候性装饰性防腐漆项目所在地的相关政策，确保高耐候性装饰性防腐漆项目的规划和运营与当地法规相符，降低不必要的法律风险。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考虑到社会稳定性对企业运营的重要性，我们将评估选址地区的社会安全情况、劳工关系、社区反馈等方面，以确保高耐候性装饰性防腐漆项目的建设和运营不会受到社会稳定性的负面影响。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最后，我们将综合考虑用地成本，包括土地购置费用、土地开发成本等。通过对用地成本的详细评估，我们能够做出更为精确的经济效益分析，为高耐候性装饰性防腐漆项目的投资决策提供有力支持。</w:t>
      </w:r>
    </w:p>
    <w:p>
      <w:pPr>
        <w:pStyle w:val="Heading1"/>
        <w:ind w:firstLine="560" w:firstLineChars="200"/>
        <w:rPr>
          <w:rFonts w:ascii="仿宋" w:eastAsia="仿宋" w:hAnsi="仿宋" w:cs="仿宋" w:hint="eastAsia"/>
          <w:sz w:val="28"/>
          <w:lang w:eastAsia="zh-CN"/>
        </w:rPr>
      </w:pPr>
      <w:bookmarkStart w:id="8" w:name="_Toc290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1088"/>
      <w:r>
        <w:rPr>
          <w:rFonts w:ascii="仿宋" w:eastAsia="仿宋" w:hAnsi="仿宋" w:cs="仿宋" w:hint="eastAsia"/>
          <w:lang w:eastAsia="zh-CN"/>
        </w:rPr>
        <w:t>(一)、高耐候性装饰性防腐漆行业分析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行业一直以来都是市场的关注焦点。行业内的发展趋势、竞争态势以及潜在机会都对高耐候性装饰性防腐漆项目的推进产生深远的影响。通过深入研究行业的整体概貌，我们将更好地理解行业的核心特征，为高耐候性装饰性防腐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耐候性装饰性防腐漆行业，技术一直是推动创新和发展的关键因素。我们将对当前技术趋势进行详尽分析，包括但不限于人工智能、大数据应用、先进制造技术等。这有助于高耐候性装饰性防腐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高耐候性装饰性防腐漆项目成功的基础。我们将对主要竞争对手进行深入研究，包括其市场份额、产品特点、市场定位等。通过全面了解竞争对手的优势和劣势，高耐候性装饰性防腐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5400"/>
      <w:r>
        <w:rPr>
          <w:rFonts w:ascii="仿宋" w:eastAsia="仿宋" w:hAnsi="仿宋" w:cs="仿宋" w:hint="eastAsia"/>
          <w:sz w:val="28"/>
          <w:lang w:eastAsia="zh-CN"/>
        </w:rPr>
        <w:t>(二)、高耐候性装饰性防腐漆市场分析预测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耐候性装饰性防腐漆市场未来的增长趋势。这包括市场的整体规模、各细分领域的发展趋势等。高耐候性装饰性防腐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耐候性装饰性防腐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耐候性装饰性防腐漆项目实施过程中需要充分考虑的因素。我们将对市场风险进行全面评估，包括但不限于政策法规风险、市场竞争风险、技术变革风险等。通过对潜在风险的深入分析，高耐候性装饰性防腐漆项目可以制定相应的风险缓解策略，降低不确定性对高耐候性装饰性防腐漆项目的影响。</w:t>
      </w:r>
    </w:p>
    <w:p>
      <w:pPr>
        <w:pStyle w:val="Heading1"/>
        <w:ind w:firstLine="560" w:firstLineChars="200"/>
        <w:rPr>
          <w:rFonts w:ascii="仿宋" w:eastAsia="仿宋" w:hAnsi="仿宋" w:cs="仿宋" w:hint="eastAsia"/>
          <w:sz w:val="28"/>
          <w:lang w:eastAsia="zh-CN"/>
        </w:rPr>
      </w:pPr>
      <w:bookmarkStart w:id="11" w:name="_Toc2599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951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耐候性装饰性防腐漆项目的技术管理特点体现在其创新导向。通过引入最先进的技术趋势和解决方案，高耐候性装饰性防腐漆项目致力于提升科技含量、提高质量和效率水平。这意味着我们将采用最新的工具和方法，确保高耐候性装饰性防腐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耐候性装饰性防腐漆项目技术管理的显著特征。通过整合不同领域的技术资源，我们实现了跨学科的协同工作。这有助于优化技术架构，提高整体效能。此外，整合性策略还促进了不同技术团队之间的紧密沟通和高效合作，确保高耐候性装饰性防腐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耐候性装饰性防腐漆项目所采用的技术。通过不断优化技术方案，高耐候性装饰性防腐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耐候性装饰性防腐漆项目团队将在高耐候性装饰性防腐漆项目初期识别可能的技术风险，并采取相应的预防和应对措施。通过建立健全的风险评估机制，高耐候性装饰性防腐漆项目能够在实施过程中及时发现并解决潜在的技术问题，保障高耐候性装饰性防腐漆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耐候性装饰性防腐漆项目中，技术将成为高耐候性装饰性防腐漆项目成功的有力支持。这一深度剖析揭示了技术管理在高耐候性装饰性防腐漆项目实施中的关键作用，为高耐候性装饰性防腐漆项目的技术基础奠定了坚实的基础。</w:t>
      </w:r>
    </w:p>
    <w:p>
      <w:pPr>
        <w:pStyle w:val="Heading2"/>
        <w:ind w:firstLine="560" w:firstLineChars="200"/>
        <w:rPr>
          <w:rFonts w:ascii="仿宋" w:eastAsia="仿宋" w:hAnsi="仿宋" w:cs="仿宋" w:hint="eastAsia"/>
          <w:sz w:val="28"/>
          <w:lang w:eastAsia="zh-CN"/>
        </w:rPr>
      </w:pPr>
      <w:bookmarkStart w:id="13" w:name="_Toc19521"/>
      <w:r>
        <w:rPr>
          <w:rFonts w:ascii="仿宋" w:eastAsia="仿宋" w:hAnsi="仿宋" w:cs="仿宋" w:hint="eastAsia"/>
          <w:sz w:val="28"/>
          <w:lang w:eastAsia="zh-CN"/>
        </w:rPr>
        <w:t>(二)、高耐候性装饰性防腐漆项目工艺技术设计方案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耐候性装饰性防腐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耐候性装饰性防腐漆项目将严格按照相关行业规范要求进行组织。通过有效控制产品质量，高耐候性装饰性防腐漆项目将致力于为顾客提供优质的高耐候性装饰性防腐漆项目产品和良好的服务。这体现了高耐候性装饰性防腐漆项目对于生产活动合规性和质量标准的高度重视，为高耐候性装饰性防腐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耐候性装饰性防腐漆项目注重生态效益和清洁生产原则。高耐候性装饰性防腐漆项目建设将紧密结合地方特色经济发展，与社会经济发展规划和区域环境保护规划方案相协调一致。通过与当地区域自然生态系统的结合，高耐候性装饰性防腐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耐候性装饰性防腐漆项目产品具有多样化的客户需求和个性化的特点。因此，高耐候性装饰性防腐漆项目产品规格品种多样，且单批生产数量较小。为满足这一特点，高耐候性装饰性防腐漆项目承办单位将建设先进的柔性制造生产线。通过广泛应用柔性制造技术，高耐候性装饰性防腐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耐候性装饰性防腐漆项目采用的技术具有较高的技术含量和自动化水平，处于国内先进水平。这一技术选用不仅体现了对生产效率、质量和环境友好性的高标准要求，同时为高耐候性装饰性防腐漆项目的可持续发展奠定了坚实的基础。</w:t>
      </w:r>
    </w:p>
    <w:p>
      <w:pPr>
        <w:pStyle w:val="Heading2"/>
        <w:ind w:firstLine="560" w:firstLineChars="200"/>
        <w:rPr>
          <w:rFonts w:ascii="仿宋" w:eastAsia="仿宋" w:hAnsi="仿宋" w:cs="仿宋" w:hint="eastAsia"/>
          <w:sz w:val="28"/>
          <w:lang w:eastAsia="zh-CN"/>
        </w:rPr>
      </w:pPr>
      <w:bookmarkStart w:id="14" w:name="_Toc3096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为确保高耐候性装饰性防腐漆项目的高效生产和技术实施，我们制定了一套精心设计的设备选型方案，以满足高耐候性装饰性防腐漆项目生产、质量和环保的要求。该方案的主要特点如下：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耐候性装饰性防腐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耐候性装饰性防腐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0702"/>
      <w:r>
        <w:rPr>
          <w:rFonts w:ascii="仿宋" w:eastAsia="仿宋" w:hAnsi="仿宋" w:cs="仿宋" w:hint="eastAsia"/>
          <w:sz w:val="28"/>
          <w:lang w:eastAsia="zh-CN"/>
        </w:rPr>
        <w:t>四、高耐候性装饰性防腐漆项目危机管理</w:t>
      </w:r>
      <w:bookmarkEnd w:id="15"/>
    </w:p>
    <w:p>
      <w:pPr>
        <w:pStyle w:val="Heading2"/>
        <w:rPr>
          <w:rFonts w:ascii="仿宋" w:eastAsia="仿宋" w:hAnsi="仿宋" w:cs="仿宋" w:hint="eastAsia"/>
          <w:lang w:eastAsia="zh-CN"/>
        </w:rPr>
      </w:pPr>
      <w:bookmarkStart w:id="16" w:name="_Toc1683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耐候性装饰性防腐漆项目危机管理中，危机预警与识别是确保高耐候性装饰性防腐漆项目稳健运行的核心步骤。通过建立全面的监测机制，高耐候性装饰性防腐漆项目团队旨在及时发现和理解潜在的风险和危机因素，以便采取及时的预防和应对措施，确保高耐候性装饰性防腐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耐候性装饰性防腐漆项目团队全面分析了整个高耐候性装饰性防腐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耐候性装饰性防腐漆项目团队着重于明确定义高耐候性装饰性防腐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耐候性装饰性防腐漆项目进展的持续监控，团队能够及时发现潜在问题并作出迅速反应。高耐候性装饰性防腐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耐候性装饰性防腐漆项目得以更有序、可控地推进。</w:t>
      </w:r>
    </w:p>
    <w:p>
      <w:pPr>
        <w:pStyle w:val="Heading2"/>
        <w:ind w:firstLine="560" w:firstLineChars="200"/>
        <w:rPr>
          <w:rFonts w:ascii="仿宋" w:eastAsia="仿宋" w:hAnsi="仿宋" w:cs="仿宋" w:hint="eastAsia"/>
          <w:sz w:val="28"/>
          <w:lang w:eastAsia="zh-CN"/>
        </w:rPr>
      </w:pPr>
      <w:bookmarkStart w:id="17" w:name="_Toc335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在危机发生时，高耐候性装饰性防腐漆项目团队立即行动，成立了应急小组。该小组的任务是迅速制定并实施紧急应对措施，以最小化潜在损失。以下是采取的主要措施：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暂停高耐候性装饰性防腐漆项目进度：为遏制危机蔓延，高耐候性装饰性防腐漆项目暂时停止进行，以便全面评估当前状况。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资源重新分配：重新评估高耐候性装饰性防腐漆项目资源的分配，确保最大限度地减小损失。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实时沟通：与关键利益相关者建立实时沟通机制，向他们传递高耐候性装饰性防腐漆项目危机的实际状况，保障高耐候性装饰性防腐漆项目核心利益。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在紧急应对的同时，高耐候性装饰性防腐漆项目团队强调了团队协作和有效沟通的重要性。以下是团队协作的关键举措：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信息共享机制：建立了信息共享平台，确保团队成员能够及时获取高耐候性装饰性防腐漆项目危机的实时信息。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领导者沟通：高耐候性装饰性防腐漆项目领导者通过定期会议和即时沟通工具，指导团队应对危机，保持团队稳定运行。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https://d.book118.com/987066105010006032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高耐候性装饰性防腐漆项目计划设计方案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E7EC5"/>
    <w:rsid w:val="61FE7E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6610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2024-01-15T21:15:00Z</dcterms:created>
  <dcterms:modified xsi:type="dcterms:W3CDTF">2024-01-15T21:15:18Z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F8ECA46B6B404F8DAF184BE682FF8FBE_11</vt:lpwstr>
  </property>
  <property fmtid="{D5CDD505-2E9C-101B-9397-08002B2CF9AE}" pid="3" name="KSOProductBuildVer">
    <vt:lpwstr>2052-12.1.0.16120</vt:lpwstr>
  </property>
</Properties>
</file>