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重组水蛭素单克隆抗体项目规划设计纲要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2" w:history="1">
        <w:r>
          <w:rPr>
            <w:rFonts w:ascii="仿宋" w:eastAsia="仿宋" w:hAnsi="仿宋" w:cs="仿宋" w:hint="eastAsia"/>
            <w:lang w:eastAsia="zh-CN"/>
          </w:rPr>
          <w:t>概论</w:t>
        </w:r>
        <w:r>
          <w:tab/>
        </w:r>
        <w:r>
          <w:fldChar w:fldCharType="begin"/>
        </w:r>
        <w:r>
          <w:instrText xml:space="preserve"> PAGEREF _Toc412 \h </w:instrText>
        </w:r>
        <w:r>
          <w:fldChar w:fldCharType="separate"/>
        </w:r>
        <w:r>
          <w:t>3</w:t>
        </w:r>
        <w:r>
          <w:fldChar w:fldCharType="end"/>
        </w:r>
      </w:hyperlink>
    </w:p>
    <w:p>
      <w:pPr>
        <w:pStyle w:val="TOC1"/>
        <w:tabs>
          <w:tab w:val="right" w:leader="dot" w:pos="8306"/>
        </w:tabs>
      </w:pPr>
      <w:hyperlink w:anchor="_Toc24853" w:history="1">
        <w:r>
          <w:rPr>
            <w:rFonts w:ascii="仿宋" w:eastAsia="仿宋" w:hAnsi="仿宋" w:cs="仿宋" w:hint="eastAsia"/>
            <w:lang w:eastAsia="zh-CN"/>
          </w:rPr>
          <w:t>一、市场分析、调研</w:t>
        </w:r>
        <w:r>
          <w:tab/>
        </w:r>
        <w:r>
          <w:fldChar w:fldCharType="begin"/>
        </w:r>
        <w:r>
          <w:instrText xml:space="preserve"> PAGEREF _Toc24853 \h </w:instrText>
        </w:r>
        <w:r>
          <w:fldChar w:fldCharType="separate"/>
        </w:r>
        <w:r>
          <w:t>3</w:t>
        </w:r>
        <w:r>
          <w:fldChar w:fldCharType="end"/>
        </w:r>
      </w:hyperlink>
    </w:p>
    <w:p>
      <w:pPr>
        <w:pStyle w:val="TOC2"/>
        <w:tabs>
          <w:tab w:val="right" w:leader="dot" w:pos="8306"/>
        </w:tabs>
      </w:pPr>
      <w:hyperlink w:anchor="_Toc21041" w:history="1">
        <w:r>
          <w:rPr>
            <w:rFonts w:ascii="仿宋" w:eastAsia="仿宋" w:hAnsi="仿宋" w:cs="仿宋" w:hint="eastAsia"/>
            <w:lang w:eastAsia="zh-CN"/>
          </w:rPr>
          <w:t>(一)、重组水蛭素单克隆抗体行业分析</w:t>
        </w:r>
        <w:r>
          <w:tab/>
        </w:r>
        <w:r>
          <w:fldChar w:fldCharType="begin"/>
        </w:r>
        <w:r>
          <w:instrText xml:space="preserve"> PAGEREF _Toc21041 \h </w:instrText>
        </w:r>
        <w:r>
          <w:fldChar w:fldCharType="separate"/>
        </w:r>
        <w:r>
          <w:t>3</w:t>
        </w:r>
        <w:r>
          <w:fldChar w:fldCharType="end"/>
        </w:r>
      </w:hyperlink>
    </w:p>
    <w:p>
      <w:pPr>
        <w:pStyle w:val="TOC2"/>
        <w:tabs>
          <w:tab w:val="right" w:leader="dot" w:pos="8306"/>
        </w:tabs>
      </w:pPr>
      <w:hyperlink w:anchor="_Toc6649" w:history="1">
        <w:r>
          <w:rPr>
            <w:rFonts w:ascii="仿宋" w:eastAsia="仿宋" w:hAnsi="仿宋" w:cs="仿宋" w:hint="eastAsia"/>
            <w:lang w:eastAsia="zh-CN"/>
          </w:rPr>
          <w:t>(二)、重组水蛭素单克隆抗体市场分析预测</w:t>
        </w:r>
        <w:r>
          <w:tab/>
        </w:r>
        <w:r>
          <w:fldChar w:fldCharType="begin"/>
        </w:r>
        <w:r>
          <w:instrText xml:space="preserve"> PAGEREF _Toc6649 \h </w:instrText>
        </w:r>
        <w:r>
          <w:fldChar w:fldCharType="separate"/>
        </w:r>
        <w:r>
          <w:t>4</w:t>
        </w:r>
        <w:r>
          <w:fldChar w:fldCharType="end"/>
        </w:r>
      </w:hyperlink>
    </w:p>
    <w:p>
      <w:pPr>
        <w:pStyle w:val="TOC1"/>
        <w:tabs>
          <w:tab w:val="right" w:leader="dot" w:pos="8306"/>
        </w:tabs>
      </w:pPr>
      <w:hyperlink w:anchor="_Toc21563" w:history="1">
        <w:r>
          <w:rPr>
            <w:rFonts w:ascii="仿宋" w:eastAsia="仿宋" w:hAnsi="仿宋" w:cs="仿宋" w:hint="eastAsia"/>
            <w:lang w:eastAsia="zh-CN"/>
          </w:rPr>
          <w:t>二、重组水蛭素单克隆抗体项目绩效评估</w:t>
        </w:r>
        <w:r>
          <w:tab/>
        </w:r>
        <w:r>
          <w:fldChar w:fldCharType="begin"/>
        </w:r>
        <w:r>
          <w:instrText xml:space="preserve"> PAGEREF _Toc21563 \h </w:instrText>
        </w:r>
        <w:r>
          <w:fldChar w:fldCharType="separate"/>
        </w:r>
        <w:r>
          <w:t>5</w:t>
        </w:r>
        <w:r>
          <w:fldChar w:fldCharType="end"/>
        </w:r>
      </w:hyperlink>
    </w:p>
    <w:p>
      <w:pPr>
        <w:pStyle w:val="TOC2"/>
        <w:tabs>
          <w:tab w:val="right" w:leader="dot" w:pos="8306"/>
        </w:tabs>
      </w:pPr>
      <w:hyperlink w:anchor="_Toc2002" w:history="1">
        <w:r>
          <w:rPr>
            <w:rFonts w:ascii="仿宋" w:eastAsia="仿宋" w:hAnsi="仿宋" w:cs="仿宋" w:hint="eastAsia"/>
            <w:lang w:eastAsia="zh-CN"/>
          </w:rPr>
          <w:t>(一)、绩效评估指标</w:t>
        </w:r>
        <w:r>
          <w:tab/>
        </w:r>
        <w:r>
          <w:fldChar w:fldCharType="begin"/>
        </w:r>
        <w:r>
          <w:instrText xml:space="preserve"> PAGEREF _Toc2002 \h </w:instrText>
        </w:r>
        <w:r>
          <w:fldChar w:fldCharType="separate"/>
        </w:r>
        <w:r>
          <w:t>5</w:t>
        </w:r>
        <w:r>
          <w:fldChar w:fldCharType="end"/>
        </w:r>
      </w:hyperlink>
    </w:p>
    <w:p>
      <w:pPr>
        <w:pStyle w:val="TOC2"/>
        <w:tabs>
          <w:tab w:val="right" w:leader="dot" w:pos="8306"/>
        </w:tabs>
      </w:pPr>
      <w:hyperlink w:anchor="_Toc16491" w:history="1">
        <w:r>
          <w:rPr>
            <w:rFonts w:ascii="仿宋" w:eastAsia="仿宋" w:hAnsi="仿宋" w:cs="仿宋" w:hint="eastAsia"/>
            <w:lang w:eastAsia="zh-CN"/>
          </w:rPr>
          <w:t>(二)、绩效评估方法</w:t>
        </w:r>
        <w:r>
          <w:tab/>
        </w:r>
        <w:r>
          <w:fldChar w:fldCharType="begin"/>
        </w:r>
        <w:r>
          <w:instrText xml:space="preserve"> PAGEREF _Toc16491 \h </w:instrText>
        </w:r>
        <w:r>
          <w:fldChar w:fldCharType="separate"/>
        </w:r>
        <w:r>
          <w:t>6</w:t>
        </w:r>
        <w:r>
          <w:fldChar w:fldCharType="end"/>
        </w:r>
      </w:hyperlink>
    </w:p>
    <w:p>
      <w:pPr>
        <w:pStyle w:val="TOC2"/>
        <w:tabs>
          <w:tab w:val="right" w:leader="dot" w:pos="8306"/>
        </w:tabs>
      </w:pPr>
      <w:hyperlink w:anchor="_Toc27962" w:history="1">
        <w:r>
          <w:rPr>
            <w:rFonts w:ascii="仿宋" w:eastAsia="仿宋" w:hAnsi="仿宋" w:cs="仿宋" w:hint="eastAsia"/>
            <w:lang w:eastAsia="zh-CN"/>
          </w:rPr>
          <w:t>(三)、绩效评估周期</w:t>
        </w:r>
        <w:r>
          <w:tab/>
        </w:r>
        <w:r>
          <w:fldChar w:fldCharType="begin"/>
        </w:r>
        <w:r>
          <w:instrText xml:space="preserve"> PAGEREF _Toc27962 \h </w:instrText>
        </w:r>
        <w:r>
          <w:fldChar w:fldCharType="separate"/>
        </w:r>
        <w:r>
          <w:t>7</w:t>
        </w:r>
        <w:r>
          <w:fldChar w:fldCharType="end"/>
        </w:r>
      </w:hyperlink>
    </w:p>
    <w:p>
      <w:pPr>
        <w:pStyle w:val="TOC1"/>
        <w:tabs>
          <w:tab w:val="right" w:leader="dot" w:pos="8306"/>
        </w:tabs>
      </w:pPr>
      <w:hyperlink w:anchor="_Toc12523" w:history="1">
        <w:r>
          <w:rPr>
            <w:rFonts w:ascii="仿宋" w:eastAsia="仿宋" w:hAnsi="仿宋" w:cs="仿宋" w:hint="eastAsia"/>
            <w:lang w:eastAsia="zh-CN"/>
          </w:rPr>
          <w:t>三、重组水蛭素单克隆抗体项目选址可行性分析</w:t>
        </w:r>
        <w:r>
          <w:tab/>
        </w:r>
        <w:r>
          <w:fldChar w:fldCharType="begin"/>
        </w:r>
        <w:r>
          <w:instrText xml:space="preserve"> PAGEREF _Toc12523 \h </w:instrText>
        </w:r>
        <w:r>
          <w:fldChar w:fldCharType="separate"/>
        </w:r>
        <w:r>
          <w:t>8</w:t>
        </w:r>
        <w:r>
          <w:fldChar w:fldCharType="end"/>
        </w:r>
      </w:hyperlink>
    </w:p>
    <w:p>
      <w:pPr>
        <w:pStyle w:val="TOC2"/>
        <w:tabs>
          <w:tab w:val="right" w:leader="dot" w:pos="8306"/>
        </w:tabs>
      </w:pPr>
      <w:hyperlink w:anchor="_Toc23976" w:history="1">
        <w:r>
          <w:rPr>
            <w:rFonts w:ascii="仿宋" w:eastAsia="仿宋" w:hAnsi="仿宋" w:cs="仿宋" w:hint="eastAsia"/>
            <w:lang w:eastAsia="zh-CN"/>
          </w:rPr>
          <w:t>(一)、重组水蛭素单克隆抗体项目选址</w:t>
        </w:r>
        <w:r>
          <w:tab/>
        </w:r>
        <w:r>
          <w:fldChar w:fldCharType="begin"/>
        </w:r>
        <w:r>
          <w:instrText xml:space="preserve"> PAGEREF _Toc23976 \h </w:instrText>
        </w:r>
        <w:r>
          <w:fldChar w:fldCharType="separate"/>
        </w:r>
        <w:r>
          <w:t>8</w:t>
        </w:r>
        <w:r>
          <w:fldChar w:fldCharType="end"/>
        </w:r>
      </w:hyperlink>
    </w:p>
    <w:p>
      <w:pPr>
        <w:pStyle w:val="TOC2"/>
        <w:tabs>
          <w:tab w:val="right" w:leader="dot" w:pos="8306"/>
        </w:tabs>
      </w:pPr>
      <w:hyperlink w:anchor="_Toc11631" w:history="1">
        <w:r>
          <w:rPr>
            <w:rFonts w:ascii="仿宋" w:eastAsia="仿宋" w:hAnsi="仿宋" w:cs="仿宋" w:hint="eastAsia"/>
            <w:lang w:eastAsia="zh-CN"/>
          </w:rPr>
          <w:t>(二)、用地控制指标</w:t>
        </w:r>
        <w:r>
          <w:tab/>
        </w:r>
        <w:r>
          <w:fldChar w:fldCharType="begin"/>
        </w:r>
        <w:r>
          <w:instrText xml:space="preserve"> PAGEREF _Toc11631 \h </w:instrText>
        </w:r>
        <w:r>
          <w:fldChar w:fldCharType="separate"/>
        </w:r>
        <w:r>
          <w:t>8</w:t>
        </w:r>
        <w:r>
          <w:fldChar w:fldCharType="end"/>
        </w:r>
      </w:hyperlink>
    </w:p>
    <w:p>
      <w:pPr>
        <w:pStyle w:val="TOC2"/>
        <w:tabs>
          <w:tab w:val="right" w:leader="dot" w:pos="8306"/>
        </w:tabs>
      </w:pPr>
      <w:hyperlink w:anchor="_Toc17361" w:history="1">
        <w:r>
          <w:rPr>
            <w:rFonts w:ascii="仿宋" w:eastAsia="仿宋" w:hAnsi="仿宋" w:cs="仿宋" w:hint="eastAsia"/>
            <w:lang w:eastAsia="zh-CN"/>
          </w:rPr>
          <w:t>(三)、节约用地措施</w:t>
        </w:r>
        <w:r>
          <w:tab/>
        </w:r>
        <w:r>
          <w:fldChar w:fldCharType="begin"/>
        </w:r>
        <w:r>
          <w:instrText xml:space="preserve"> PAGEREF _Toc17361 \h </w:instrText>
        </w:r>
        <w:r>
          <w:fldChar w:fldCharType="separate"/>
        </w:r>
        <w:r>
          <w:t>10</w:t>
        </w:r>
        <w:r>
          <w:fldChar w:fldCharType="end"/>
        </w:r>
      </w:hyperlink>
    </w:p>
    <w:p>
      <w:pPr>
        <w:pStyle w:val="TOC2"/>
        <w:tabs>
          <w:tab w:val="right" w:leader="dot" w:pos="8306"/>
        </w:tabs>
      </w:pPr>
      <w:hyperlink w:anchor="_Toc6267" w:history="1">
        <w:r>
          <w:rPr>
            <w:rFonts w:ascii="仿宋" w:eastAsia="仿宋" w:hAnsi="仿宋" w:cs="仿宋" w:hint="eastAsia"/>
            <w:lang w:eastAsia="zh-CN"/>
          </w:rPr>
          <w:t>(四)、总图布置方案</w:t>
        </w:r>
        <w:r>
          <w:tab/>
        </w:r>
        <w:r>
          <w:fldChar w:fldCharType="begin"/>
        </w:r>
        <w:r>
          <w:instrText xml:space="preserve"> PAGEREF _Toc6267 \h </w:instrText>
        </w:r>
        <w:r>
          <w:fldChar w:fldCharType="separate"/>
        </w:r>
        <w:r>
          <w:t>12</w:t>
        </w:r>
        <w:r>
          <w:fldChar w:fldCharType="end"/>
        </w:r>
      </w:hyperlink>
    </w:p>
    <w:p>
      <w:pPr>
        <w:pStyle w:val="TOC2"/>
        <w:tabs>
          <w:tab w:val="right" w:leader="dot" w:pos="8306"/>
        </w:tabs>
      </w:pPr>
      <w:hyperlink w:anchor="_Toc6205" w:history="1">
        <w:r>
          <w:rPr>
            <w:rFonts w:ascii="仿宋" w:eastAsia="仿宋" w:hAnsi="仿宋" w:cs="仿宋" w:hint="eastAsia"/>
            <w:lang w:eastAsia="zh-CN"/>
          </w:rPr>
          <w:t>(五)、选址综合评价</w:t>
        </w:r>
        <w:r>
          <w:tab/>
        </w:r>
        <w:r>
          <w:fldChar w:fldCharType="begin"/>
        </w:r>
        <w:r>
          <w:instrText xml:space="preserve"> PAGEREF _Toc6205 \h </w:instrText>
        </w:r>
        <w:r>
          <w:fldChar w:fldCharType="separate"/>
        </w:r>
        <w:r>
          <w:t>13</w:t>
        </w:r>
        <w:r>
          <w:fldChar w:fldCharType="end"/>
        </w:r>
      </w:hyperlink>
    </w:p>
    <w:p>
      <w:pPr>
        <w:pStyle w:val="TOC1"/>
        <w:tabs>
          <w:tab w:val="right" w:leader="dot" w:pos="8306"/>
        </w:tabs>
      </w:pPr>
      <w:hyperlink w:anchor="_Toc4131" w:history="1">
        <w:r>
          <w:rPr>
            <w:rFonts w:ascii="仿宋" w:eastAsia="仿宋" w:hAnsi="仿宋" w:cs="仿宋" w:hint="eastAsia"/>
            <w:lang w:eastAsia="zh-CN"/>
          </w:rPr>
          <w:t>四、重组水蛭素单克隆抗体项目文档管理</w:t>
        </w:r>
        <w:r>
          <w:tab/>
        </w:r>
        <w:r>
          <w:fldChar w:fldCharType="begin"/>
        </w:r>
        <w:r>
          <w:instrText xml:space="preserve"> PAGEREF _Toc4131 \h </w:instrText>
        </w:r>
        <w:r>
          <w:fldChar w:fldCharType="separate"/>
        </w:r>
        <w:r>
          <w:t>14</w:t>
        </w:r>
        <w:r>
          <w:fldChar w:fldCharType="end"/>
        </w:r>
      </w:hyperlink>
    </w:p>
    <w:p>
      <w:pPr>
        <w:pStyle w:val="TOC2"/>
        <w:tabs>
          <w:tab w:val="right" w:leader="dot" w:pos="8306"/>
        </w:tabs>
      </w:pPr>
      <w:hyperlink w:anchor="_Toc12702" w:history="1">
        <w:r>
          <w:rPr>
            <w:rFonts w:ascii="仿宋" w:eastAsia="仿宋" w:hAnsi="仿宋" w:cs="仿宋" w:hint="eastAsia"/>
            <w:lang w:eastAsia="zh-CN"/>
          </w:rPr>
          <w:t>(一)、文档编制与审查</w:t>
        </w:r>
        <w:r>
          <w:tab/>
        </w:r>
        <w:r>
          <w:fldChar w:fldCharType="begin"/>
        </w:r>
        <w:r>
          <w:instrText xml:space="preserve"> PAGEREF _Toc12702 \h </w:instrText>
        </w:r>
        <w:r>
          <w:fldChar w:fldCharType="separate"/>
        </w:r>
        <w:r>
          <w:t>14</w:t>
        </w:r>
        <w:r>
          <w:fldChar w:fldCharType="end"/>
        </w:r>
      </w:hyperlink>
    </w:p>
    <w:p>
      <w:pPr>
        <w:pStyle w:val="TOC2"/>
        <w:tabs>
          <w:tab w:val="right" w:leader="dot" w:pos="8306"/>
        </w:tabs>
      </w:pPr>
      <w:hyperlink w:anchor="_Toc9623" w:history="1">
        <w:r>
          <w:rPr>
            <w:rFonts w:ascii="仿宋" w:eastAsia="仿宋" w:hAnsi="仿宋" w:cs="仿宋" w:hint="eastAsia"/>
            <w:lang w:eastAsia="zh-CN"/>
          </w:rPr>
          <w:t>(二)、文档发布与分发</w:t>
        </w:r>
        <w:r>
          <w:tab/>
        </w:r>
        <w:r>
          <w:fldChar w:fldCharType="begin"/>
        </w:r>
        <w:r>
          <w:instrText xml:space="preserve"> PAGEREF _Toc9623 \h </w:instrText>
        </w:r>
        <w:r>
          <w:fldChar w:fldCharType="separate"/>
        </w:r>
        <w:r>
          <w:t>15</w:t>
        </w:r>
        <w:r>
          <w:fldChar w:fldCharType="end"/>
        </w:r>
      </w:hyperlink>
    </w:p>
    <w:p>
      <w:pPr>
        <w:pStyle w:val="TOC2"/>
        <w:tabs>
          <w:tab w:val="right" w:leader="dot" w:pos="8306"/>
        </w:tabs>
      </w:pPr>
      <w:hyperlink w:anchor="_Toc9372" w:history="1">
        <w:r>
          <w:rPr>
            <w:rFonts w:ascii="仿宋" w:eastAsia="仿宋" w:hAnsi="仿宋" w:cs="仿宋" w:hint="eastAsia"/>
            <w:lang w:eastAsia="zh-CN"/>
          </w:rPr>
          <w:t>(三)、文档存档与归档</w:t>
        </w:r>
        <w:r>
          <w:tab/>
        </w:r>
        <w:r>
          <w:fldChar w:fldCharType="begin"/>
        </w:r>
        <w:r>
          <w:instrText xml:space="preserve"> PAGEREF _Toc9372 \h </w:instrText>
        </w:r>
        <w:r>
          <w:fldChar w:fldCharType="separate"/>
        </w:r>
        <w:r>
          <w:t>16</w:t>
        </w:r>
        <w:r>
          <w:fldChar w:fldCharType="end"/>
        </w:r>
      </w:hyperlink>
    </w:p>
    <w:p>
      <w:pPr>
        <w:pStyle w:val="TOC1"/>
        <w:tabs>
          <w:tab w:val="right" w:leader="dot" w:pos="8306"/>
        </w:tabs>
      </w:pPr>
      <w:hyperlink w:anchor="_Toc10802" w:history="1">
        <w:r>
          <w:rPr>
            <w:rFonts w:ascii="仿宋" w:eastAsia="仿宋" w:hAnsi="仿宋" w:cs="仿宋" w:hint="eastAsia"/>
            <w:lang w:eastAsia="zh-CN"/>
          </w:rPr>
          <w:t>五、重组水蛭素单克隆抗体项目概论</w:t>
        </w:r>
        <w:r>
          <w:tab/>
        </w:r>
        <w:r>
          <w:fldChar w:fldCharType="begin"/>
        </w:r>
        <w:r>
          <w:instrText xml:space="preserve"> PAGEREF _Toc10802 \h </w:instrText>
        </w:r>
        <w:r>
          <w:fldChar w:fldCharType="separate"/>
        </w:r>
        <w:r>
          <w:t>17</w:t>
        </w:r>
        <w:r>
          <w:fldChar w:fldCharType="end"/>
        </w:r>
      </w:hyperlink>
    </w:p>
    <w:p>
      <w:pPr>
        <w:pStyle w:val="TOC2"/>
        <w:tabs>
          <w:tab w:val="right" w:leader="dot" w:pos="8306"/>
        </w:tabs>
      </w:pPr>
      <w:hyperlink w:anchor="_Toc5935" w:history="1">
        <w:r>
          <w:rPr>
            <w:rFonts w:ascii="仿宋" w:eastAsia="仿宋" w:hAnsi="仿宋" w:cs="仿宋" w:hint="eastAsia"/>
            <w:lang w:eastAsia="zh-CN"/>
          </w:rPr>
          <w:t>(一)、重组水蛭素单克隆抗体项目概况</w:t>
        </w:r>
        <w:r>
          <w:tab/>
        </w:r>
        <w:r>
          <w:fldChar w:fldCharType="begin"/>
        </w:r>
        <w:r>
          <w:instrText xml:space="preserve"> PAGEREF _Toc5935 \h </w:instrText>
        </w:r>
        <w:r>
          <w:fldChar w:fldCharType="separate"/>
        </w:r>
        <w:r>
          <w:t>17</w:t>
        </w:r>
        <w:r>
          <w:fldChar w:fldCharType="end"/>
        </w:r>
      </w:hyperlink>
    </w:p>
    <w:p>
      <w:pPr>
        <w:pStyle w:val="TOC2"/>
        <w:tabs>
          <w:tab w:val="right" w:leader="dot" w:pos="8306"/>
        </w:tabs>
      </w:pPr>
      <w:hyperlink w:anchor="_Toc1515" w:history="1">
        <w:r>
          <w:rPr>
            <w:rFonts w:ascii="仿宋" w:eastAsia="仿宋" w:hAnsi="仿宋" w:cs="仿宋" w:hint="eastAsia"/>
            <w:lang w:eastAsia="zh-CN"/>
          </w:rPr>
          <w:t>(二)、重组水蛭素单克隆抗体项目目标</w:t>
        </w:r>
        <w:r>
          <w:tab/>
        </w:r>
        <w:r>
          <w:fldChar w:fldCharType="begin"/>
        </w:r>
        <w:r>
          <w:instrText xml:space="preserve"> PAGEREF _Toc1515 \h </w:instrText>
        </w:r>
        <w:r>
          <w:fldChar w:fldCharType="separate"/>
        </w:r>
        <w:r>
          <w:t>20</w:t>
        </w:r>
        <w:r>
          <w:fldChar w:fldCharType="end"/>
        </w:r>
      </w:hyperlink>
    </w:p>
    <w:p>
      <w:pPr>
        <w:pStyle w:val="TOC2"/>
        <w:tabs>
          <w:tab w:val="right" w:leader="dot" w:pos="8306"/>
        </w:tabs>
      </w:pPr>
      <w:hyperlink w:anchor="_Toc19405" w:history="1">
        <w:r>
          <w:rPr>
            <w:rFonts w:ascii="仿宋" w:eastAsia="仿宋" w:hAnsi="仿宋" w:cs="仿宋" w:hint="eastAsia"/>
            <w:lang w:eastAsia="zh-CN"/>
          </w:rPr>
          <w:t>(三)、重组水蛭素单克隆抗体项目提出的理由</w:t>
        </w:r>
        <w:r>
          <w:tab/>
        </w:r>
        <w:r>
          <w:fldChar w:fldCharType="begin"/>
        </w:r>
        <w:r>
          <w:instrText xml:space="preserve"> PAGEREF _Toc19405 \h </w:instrText>
        </w:r>
        <w:r>
          <w:fldChar w:fldCharType="separate"/>
        </w:r>
        <w:r>
          <w:t>21</w:t>
        </w:r>
        <w:r>
          <w:fldChar w:fldCharType="end"/>
        </w:r>
      </w:hyperlink>
    </w:p>
    <w:p>
      <w:pPr>
        <w:pStyle w:val="TOC2"/>
        <w:tabs>
          <w:tab w:val="right" w:leader="dot" w:pos="8306"/>
        </w:tabs>
      </w:pPr>
      <w:hyperlink w:anchor="_Toc27220" w:history="1">
        <w:r>
          <w:rPr>
            <w:rFonts w:ascii="仿宋" w:eastAsia="仿宋" w:hAnsi="仿宋" w:cs="仿宋" w:hint="eastAsia"/>
            <w:lang w:eastAsia="zh-CN"/>
          </w:rPr>
          <w:t>(四)、重组水蛭素单克隆抗体项目意义</w:t>
        </w:r>
        <w:r>
          <w:tab/>
        </w:r>
        <w:r>
          <w:fldChar w:fldCharType="begin"/>
        </w:r>
        <w:r>
          <w:instrText xml:space="preserve"> PAGEREF _Toc27220 \h </w:instrText>
        </w:r>
        <w:r>
          <w:fldChar w:fldCharType="separate"/>
        </w:r>
        <w:r>
          <w:t>23</w:t>
        </w:r>
        <w:r>
          <w:fldChar w:fldCharType="end"/>
        </w:r>
      </w:hyperlink>
    </w:p>
    <w:p>
      <w:pPr>
        <w:pStyle w:val="TOC2"/>
        <w:tabs>
          <w:tab w:val="right" w:leader="dot" w:pos="8306"/>
        </w:tabs>
      </w:pPr>
      <w:hyperlink w:anchor="_Toc2796" w:history="1">
        <w:r>
          <w:rPr>
            <w:rFonts w:ascii="仿宋" w:eastAsia="仿宋" w:hAnsi="仿宋" w:cs="仿宋" w:hint="eastAsia"/>
            <w:lang w:eastAsia="zh-CN"/>
          </w:rPr>
          <w:t>(五)、重组水蛭素单克隆抗体项目背景</w:t>
        </w:r>
        <w:r>
          <w:tab/>
        </w:r>
        <w:r>
          <w:fldChar w:fldCharType="begin"/>
        </w:r>
        <w:r>
          <w:instrText xml:space="preserve"> PAGEREF _Toc2796 \h </w:instrText>
        </w:r>
        <w:r>
          <w:fldChar w:fldCharType="separate"/>
        </w:r>
        <w:r>
          <w:t>24</w:t>
        </w:r>
        <w:r>
          <w:fldChar w:fldCharType="end"/>
        </w:r>
      </w:hyperlink>
    </w:p>
    <w:p>
      <w:pPr>
        <w:pStyle w:val="TOC1"/>
        <w:tabs>
          <w:tab w:val="right" w:leader="dot" w:pos="8306"/>
        </w:tabs>
      </w:pPr>
      <w:hyperlink w:anchor="_Toc3724" w:history="1">
        <w:r>
          <w:rPr>
            <w:rFonts w:ascii="仿宋" w:eastAsia="仿宋" w:hAnsi="仿宋" w:cs="仿宋" w:hint="eastAsia"/>
            <w:lang w:eastAsia="zh-CN"/>
          </w:rPr>
          <w:t>六、重组水蛭素单克隆抗体项目建设单位说明</w:t>
        </w:r>
        <w:r>
          <w:tab/>
        </w:r>
        <w:r>
          <w:fldChar w:fldCharType="begin"/>
        </w:r>
        <w:r>
          <w:instrText xml:space="preserve"> PAGEREF _Toc3724 \h </w:instrText>
        </w:r>
        <w:r>
          <w:fldChar w:fldCharType="separate"/>
        </w:r>
        <w:r>
          <w:t>25</w:t>
        </w:r>
        <w:r>
          <w:fldChar w:fldCharType="end"/>
        </w:r>
      </w:hyperlink>
    </w:p>
    <w:p>
      <w:pPr>
        <w:pStyle w:val="TOC2"/>
        <w:tabs>
          <w:tab w:val="right" w:leader="dot" w:pos="8306"/>
        </w:tabs>
      </w:pPr>
      <w:hyperlink w:anchor="_Toc1448" w:history="1">
        <w:r>
          <w:rPr>
            <w:rFonts w:ascii="仿宋" w:eastAsia="仿宋" w:hAnsi="仿宋" w:cs="仿宋" w:hint="eastAsia"/>
            <w:lang w:eastAsia="zh-CN"/>
          </w:rPr>
          <w:t>(一)、重组水蛭素单克隆抗体项目承办单位基本情况</w:t>
        </w:r>
        <w:r>
          <w:tab/>
        </w:r>
        <w:r>
          <w:fldChar w:fldCharType="begin"/>
        </w:r>
        <w:r>
          <w:instrText xml:space="preserve"> PAGEREF _Toc1448 \h </w:instrText>
        </w:r>
        <w:r>
          <w:fldChar w:fldCharType="separate"/>
        </w:r>
        <w:r>
          <w:t>25</w:t>
        </w:r>
        <w:r>
          <w:fldChar w:fldCharType="end"/>
        </w:r>
      </w:hyperlink>
    </w:p>
    <w:p>
      <w:pPr>
        <w:pStyle w:val="TOC2"/>
        <w:tabs>
          <w:tab w:val="right" w:leader="dot" w:pos="8306"/>
        </w:tabs>
      </w:pPr>
      <w:hyperlink w:anchor="_Toc17360" w:history="1">
        <w:r>
          <w:rPr>
            <w:rFonts w:ascii="仿宋" w:eastAsia="仿宋" w:hAnsi="仿宋" w:cs="仿宋" w:hint="eastAsia"/>
            <w:lang w:eastAsia="zh-CN"/>
          </w:rPr>
          <w:t>(二)、公司经济效益分析</w:t>
        </w:r>
        <w:r>
          <w:tab/>
        </w:r>
        <w:r>
          <w:fldChar w:fldCharType="begin"/>
        </w:r>
        <w:r>
          <w:instrText xml:space="preserve"> PAGEREF _Toc17360 \h </w:instrText>
        </w:r>
        <w:r>
          <w:fldChar w:fldCharType="separate"/>
        </w:r>
        <w:r>
          <w:t>25</w:t>
        </w:r>
        <w:r>
          <w:fldChar w:fldCharType="end"/>
        </w:r>
      </w:hyperlink>
    </w:p>
    <w:p>
      <w:pPr>
        <w:pStyle w:val="TOC1"/>
        <w:tabs>
          <w:tab w:val="right" w:leader="dot" w:pos="8306"/>
        </w:tabs>
      </w:pPr>
      <w:hyperlink w:anchor="_Toc25233" w:history="1">
        <w:r>
          <w:rPr>
            <w:rFonts w:ascii="仿宋" w:eastAsia="仿宋" w:hAnsi="仿宋" w:cs="仿宋" w:hint="eastAsia"/>
            <w:lang w:eastAsia="zh-CN"/>
          </w:rPr>
          <w:t>七、重组水蛭素单克隆抗体项目投资规划</w:t>
        </w:r>
        <w:r>
          <w:tab/>
        </w:r>
        <w:r>
          <w:fldChar w:fldCharType="begin"/>
        </w:r>
        <w:r>
          <w:instrText xml:space="preserve"> PAGEREF _Toc25233 \h </w:instrText>
        </w:r>
        <w:r>
          <w:fldChar w:fldCharType="separate"/>
        </w:r>
        <w:r>
          <w:t>26</w:t>
        </w:r>
        <w:r>
          <w:fldChar w:fldCharType="end"/>
        </w:r>
      </w:hyperlink>
    </w:p>
    <w:p>
      <w:pPr>
        <w:pStyle w:val="TOC2"/>
        <w:tabs>
          <w:tab w:val="right" w:leader="dot" w:pos="8306"/>
        </w:tabs>
      </w:pPr>
      <w:hyperlink w:anchor="_Toc28563" w:history="1">
        <w:r>
          <w:rPr>
            <w:rFonts w:ascii="仿宋" w:eastAsia="仿宋" w:hAnsi="仿宋" w:cs="仿宋" w:hint="eastAsia"/>
            <w:lang w:eastAsia="zh-CN"/>
          </w:rPr>
          <w:t>(一)、重组水蛭素单克隆抗体项目总投资估算</w:t>
        </w:r>
        <w:r>
          <w:tab/>
        </w:r>
        <w:r>
          <w:fldChar w:fldCharType="begin"/>
        </w:r>
        <w:r>
          <w:instrText xml:space="preserve"> PAGEREF _Toc28563 \h </w:instrText>
        </w:r>
        <w:r>
          <w:fldChar w:fldCharType="separate"/>
        </w:r>
        <w:r>
          <w:t>26</w:t>
        </w:r>
        <w:r>
          <w:fldChar w:fldCharType="end"/>
        </w:r>
      </w:hyperlink>
    </w:p>
    <w:p>
      <w:pPr>
        <w:pStyle w:val="TOC2"/>
        <w:tabs>
          <w:tab w:val="right" w:leader="dot" w:pos="8306"/>
        </w:tabs>
      </w:pPr>
      <w:hyperlink w:anchor="_Toc28138" w:history="1">
        <w:r>
          <w:rPr>
            <w:rFonts w:ascii="仿宋" w:eastAsia="仿宋" w:hAnsi="仿宋" w:cs="仿宋" w:hint="eastAsia"/>
            <w:lang w:eastAsia="zh-CN"/>
          </w:rPr>
          <w:t>(二)、资金筹措</w:t>
        </w:r>
        <w:r>
          <w:tab/>
        </w:r>
        <w:r>
          <w:fldChar w:fldCharType="begin"/>
        </w:r>
        <w:r>
          <w:instrText xml:space="preserve"> PAGEREF _Toc28138 \h </w:instrText>
        </w:r>
        <w:r>
          <w:fldChar w:fldCharType="separate"/>
        </w:r>
        <w:r>
          <w:t>28</w:t>
        </w:r>
        <w:r>
          <w:fldChar w:fldCharType="end"/>
        </w:r>
      </w:hyperlink>
    </w:p>
    <w:p>
      <w:pPr>
        <w:pStyle w:val="TOC1"/>
        <w:tabs>
          <w:tab w:val="right" w:leader="dot" w:pos="8306"/>
        </w:tabs>
      </w:pPr>
      <w:hyperlink w:anchor="_Toc7999" w:history="1">
        <w:r>
          <w:rPr>
            <w:rFonts w:ascii="仿宋" w:eastAsia="仿宋" w:hAnsi="仿宋" w:cs="仿宋" w:hint="eastAsia"/>
            <w:lang w:eastAsia="zh-CN"/>
          </w:rPr>
          <w:t>八、重组水蛭素单克隆抗体项目社会影响</w:t>
        </w:r>
        <w:r>
          <w:tab/>
        </w:r>
        <w:r>
          <w:fldChar w:fldCharType="begin"/>
        </w:r>
        <w:r>
          <w:instrText xml:space="preserve"> PAGEREF _Toc7999 \h </w:instrText>
        </w:r>
        <w:r>
          <w:fldChar w:fldCharType="separate"/>
        </w:r>
        <w:r>
          <w:t>28</w:t>
        </w:r>
        <w:r>
          <w:fldChar w:fldCharType="end"/>
        </w:r>
      </w:hyperlink>
    </w:p>
    <w:p>
      <w:pPr>
        <w:pStyle w:val="TOC2"/>
        <w:tabs>
          <w:tab w:val="right" w:leader="dot" w:pos="8306"/>
        </w:tabs>
      </w:pPr>
      <w:hyperlink w:anchor="_Toc28898" w:history="1">
        <w:r>
          <w:rPr>
            <w:rFonts w:ascii="仿宋" w:eastAsia="仿宋" w:hAnsi="仿宋" w:cs="仿宋" w:hint="eastAsia"/>
            <w:lang w:eastAsia="zh-CN"/>
          </w:rPr>
          <w:t>(一)、社会责任与义务</w:t>
        </w:r>
        <w:r>
          <w:tab/>
        </w:r>
        <w:r>
          <w:fldChar w:fldCharType="begin"/>
        </w:r>
        <w:r>
          <w:instrText xml:space="preserve"> PAGEREF _Toc28898 \h </w:instrText>
        </w:r>
        <w:r>
          <w:fldChar w:fldCharType="separate"/>
        </w:r>
        <w:r>
          <w:t>28</w:t>
        </w:r>
        <w:r>
          <w:fldChar w:fldCharType="end"/>
        </w:r>
      </w:hyperlink>
    </w:p>
    <w:p>
      <w:pPr>
        <w:pStyle w:val="TOC2"/>
        <w:tabs>
          <w:tab w:val="right" w:leader="dot" w:pos="8306"/>
        </w:tabs>
      </w:pPr>
      <w:hyperlink w:anchor="_Toc19211" w:history="1">
        <w:r>
          <w:rPr>
            <w:rFonts w:ascii="仿宋" w:eastAsia="仿宋" w:hAnsi="仿宋" w:cs="仿宋" w:hint="eastAsia"/>
            <w:lang w:eastAsia="zh-CN"/>
          </w:rPr>
          <w:t>(二)、社会参与与沟通</w:t>
        </w:r>
        <w:r>
          <w:tab/>
        </w:r>
        <w:r>
          <w:fldChar w:fldCharType="begin"/>
        </w:r>
        <w:r>
          <w:instrText xml:space="preserve"> PAGEREF _Toc19211 \h </w:instrText>
        </w:r>
        <w:r>
          <w:fldChar w:fldCharType="separate"/>
        </w:r>
        <w:r>
          <w:t>29</w:t>
        </w:r>
        <w:r>
          <w:fldChar w:fldCharType="end"/>
        </w:r>
      </w:hyperlink>
    </w:p>
    <w:p>
      <w:pPr>
        <w:pStyle w:val="TOC1"/>
        <w:tabs>
          <w:tab w:val="right" w:leader="dot" w:pos="8306"/>
        </w:tabs>
      </w:pPr>
      <w:hyperlink w:anchor="_Toc3977" w:history="1">
        <w:r>
          <w:rPr>
            <w:rFonts w:ascii="仿宋" w:eastAsia="仿宋" w:hAnsi="仿宋" w:cs="仿宋" w:hint="eastAsia"/>
            <w:lang w:eastAsia="zh-CN"/>
          </w:rPr>
          <w:t>九、重组水蛭素单克隆抗体项目创新与研发</w:t>
        </w:r>
        <w:r>
          <w:tab/>
        </w:r>
        <w:r>
          <w:fldChar w:fldCharType="begin"/>
        </w:r>
        <w:r>
          <w:instrText xml:space="preserve"> PAGEREF _Toc3977 \h </w:instrText>
        </w:r>
        <w:r>
          <w:fldChar w:fldCharType="separate"/>
        </w:r>
        <w:r>
          <w:t>30</w:t>
        </w:r>
        <w:r>
          <w:fldChar w:fldCharType="end"/>
        </w:r>
      </w:hyperlink>
    </w:p>
    <w:p>
      <w:pPr>
        <w:pStyle w:val="TOC2"/>
        <w:tabs>
          <w:tab w:val="right" w:leader="dot" w:pos="8306"/>
        </w:tabs>
      </w:pPr>
      <w:hyperlink w:anchor="_Toc18578" w:history="1">
        <w:r>
          <w:rPr>
            <w:rFonts w:ascii="仿宋" w:eastAsia="仿宋" w:hAnsi="仿宋" w:cs="仿宋" w:hint="eastAsia"/>
            <w:lang w:eastAsia="zh-CN"/>
          </w:rPr>
          <w:t>(一)、创新策略与方向</w:t>
        </w:r>
        <w:r>
          <w:tab/>
        </w:r>
        <w:r>
          <w:fldChar w:fldCharType="begin"/>
        </w:r>
        <w:r>
          <w:instrText xml:space="preserve"> PAGEREF _Toc18578 \h </w:instrText>
        </w:r>
        <w:r>
          <w:fldChar w:fldCharType="separate"/>
        </w:r>
        <w:r>
          <w:t>30</w:t>
        </w:r>
        <w:r>
          <w:fldChar w:fldCharType="end"/>
        </w:r>
      </w:hyperlink>
    </w:p>
    <w:p>
      <w:pPr>
        <w:pStyle w:val="TOC2"/>
        <w:tabs>
          <w:tab w:val="right" w:leader="dot" w:pos="8306"/>
        </w:tabs>
      </w:pPr>
      <w:hyperlink w:anchor="_Toc19354" w:history="1">
        <w:r>
          <w:rPr>
            <w:rFonts w:ascii="仿宋" w:eastAsia="仿宋" w:hAnsi="仿宋" w:cs="仿宋" w:hint="eastAsia"/>
            <w:lang w:eastAsia="zh-CN"/>
          </w:rPr>
          <w:t>(二)、研发规划与投入</w:t>
        </w:r>
        <w:r>
          <w:tab/>
        </w:r>
        <w:r>
          <w:fldChar w:fldCharType="begin"/>
        </w:r>
        <w:r>
          <w:instrText xml:space="preserve"> PAGEREF _Toc19354 \h </w:instrText>
        </w:r>
        <w:r>
          <w:fldChar w:fldCharType="separate"/>
        </w:r>
        <w:r>
          <w:t>32</w:t>
        </w:r>
        <w:r>
          <w:fldChar w:fldCharType="end"/>
        </w:r>
      </w:hyperlink>
    </w:p>
    <w:p>
      <w:pPr>
        <w:pStyle w:val="TOC1"/>
        <w:tabs>
          <w:tab w:val="right" w:leader="dot" w:pos="8306"/>
        </w:tabs>
      </w:pPr>
      <w:hyperlink w:anchor="_Toc13069" w:history="1">
        <w:r>
          <w:rPr>
            <w:rFonts w:ascii="仿宋" w:eastAsia="仿宋" w:hAnsi="仿宋" w:cs="仿宋" w:hint="eastAsia"/>
            <w:lang w:eastAsia="zh-CN"/>
          </w:rPr>
          <w:t>十、重组水蛭素单克隆抗体项目人力资源培养与发展</w:t>
        </w:r>
        <w:r>
          <w:tab/>
        </w:r>
        <w:r>
          <w:fldChar w:fldCharType="begin"/>
        </w:r>
        <w:r>
          <w:instrText xml:space="preserve"> PAGEREF _Toc13069 \h </w:instrText>
        </w:r>
        <w:r>
          <w:fldChar w:fldCharType="separate"/>
        </w:r>
        <w:r>
          <w:t>33</w:t>
        </w:r>
        <w:r>
          <w:fldChar w:fldCharType="end"/>
        </w:r>
      </w:hyperlink>
    </w:p>
    <w:p>
      <w:pPr>
        <w:pStyle w:val="TOC2"/>
        <w:tabs>
          <w:tab w:val="right" w:leader="dot" w:pos="8306"/>
        </w:tabs>
      </w:pPr>
      <w:hyperlink w:anchor="_Toc31301" w:history="1">
        <w:r>
          <w:rPr>
            <w:rFonts w:ascii="仿宋" w:eastAsia="仿宋" w:hAnsi="仿宋" w:cs="仿宋" w:hint="eastAsia"/>
            <w:lang w:eastAsia="zh-CN"/>
          </w:rPr>
          <w:t>(一)、人才需求与规划</w:t>
        </w:r>
        <w:r>
          <w:tab/>
        </w:r>
        <w:r>
          <w:fldChar w:fldCharType="begin"/>
        </w:r>
        <w:r>
          <w:instrText xml:space="preserve"> PAGEREF _Toc31301 \h </w:instrText>
        </w:r>
        <w:r>
          <w:fldChar w:fldCharType="separate"/>
        </w:r>
        <w:r>
          <w:t>33</w:t>
        </w:r>
        <w:r>
          <w:fldChar w:fldCharType="end"/>
        </w:r>
      </w:hyperlink>
    </w:p>
    <w:p>
      <w:pPr>
        <w:pStyle w:val="TOC2"/>
        <w:tabs>
          <w:tab w:val="right" w:leader="dot" w:pos="8306"/>
        </w:tabs>
      </w:pPr>
      <w:hyperlink w:anchor="_Toc32342" w:history="1">
        <w:r>
          <w:rPr>
            <w:rFonts w:ascii="仿宋" w:eastAsia="仿宋" w:hAnsi="仿宋" w:cs="仿宋" w:hint="eastAsia"/>
            <w:lang w:eastAsia="zh-CN"/>
          </w:rPr>
          <w:t>(二)、培训与发展计划</w:t>
        </w:r>
        <w:r>
          <w:tab/>
        </w:r>
        <w:r>
          <w:fldChar w:fldCharType="begin"/>
        </w:r>
        <w:r>
          <w:instrText xml:space="preserve"> PAGEREF _Toc32342 \h </w:instrText>
        </w:r>
        <w:r>
          <w:fldChar w:fldCharType="separate"/>
        </w:r>
        <w:r>
          <w:t>34</w:t>
        </w:r>
        <w:r>
          <w:fldChar w:fldCharType="end"/>
        </w:r>
      </w:hyperlink>
    </w:p>
    <w:p>
      <w:pPr>
        <w:pStyle w:val="TOC1"/>
        <w:tabs>
          <w:tab w:val="right" w:leader="dot" w:pos="8306"/>
        </w:tabs>
      </w:pPr>
      <w:hyperlink w:anchor="_Toc11684" w:history="1">
        <w:r>
          <w:rPr>
            <w:rFonts w:ascii="仿宋" w:eastAsia="仿宋" w:hAnsi="仿宋" w:cs="仿宋" w:hint="eastAsia"/>
            <w:lang w:eastAsia="zh-CN"/>
          </w:rPr>
          <w:t>十一、重组水蛭素单克隆抗体项目技术管理</w:t>
        </w:r>
        <w:r>
          <w:tab/>
        </w:r>
        <w:r>
          <w:fldChar w:fldCharType="begin"/>
        </w:r>
        <w:r>
          <w:instrText xml:space="preserve"> PAGEREF _Toc11684 \h </w:instrText>
        </w:r>
        <w:r>
          <w:fldChar w:fldCharType="separate"/>
        </w:r>
        <w:r>
          <w:t>34</w:t>
        </w:r>
        <w:r>
          <w:fldChar w:fldCharType="end"/>
        </w:r>
      </w:hyperlink>
    </w:p>
    <w:p>
      <w:pPr>
        <w:pStyle w:val="TOC2"/>
        <w:tabs>
          <w:tab w:val="right" w:leader="dot" w:pos="8306"/>
        </w:tabs>
      </w:pPr>
      <w:hyperlink w:anchor="_Toc21289" w:history="1">
        <w:r>
          <w:rPr>
            <w:rFonts w:ascii="仿宋" w:eastAsia="仿宋" w:hAnsi="仿宋" w:cs="仿宋" w:hint="eastAsia"/>
            <w:lang w:eastAsia="zh-CN"/>
          </w:rPr>
          <w:t>(一)、技术方案选用方向</w:t>
        </w:r>
        <w:r>
          <w:tab/>
        </w:r>
        <w:r>
          <w:fldChar w:fldCharType="begin"/>
        </w:r>
        <w:r>
          <w:instrText xml:space="preserve"> PAGEREF _Toc21289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44" w:history="1">
        <w:r>
          <w:rPr>
            <w:rFonts w:ascii="仿宋" w:eastAsia="仿宋" w:hAnsi="仿宋" w:cs="仿宋" w:hint="eastAsia"/>
            <w:lang w:eastAsia="zh-CN"/>
          </w:rPr>
          <w:t>(二)、工艺技术方案选用原则</w:t>
        </w:r>
        <w:r>
          <w:tab/>
        </w:r>
        <w:r>
          <w:fldChar w:fldCharType="begin"/>
        </w:r>
        <w:r>
          <w:instrText xml:space="preserve"> PAGEREF _Toc22144 \h </w:instrText>
        </w:r>
        <w:r>
          <w:fldChar w:fldCharType="separate"/>
        </w:r>
        <w:r>
          <w:t>36</w:t>
        </w:r>
        <w:r>
          <w:fldChar w:fldCharType="end"/>
        </w:r>
      </w:hyperlink>
    </w:p>
    <w:p>
      <w:pPr>
        <w:pStyle w:val="TOC2"/>
        <w:tabs>
          <w:tab w:val="right" w:leader="dot" w:pos="8306"/>
        </w:tabs>
      </w:pPr>
      <w:hyperlink w:anchor="_Toc1591" w:history="1">
        <w:r>
          <w:rPr>
            <w:rFonts w:ascii="仿宋" w:eastAsia="仿宋" w:hAnsi="仿宋" w:cs="仿宋" w:hint="eastAsia"/>
            <w:lang w:eastAsia="zh-CN"/>
          </w:rPr>
          <w:t>(三)、工艺技术方案要求</w:t>
        </w:r>
        <w:r>
          <w:tab/>
        </w:r>
        <w:r>
          <w:fldChar w:fldCharType="begin"/>
        </w:r>
        <w:r>
          <w:instrText xml:space="preserve"> PAGEREF _Toc1591 \h </w:instrText>
        </w:r>
        <w:r>
          <w:fldChar w:fldCharType="separate"/>
        </w:r>
        <w:r>
          <w:t>38</w:t>
        </w:r>
        <w:r>
          <w:fldChar w:fldCharType="end"/>
        </w:r>
      </w:hyperlink>
    </w:p>
    <w:p>
      <w:pPr>
        <w:pStyle w:val="TOC1"/>
        <w:tabs>
          <w:tab w:val="right" w:leader="dot" w:pos="8306"/>
        </w:tabs>
      </w:pPr>
      <w:hyperlink w:anchor="_Toc18829" w:history="1">
        <w:r>
          <w:rPr>
            <w:rFonts w:ascii="仿宋" w:eastAsia="仿宋" w:hAnsi="仿宋" w:cs="仿宋" w:hint="eastAsia"/>
            <w:lang w:eastAsia="zh-CN"/>
          </w:rPr>
          <w:t>十二、重组水蛭素单克隆抗体项目人力资源管理</w:t>
        </w:r>
        <w:r>
          <w:tab/>
        </w:r>
        <w:r>
          <w:fldChar w:fldCharType="begin"/>
        </w:r>
        <w:r>
          <w:instrText xml:space="preserve"> PAGEREF _Toc18829 \h </w:instrText>
        </w:r>
        <w:r>
          <w:fldChar w:fldCharType="separate"/>
        </w:r>
        <w:r>
          <w:t>41</w:t>
        </w:r>
        <w:r>
          <w:fldChar w:fldCharType="end"/>
        </w:r>
      </w:hyperlink>
    </w:p>
    <w:p>
      <w:pPr>
        <w:pStyle w:val="TOC2"/>
        <w:tabs>
          <w:tab w:val="right" w:leader="dot" w:pos="8306"/>
        </w:tabs>
      </w:pPr>
      <w:hyperlink w:anchor="_Toc18696" w:history="1">
        <w:r>
          <w:rPr>
            <w:rFonts w:ascii="仿宋" w:eastAsia="仿宋" w:hAnsi="仿宋" w:cs="仿宋" w:hint="eastAsia"/>
            <w:lang w:eastAsia="zh-CN"/>
          </w:rPr>
          <w:t>(一)、建立健全的预算管理制度</w:t>
        </w:r>
        <w:r>
          <w:tab/>
        </w:r>
        <w:r>
          <w:fldChar w:fldCharType="begin"/>
        </w:r>
        <w:r>
          <w:instrText xml:space="preserve"> PAGEREF _Toc18696 \h </w:instrText>
        </w:r>
        <w:r>
          <w:fldChar w:fldCharType="separate"/>
        </w:r>
        <w:r>
          <w:t>41</w:t>
        </w:r>
        <w:r>
          <w:fldChar w:fldCharType="end"/>
        </w:r>
      </w:hyperlink>
    </w:p>
    <w:p>
      <w:pPr>
        <w:pStyle w:val="TOC2"/>
        <w:tabs>
          <w:tab w:val="right" w:leader="dot" w:pos="8306"/>
        </w:tabs>
      </w:pPr>
      <w:hyperlink w:anchor="_Toc27471" w:history="1">
        <w:r>
          <w:rPr>
            <w:rFonts w:ascii="仿宋" w:eastAsia="仿宋" w:hAnsi="仿宋" w:cs="仿宋" w:hint="eastAsia"/>
            <w:lang w:eastAsia="zh-CN"/>
          </w:rPr>
          <w:t>(二)、加强资金流动监控</w:t>
        </w:r>
        <w:r>
          <w:tab/>
        </w:r>
        <w:r>
          <w:fldChar w:fldCharType="begin"/>
        </w:r>
        <w:r>
          <w:instrText xml:space="preserve"> PAGEREF _Toc27471 \h </w:instrText>
        </w:r>
        <w:r>
          <w:fldChar w:fldCharType="separate"/>
        </w:r>
        <w:r>
          <w:t>43</w:t>
        </w:r>
        <w:r>
          <w:fldChar w:fldCharType="end"/>
        </w:r>
      </w:hyperlink>
    </w:p>
    <w:p>
      <w:pPr>
        <w:pStyle w:val="TOC2"/>
        <w:tabs>
          <w:tab w:val="right" w:leader="dot" w:pos="8306"/>
        </w:tabs>
      </w:pPr>
      <w:hyperlink w:anchor="_Toc27331" w:history="1">
        <w:r>
          <w:rPr>
            <w:rFonts w:ascii="仿宋" w:eastAsia="仿宋" w:hAnsi="仿宋" w:cs="仿宋" w:hint="eastAsia"/>
            <w:lang w:eastAsia="zh-CN"/>
          </w:rPr>
          <w:t>(三)、制定完善的风险控制机制</w:t>
        </w:r>
        <w:r>
          <w:tab/>
        </w:r>
        <w:r>
          <w:fldChar w:fldCharType="begin"/>
        </w:r>
        <w:r>
          <w:instrText xml:space="preserve"> PAGEREF _Toc27331 \h </w:instrText>
        </w:r>
        <w:r>
          <w:fldChar w:fldCharType="separate"/>
        </w:r>
        <w:r>
          <w:t>44</w:t>
        </w:r>
        <w:r>
          <w:fldChar w:fldCharType="end"/>
        </w:r>
      </w:hyperlink>
    </w:p>
    <w:p>
      <w:pPr>
        <w:pStyle w:val="TOC2"/>
        <w:tabs>
          <w:tab w:val="right" w:leader="dot" w:pos="8306"/>
        </w:tabs>
      </w:pPr>
      <w:hyperlink w:anchor="_Toc8250" w:history="1">
        <w:r>
          <w:rPr>
            <w:rFonts w:ascii="仿宋" w:eastAsia="仿宋" w:hAnsi="仿宋" w:cs="仿宋" w:hint="eastAsia"/>
            <w:lang w:eastAsia="zh-CN"/>
          </w:rPr>
          <w:t>(四)、优化成本管理</w:t>
        </w:r>
        <w:r>
          <w:tab/>
        </w:r>
        <w:r>
          <w:fldChar w:fldCharType="begin"/>
        </w:r>
        <w:r>
          <w:instrText xml:space="preserve"> PAGEREF _Toc8250 \h </w:instrText>
        </w:r>
        <w:r>
          <w:fldChar w:fldCharType="separate"/>
        </w:r>
        <w:r>
          <w:t>45</w:t>
        </w:r>
        <w:r>
          <w:fldChar w:fldCharType="end"/>
        </w:r>
      </w:hyperlink>
    </w:p>
    <w:p>
      <w:pPr>
        <w:pStyle w:val="TOC1"/>
        <w:tabs>
          <w:tab w:val="right" w:leader="dot" w:pos="8306"/>
        </w:tabs>
      </w:pPr>
      <w:hyperlink w:anchor="_Toc28752" w:history="1">
        <w:r>
          <w:rPr>
            <w:rFonts w:ascii="仿宋" w:eastAsia="仿宋" w:hAnsi="仿宋" w:cs="仿宋" w:hint="eastAsia"/>
            <w:lang w:eastAsia="zh-CN"/>
          </w:rPr>
          <w:t>十三、风险识别与分类</w:t>
        </w:r>
        <w:r>
          <w:tab/>
        </w:r>
        <w:r>
          <w:fldChar w:fldCharType="begin"/>
        </w:r>
        <w:r>
          <w:instrText xml:space="preserve"> PAGEREF _Toc28752 \h </w:instrText>
        </w:r>
        <w:r>
          <w:fldChar w:fldCharType="separate"/>
        </w:r>
        <w:r>
          <w:t>47</w:t>
        </w:r>
        <w:r>
          <w:fldChar w:fldCharType="end"/>
        </w:r>
      </w:hyperlink>
    </w:p>
    <w:p>
      <w:pPr>
        <w:pStyle w:val="TOC2"/>
        <w:tabs>
          <w:tab w:val="right" w:leader="dot" w:pos="8306"/>
        </w:tabs>
      </w:pPr>
      <w:hyperlink w:anchor="_Toc19153" w:history="1">
        <w:r>
          <w:rPr>
            <w:rFonts w:ascii="仿宋" w:eastAsia="仿宋" w:hAnsi="仿宋" w:cs="仿宋" w:hint="eastAsia"/>
            <w:lang w:eastAsia="zh-CN"/>
          </w:rPr>
          <w:t>(一)、风险识别</w:t>
        </w:r>
        <w:r>
          <w:tab/>
        </w:r>
        <w:r>
          <w:fldChar w:fldCharType="begin"/>
        </w:r>
        <w:r>
          <w:instrText xml:space="preserve"> PAGEREF _Toc19153 \h </w:instrText>
        </w:r>
        <w:r>
          <w:fldChar w:fldCharType="separate"/>
        </w:r>
        <w:r>
          <w:t>47</w:t>
        </w:r>
        <w:r>
          <w:fldChar w:fldCharType="end"/>
        </w:r>
      </w:hyperlink>
    </w:p>
    <w:p>
      <w:pPr>
        <w:pStyle w:val="TOC2"/>
        <w:tabs>
          <w:tab w:val="right" w:leader="dot" w:pos="8306"/>
        </w:tabs>
      </w:pPr>
      <w:hyperlink w:anchor="_Toc18033" w:history="1">
        <w:r>
          <w:rPr>
            <w:rFonts w:ascii="仿宋" w:eastAsia="仿宋" w:hAnsi="仿宋" w:cs="仿宋" w:hint="eastAsia"/>
            <w:lang w:eastAsia="zh-CN"/>
          </w:rPr>
          <w:t>(二)、风险分类</w:t>
        </w:r>
        <w:r>
          <w:tab/>
        </w:r>
        <w:r>
          <w:fldChar w:fldCharType="begin"/>
        </w:r>
        <w:r>
          <w:instrText xml:space="preserve"> PAGEREF _Toc18033 \h </w:instrText>
        </w:r>
        <w:r>
          <w:fldChar w:fldCharType="separate"/>
        </w:r>
        <w:r>
          <w:t>48</w:t>
        </w:r>
        <w:r>
          <w:fldChar w:fldCharType="end"/>
        </w:r>
      </w:hyperlink>
    </w:p>
    <w:p>
      <w:pPr>
        <w:pStyle w:val="TOC1"/>
        <w:tabs>
          <w:tab w:val="right" w:leader="dot" w:pos="8306"/>
        </w:tabs>
      </w:pPr>
      <w:hyperlink w:anchor="_Toc12246" w:history="1">
        <w:r>
          <w:rPr>
            <w:rFonts w:ascii="仿宋" w:eastAsia="仿宋" w:hAnsi="仿宋" w:cs="仿宋" w:hint="eastAsia"/>
            <w:lang w:eastAsia="zh-CN"/>
          </w:rPr>
          <w:t>十四、营销与推广策略</w:t>
        </w:r>
        <w:r>
          <w:tab/>
        </w:r>
        <w:r>
          <w:fldChar w:fldCharType="begin"/>
        </w:r>
        <w:r>
          <w:instrText xml:space="preserve"> PAGEREF _Toc12246 \h </w:instrText>
        </w:r>
        <w:r>
          <w:fldChar w:fldCharType="separate"/>
        </w:r>
        <w:r>
          <w:t>50</w:t>
        </w:r>
        <w:r>
          <w:fldChar w:fldCharType="end"/>
        </w:r>
      </w:hyperlink>
    </w:p>
    <w:p>
      <w:pPr>
        <w:pStyle w:val="TOC2"/>
        <w:tabs>
          <w:tab w:val="right" w:leader="dot" w:pos="8306"/>
        </w:tabs>
      </w:pPr>
      <w:hyperlink w:anchor="_Toc9672" w:history="1">
        <w:r>
          <w:rPr>
            <w:rFonts w:ascii="仿宋" w:eastAsia="仿宋" w:hAnsi="仿宋" w:cs="仿宋" w:hint="eastAsia"/>
            <w:lang w:eastAsia="zh-CN"/>
          </w:rPr>
          <w:t>(一)、产品/服务定位与特点</w:t>
        </w:r>
        <w:r>
          <w:tab/>
        </w:r>
        <w:r>
          <w:fldChar w:fldCharType="begin"/>
        </w:r>
        <w:r>
          <w:instrText xml:space="preserve"> PAGEREF _Toc9672 \h </w:instrText>
        </w:r>
        <w:r>
          <w:fldChar w:fldCharType="separate"/>
        </w:r>
        <w:r>
          <w:t>50</w:t>
        </w:r>
        <w:r>
          <w:fldChar w:fldCharType="end"/>
        </w:r>
      </w:hyperlink>
    </w:p>
    <w:p>
      <w:pPr>
        <w:pStyle w:val="TOC2"/>
        <w:tabs>
          <w:tab w:val="right" w:leader="dot" w:pos="8306"/>
        </w:tabs>
      </w:pPr>
      <w:hyperlink w:anchor="_Toc6336" w:history="1">
        <w:r>
          <w:rPr>
            <w:rFonts w:ascii="仿宋" w:eastAsia="仿宋" w:hAnsi="仿宋" w:cs="仿宋" w:hint="eastAsia"/>
            <w:lang w:eastAsia="zh-CN"/>
          </w:rPr>
          <w:t>(二)、市场定位与竞争分析</w:t>
        </w:r>
        <w:r>
          <w:tab/>
        </w:r>
        <w:r>
          <w:fldChar w:fldCharType="begin"/>
        </w:r>
        <w:r>
          <w:instrText xml:space="preserve"> PAGEREF _Toc6336 \h </w:instrText>
        </w:r>
        <w:r>
          <w:fldChar w:fldCharType="separate"/>
        </w:r>
        <w:r>
          <w:t>51</w:t>
        </w:r>
        <w:r>
          <w:fldChar w:fldCharType="end"/>
        </w:r>
      </w:hyperlink>
    </w:p>
    <w:p>
      <w:pPr>
        <w:pStyle w:val="TOC2"/>
        <w:tabs>
          <w:tab w:val="right" w:leader="dot" w:pos="8306"/>
        </w:tabs>
      </w:pPr>
      <w:hyperlink w:anchor="_Toc16354" w:history="1">
        <w:r>
          <w:rPr>
            <w:rFonts w:ascii="仿宋" w:eastAsia="仿宋" w:hAnsi="仿宋" w:cs="仿宋" w:hint="eastAsia"/>
            <w:lang w:eastAsia="zh-CN"/>
          </w:rPr>
          <w:t>(三)、营销渠道与策略</w:t>
        </w:r>
        <w:r>
          <w:tab/>
        </w:r>
        <w:r>
          <w:fldChar w:fldCharType="begin"/>
        </w:r>
        <w:r>
          <w:instrText xml:space="preserve"> PAGEREF _Toc16354 \h </w:instrText>
        </w:r>
        <w:r>
          <w:fldChar w:fldCharType="separate"/>
        </w:r>
        <w:r>
          <w:t>53</w:t>
        </w:r>
        <w:r>
          <w:fldChar w:fldCharType="end"/>
        </w:r>
      </w:hyperlink>
    </w:p>
    <w:p>
      <w:pPr>
        <w:pStyle w:val="TOC2"/>
        <w:tabs>
          <w:tab w:val="right" w:leader="dot" w:pos="8306"/>
        </w:tabs>
      </w:pPr>
      <w:hyperlink w:anchor="_Toc3855" w:history="1">
        <w:r>
          <w:rPr>
            <w:rFonts w:ascii="仿宋" w:eastAsia="仿宋" w:hAnsi="仿宋" w:cs="仿宋" w:hint="eastAsia"/>
            <w:lang w:eastAsia="zh-CN"/>
          </w:rPr>
          <w:t>(四)、推广与宣传活动</w:t>
        </w:r>
        <w:r>
          <w:tab/>
        </w:r>
        <w:r>
          <w:fldChar w:fldCharType="begin"/>
        </w:r>
        <w:r>
          <w:instrText xml:space="preserve"> PAGEREF _Toc3855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85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041"/>
      <w:r>
        <w:rPr>
          <w:rFonts w:ascii="仿宋" w:eastAsia="仿宋" w:hAnsi="仿宋" w:cs="仿宋" w:hint="eastAsia"/>
          <w:lang w:eastAsia="zh-CN"/>
        </w:rPr>
        <w:t>(一)、重组水蛭素单克隆抗体行业分析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行业一直以来都是市场的关注焦点。行业内的发展趋势、竞争态势以及潜在机会都对重组水蛭素单克隆抗体项目的推进产生深远的影响。通过深入研究行业的整体概貌，我们将更好地理解行业的核心特征，为重组水蛭素单克隆抗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重组水蛭素单克隆抗体行业，技术一直是推动创新和发展的关键因素。我们将对当前技术趋势进行详尽分析，包括但不限于人工智能、大数据应用、先进制造技术等。这有助于重组水蛭素单克隆抗体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重组水蛭素单克隆抗体项目成功的基础。我们将对主要竞争对手进行深入研究，包括其市场份额、产品特点、市场定位等。通过全面了解竞争对手的优势和劣势，重组水蛭素单克隆抗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649"/>
      <w:r>
        <w:rPr>
          <w:rFonts w:ascii="仿宋" w:eastAsia="仿宋" w:hAnsi="仿宋" w:cs="仿宋" w:hint="eastAsia"/>
          <w:sz w:val="28"/>
          <w:lang w:eastAsia="zh-CN"/>
        </w:rPr>
        <w:t>(二)、重组水蛭素单克隆抗体市场分析预测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重组水蛭素单克隆抗体市场未来的增长趋势。这包括市场的整体规模、各细分领域的发展趋势等。重组水蛭素单克隆抗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重组水蛭素单克隆抗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重组水蛭素单克隆抗体项目实施过程中需要充分考虑的因素。我们将对市场风险进行全面评估，包括但不限于政策法规风险、市场竞争风险、技术变革风险等。通过对潜在风险的深入分析，重组水蛭素单克隆抗体项目可以制定相应的风险缓解策略，降低不确定性对重组水蛭素单克隆抗体项目的影响。</w:t>
      </w:r>
    </w:p>
    <w:p>
      <w:pPr>
        <w:pStyle w:val="Heading1"/>
        <w:ind w:firstLine="560" w:firstLineChars="200"/>
        <w:rPr>
          <w:rFonts w:ascii="仿宋" w:eastAsia="仿宋" w:hAnsi="仿宋" w:cs="仿宋" w:hint="eastAsia"/>
          <w:sz w:val="28"/>
          <w:lang w:eastAsia="zh-CN"/>
        </w:rPr>
      </w:pPr>
      <w:bookmarkStart w:id="5" w:name="_Toc21563"/>
      <w:r>
        <w:rPr>
          <w:rFonts w:ascii="仿宋" w:eastAsia="仿宋" w:hAnsi="仿宋" w:cs="仿宋" w:hint="eastAsia"/>
          <w:sz w:val="28"/>
          <w:lang w:eastAsia="zh-CN"/>
        </w:rPr>
        <w:t>二、重组水蛭素单克隆抗体项目绩效评估</w:t>
      </w:r>
      <w:bookmarkEnd w:id="5"/>
    </w:p>
    <w:p>
      <w:pPr>
        <w:pStyle w:val="Heading2"/>
        <w:rPr>
          <w:rFonts w:ascii="仿宋" w:eastAsia="仿宋" w:hAnsi="仿宋" w:cs="仿宋" w:hint="eastAsia"/>
          <w:lang w:eastAsia="zh-CN"/>
        </w:rPr>
      </w:pPr>
      <w:bookmarkStart w:id="6" w:name="_Toc200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重组水蛭素单克隆抗体项目中，我们设计了一套全面的绩效评估指标，以确保重组水蛭素单克隆抗体项目的可控和成功交付。这些指标跨足重组水蛭素单克隆抗体项目目标、成本、进度和质量等多个维度，为我们提供了全面洞察重组水蛭素单克隆抗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项目目标达成率是我们关注的首要指标。我们设定了明确的目标，并通过定期监测和评估，迅速发现并应对潜在的目标偏差。这为重组水蛭素单克隆抗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成本绩效是另一个核心关注点。通过实际成本与预算成本的对比分析，我们深入了解成本差异的原因，及时调整资源分配，保持重组水蛭素单克隆抗体项目在经济效益方面的合理水平。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项目进度作为关键的绩效指标之一，得到了精心的关注。我们制定了详细的重组水蛭素单克隆抗体项目进度计划，并设立了进度符合度指标，确保实际进度与计划进度保持一致。这使我们能够快速发现和解决潜在的进度问题，保持重组水蛭素单克隆抗体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重组水蛭素单克隆抗体项目绩效的不可或缺的一环。我们引入了一系列的质量标准和客户满意度指标，以确保重组水蛭素单克隆抗体项目交付的成果在质量上达到或超越预期水平。通过持续监测这些指标，我们努力提升重组水蛭素单克隆抗体项目整体质量水平，为重组水蛭素单克隆抗体项目的成功交付提供有力保障。通过这些科学且全面的绩效评估，我们能够更好地引导重组水蛭素单克隆抗体项目的持续改进，确保重组水蛭素单克隆抗体项目目标的顺利达成。</w:t>
      </w:r>
    </w:p>
    <w:p>
      <w:pPr>
        <w:pStyle w:val="Heading2"/>
        <w:ind w:firstLine="560" w:firstLineChars="200"/>
        <w:rPr>
          <w:rFonts w:ascii="仿宋" w:eastAsia="仿宋" w:hAnsi="仿宋" w:cs="仿宋" w:hint="eastAsia"/>
          <w:sz w:val="28"/>
          <w:lang w:eastAsia="zh-CN"/>
        </w:rPr>
      </w:pPr>
      <w:bookmarkStart w:id="7" w:name="_Toc1649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绩效评估是重组水蛭素单克隆抗体项目中的关键环节，为确保重组水蛭素单克隆抗体项目达到预期目标，我们采用了多层次、多维度的绩效评估方法。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重组水蛭素单克隆抗体项目的战略目标对齐，确保每个决策和行动都与重组水蛭素单克隆抗体项目整体目标保持一致。团队会定期召开战略对齐会议，审视当前工作与重组水蛭素单克隆抗体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重组水蛭素单克隆抗体项目进度、质量、成本和风险等方面。这些指标通过数据收集和分析，为重组水蛭素单克隆抗体项目管理团队提供了客观的评估依据。例如，我们通过重组水蛭素单克隆抗体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重组水蛭素单克隆抗体项目内部，还考虑了重组水蛭素单克隆抗体项目对外部环境的影响。我们定期进行干系人满意度调查，以了解各利益相关方对重组水蛭素单克隆抗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这种多层次、多角度的绩效评估方法，使得我们能够全面了解重组水蛭素单克隆抗体项目的运行状态，及时做出调整，确保重组水蛭素单克隆抗体项目在不断变化的环境中保持稳健前行。</w:t>
      </w:r>
    </w:p>
    <w:p>
      <w:pPr>
        <w:pStyle w:val="Heading2"/>
        <w:ind w:firstLine="560" w:firstLineChars="200"/>
        <w:rPr>
          <w:rFonts w:ascii="仿宋" w:eastAsia="仿宋" w:hAnsi="仿宋" w:cs="仿宋" w:hint="eastAsia"/>
          <w:sz w:val="28"/>
          <w:lang w:eastAsia="zh-CN"/>
        </w:rPr>
      </w:pPr>
      <w:bookmarkStart w:id="8" w:name="_Toc2796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为了确保重组水蛭素单克隆抗体项目的有效管理和不断优化，我们采用了精心设计的绩效评估周期。这个周期旨在实现灵活、实时和全面的评估，以适应重组水蛭素单克隆抗体项目执行中的各种挑战。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重组水蛭素单克隆抗体项目的不同需求，分为短期、中期和长期。短期评估关注每个迭代或工作周期，以及时发现和解决当前任务中的问题。中期评估涵盖几个迭代，深入了解整体重组水蛭素单克隆抗体项目的趋势和性能。长期评估则着眼于整个重组水蛭素单克隆抗体项目阶段，确保重组水蛭素单克隆抗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重组水蛭素单克隆抗体项目管理工具和协作平台，团队成员能够随时更新和分享重组水蛭素单克隆抗体项目数据。这种实时性的反馈机制使我们能够及时察觉潜在问题，快速调整，保持重组水蛭素单克隆抗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重组水蛭素单克隆抗体项目的决策制定密不可分。每个周期的重组水蛭素单克隆抗体项目回顾会议成为集体总结经验、识别问题深层次原因并找到创新解决方案的平台。这种定期的反思与调整机制使重组水蛭素单克隆抗体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2523"/>
      <w:r>
        <w:rPr>
          <w:rFonts w:ascii="仿宋" w:eastAsia="仿宋" w:hAnsi="仿宋" w:cs="仿宋" w:hint="eastAsia"/>
          <w:sz w:val="28"/>
          <w:lang w:eastAsia="zh-CN"/>
        </w:rPr>
        <w:t>三、重组水蛭素单克隆抗体项目选址可行性分析</w:t>
      </w:r>
      <w:bookmarkEnd w:id="9"/>
    </w:p>
    <w:p>
      <w:pPr>
        <w:pStyle w:val="Heading2"/>
        <w:rPr>
          <w:rFonts w:ascii="仿宋" w:eastAsia="仿宋" w:hAnsi="仿宋" w:cs="仿宋" w:hint="eastAsia"/>
          <w:lang w:eastAsia="zh-CN"/>
        </w:rPr>
      </w:pPr>
      <w:bookmarkStart w:id="10" w:name="_Toc23976"/>
      <w:r>
        <w:rPr>
          <w:rFonts w:ascii="仿宋" w:eastAsia="仿宋" w:hAnsi="仿宋" w:cs="仿宋" w:hint="eastAsia"/>
          <w:lang w:eastAsia="zh-CN"/>
        </w:rPr>
        <w:t>(一)、重组水蛭素单克隆抗体项目选址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该重组水蛭素单克隆抗体项目选址位于XX省XX市XX区XXX街道</w:t>
      </w:r>
    </w:p>
    <w:p>
      <w:pPr>
        <w:pStyle w:val="Heading2"/>
        <w:ind w:firstLine="560" w:firstLineChars="200"/>
        <w:rPr>
          <w:rFonts w:ascii="仿宋" w:eastAsia="仿宋" w:hAnsi="仿宋" w:cs="仿宋" w:hint="eastAsia"/>
          <w:sz w:val="28"/>
          <w:lang w:eastAsia="zh-CN"/>
        </w:rPr>
      </w:pPr>
      <w:bookmarkStart w:id="11" w:name="_Toc1163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重组水蛭素单克隆抗体项目的征地面积将根据重组水蛭素单克隆抗体项目的实际规模和需求进行精确规划。具体面积XXX平方米，旨在确保重组水蛭素单克隆抗体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净用地面积是在征地面积基础上去除不可利用面积后的实际可开发用地。具体面积XXX平方米，考虑到环保、交通、安全等多方面因素，以确保重组水蛭素单克隆抗体项目在整体利用效率上达到最优。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重组水蛭素单克隆抗体项目计划建设的建筑总规模具体面积XXX平方米。这一规模的确定综合考虑了重组水蛭素单克隆抗体项目的性质、规模，以及城市规划的相关要求，确保建筑布局与周边环境协调一致。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绿地率是重组水蛭素单克隆抗体项目用地中被规划为绿地的比例。具体面积XXX平方米，旨在通过合理规划绿地，改善重组水蛭素单克隆抗体项目周边环境，提升居民生活质量，并符合城市整体绿化规划。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容积率是用地上可以建设的建筑总体积与用地面积之比。具体面积XXX，通过合理的容积率规划，确保重组水蛭素单克隆抗体项目建筑规模与周边环境和谐共生。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重组水蛭素单克隆抗体项目选址与当地城市规划相一致，具体面积XXX平方米。通过与城市规划部门深入沟通，确保重组水蛭素单克隆抗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重组水蛭素单克隆抗体项目选址符合当地产业政策，具体面积XXX平方米。这包括重组水蛭素单克隆抗体项目对当地经济的促进作用，以及对相关产业的带动效应，确保重组水蛭素单克隆抗体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重组水蛭素单克隆抗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确保重组水蛭素单克隆抗体项目选址具备必要的公共设施配套，具体面积XXX平方米。这包括交通便利性、教育、医疗等基础设施，以提高居民生活品质，使得重组水蛭素单克隆抗体项目选址更具吸引力。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考虑用地总体要求对当地社会稳定性的影响，具体面积XXX平方米。通过深入了解当地社区反馈，确保重组水蛭素单克隆抗体项目的选址和建设过程对当地社会和谐稳定产生积极作用。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重组水蛭素单克隆抗体项目选址不仅符合法规和规划，还在实际操作中具有可行性。这一全面规划将为重组水蛭素单克隆抗体项目的成功实施提供坚实的基础，确保重组水蛭素单克隆抗体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736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重组水蛭素单克隆抗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重组水蛭素单克隆抗体项目的设备规划和空间设计中，我们将采取灵活设备布局的措施。设备布局将根据实际需求进行灵活设计，避免不必要的浪费。通过合理规划设备摆放位置，我们将提高设备的利用率，减少设备间距，以确保重组水蛭素单克隆抗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进一步，我们计划在重组水蛭素单克隆抗体项目内部引入共享设施的概念，例如共享会议室、办公区等。通过这种方式，我们可以减少对资源的重复建设，提高资源共享效率，从而减小重组水蛭素单克隆抗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6267"/>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重组水蛭素单克隆抗体项目的总图布置中，我们将不同功能区域进行明确的规划，以最大程度满足重组水蛭素单克隆抗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620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重组水蛭素单克隆抗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重组水蛭素单克隆抗体项目对环境的影响是综合评价的重要因素之一。我们将详细考虑选址周边的自然环境、生态保护区、水源地等情况，确保重组水蛭素单克隆抗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对选址的评价还需充分考虑当地政府的产业政策和法规。我们将详细了解重组水蛭素单克隆抗体项目所在地的相关政策，确保重组水蛭素单克隆抗体项目的规划和运营与当地法规相符，降低不必要的法律风险。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考虑到社会稳定性对企业运营的重要性，我们将评估选址地区的社会安全情况、劳工关系、社区反馈等方面，以确保重组水蛭素单克隆抗体项目的建设和运营不会受到社会稳定性的负面影响。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最后，我们将综合考虑用地成本，包括土地购置费用、土地开发成本等。通过对用地成本的详细评估，我们能够做出更为精确的经济效益分析，为重组水蛭素单克隆抗体项目的投资决策提供有力支持。</w:t>
      </w:r>
    </w:p>
    <w:p>
      <w:pPr>
        <w:pStyle w:val="Heading1"/>
        <w:ind w:firstLine="560" w:firstLineChars="200"/>
        <w:rPr>
          <w:rFonts w:ascii="仿宋" w:eastAsia="仿宋" w:hAnsi="仿宋" w:cs="仿宋" w:hint="eastAsia"/>
          <w:sz w:val="28"/>
          <w:lang w:eastAsia="zh-CN"/>
        </w:rPr>
      </w:pPr>
      <w:bookmarkStart w:id="15" w:name="_Toc4131"/>
      <w:r>
        <w:rPr>
          <w:rFonts w:ascii="仿宋" w:eastAsia="仿宋" w:hAnsi="仿宋" w:cs="仿宋" w:hint="eastAsia"/>
          <w:sz w:val="28"/>
          <w:lang w:eastAsia="zh-CN"/>
        </w:rPr>
        <w:t>四、重组水蛭素单克隆抗体项目文档管理</w:t>
      </w:r>
      <w:bookmarkEnd w:id="15"/>
    </w:p>
    <w:p>
      <w:pPr>
        <w:pStyle w:val="Heading2"/>
        <w:rPr>
          <w:rFonts w:ascii="仿宋" w:eastAsia="仿宋" w:hAnsi="仿宋" w:cs="仿宋" w:hint="eastAsia"/>
          <w:lang w:eastAsia="zh-CN"/>
        </w:rPr>
      </w:pPr>
      <w:bookmarkStart w:id="16" w:name="_Toc12702"/>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重组水蛭素单克隆抗体项目高度重视文档的质量和准确性，以支持重组水蛭素单克隆抗体项目的各项活动和决策。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项目文档的编制始于重组水蛭素单克隆抗体项目计划的初期，我们制定了详细的文档编制计划，明确了每个文档的内容、格式和编写责任人。在重组水蛭素单克隆抗体项目启动阶段，我们首先编制了重组水蛭素单克隆抗体项目章程，明确定义了重组水蛭素单克隆抗体项目的目标、范围、风险等关键要素。随后，重组水蛭素单克隆抗体项目团队根据计划陆续编制了需求文档、设计文档、测试文档等各类文档，确保重组水蛭素单克隆抗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重组水蛭素单克隆抗体项目管理中的重要环节，旨在确保重组水蛭素单克隆抗体项目文档符合质量标准和重组水蛭素单克隆抗体项目需求。在重组水蛭素单克隆抗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重组水蛭素单克隆抗体项目相关利益方和专业领域的专家对文档进行独立审查。这有助于获取更全面、客观的反馈，确保重组水蛭素单克隆抗体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水蛭素单克隆抗体项目在文档编制与审查方面建立了严格的管理机制，通过规范的流程和多维度的审查，确保重组水蛭素单克隆抗体项目文档的质量、准确性和可靠性，为重组水蛭素单克隆抗体项目的顺利推进提供了有力支持。</w:t>
      </w:r>
    </w:p>
    <w:p>
      <w:pPr>
        <w:pStyle w:val="Heading2"/>
        <w:ind w:firstLine="560" w:firstLineChars="200"/>
        <w:rPr>
          <w:rFonts w:ascii="仿宋" w:eastAsia="仿宋" w:hAnsi="仿宋" w:cs="仿宋" w:hint="eastAsia"/>
          <w:sz w:val="28"/>
          <w:lang w:eastAsia="zh-CN"/>
        </w:rPr>
      </w:pPr>
      <w:bookmarkStart w:id="17" w:name="_Toc9623"/>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在重组水蛭素单克隆抗体项目中，我们致力于优化文档发布与分发过程，以确保信息的高效传递和团队间协作的顺畅进行。以下是我们采取的关键优化策略：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我们通过多渠道发布文档，包括电子邮件、重组水蛭素单克隆抗体项目管理平台、内部网站等，以满足不同团队成员的偏好和需求。多渠道发布确保了信息的全面覆盖。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我们采用了精细的权限控制，确保只有授权人员可以访问敏感信息。这种安全措施保护了重组水蛭素单克隆抗体项目文档的机密性，防止了未经授权的信息泄露。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9372"/>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重组水蛭素单克隆抗体项目生命周期中一个至关重要的环节，直接关系到重组水蛭素单克隆抗体项目信息的长期保存和历史记录的完整性。在重组水蛭素单克隆抗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https://d.book118.com/987162155135006052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重组水蛭素单克隆抗体项目规划设计纲要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144DB"/>
    <w:rsid w:val="7E0144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6215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2024-03-02T21:07:00Z</dcterms:created>
  <dcterms:modified xsi:type="dcterms:W3CDTF">2024-03-02T21:08:11Z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FE74B324F15B43DEB6E6A21AA8B3C5DB_11</vt:lpwstr>
  </property>
  <property fmtid="{D5CDD505-2E9C-101B-9397-08002B2CF9AE}" pid="3" name="KSOProductBuildVer">
    <vt:lpwstr>2052-12.1.0.16388</vt:lpwstr>
  </property>
</Properties>
</file>