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85CB2" w14:paraId="45FD9E23" w14:textId="77777777">
      <w:pPr>
        <w:jc w:val="center"/>
        <w:rPr>
          <w:rFonts w:ascii="宋体" w:hAnsi="宋体"/>
          <w:b/>
          <w:sz w:val="32"/>
          <w:szCs w:val="32"/>
        </w:rPr>
      </w:pPr>
    </w:p>
    <w:p w:rsidR="00F85CB2" w14:paraId="2DA87AF5" w14:textId="77777777">
      <w:pPr>
        <w:jc w:val="center"/>
        <w:rPr>
          <w:rFonts w:ascii="宋体" w:hAnsi="宋体"/>
          <w:b/>
          <w:sz w:val="32"/>
          <w:szCs w:val="32"/>
        </w:rPr>
      </w:pPr>
      <w:r>
        <w:rPr>
          <w:rFonts w:ascii="宋体" w:hAnsi="宋体" w:hint="eastAsia"/>
          <w:b/>
          <w:sz w:val="32"/>
          <w:szCs w:val="32"/>
        </w:rPr>
        <w:t>泛光照明工程技术要求</w:t>
      </w:r>
    </w:p>
    <w:p w:rsidR="00F85CB2" w14:paraId="3381E577" w14:textId="77777777">
      <w:pPr>
        <w:jc w:val="center"/>
        <w:rPr>
          <w:rFonts w:ascii="宋体" w:hAnsi="宋体"/>
          <w:b/>
          <w:sz w:val="52"/>
          <w:szCs w:val="52"/>
        </w:rPr>
      </w:pPr>
    </w:p>
    <w:p w:rsidR="00F85CB2" w14:paraId="194CE59E" w14:textId="77777777">
      <w:pPr>
        <w:jc w:val="center"/>
        <w:rPr>
          <w:rFonts w:ascii="宋体" w:hAnsi="宋体"/>
          <w:b/>
          <w:sz w:val="52"/>
          <w:szCs w:val="52"/>
        </w:rPr>
      </w:pPr>
    </w:p>
    <w:p w:rsidR="00F85CB2" w14:paraId="36119AA4" w14:textId="77777777">
      <w:pPr>
        <w:spacing w:line="360" w:lineRule="auto"/>
        <w:ind w:left="420" w:right="420" w:leftChars="200" w:rightChars="200"/>
        <w:jc w:val="left"/>
        <w:rPr>
          <w:rFonts w:ascii="宋体" w:hAnsi="宋体"/>
          <w:bCs/>
          <w:sz w:val="24"/>
          <w:szCs w:val="24"/>
        </w:rPr>
      </w:pPr>
      <w:r>
        <w:rPr>
          <w:rFonts w:ascii="宋体" w:hAnsi="宋体" w:hint="eastAsia"/>
          <w:bCs/>
          <w:sz w:val="24"/>
          <w:szCs w:val="24"/>
        </w:rPr>
        <w:t>一、</w:t>
      </w:r>
      <w:r>
        <w:rPr>
          <w:rFonts w:ascii="宋体" w:hAnsi="宋体"/>
          <w:bCs/>
          <w:sz w:val="24"/>
          <w:szCs w:val="24"/>
        </w:rPr>
        <w:t>一般技术要求</w:t>
      </w:r>
    </w:p>
    <w:p w:rsidR="00F85CB2" w14:paraId="5C6660EA" w14:textId="77777777">
      <w:pPr>
        <w:spacing w:line="360" w:lineRule="auto"/>
        <w:ind w:left="420" w:right="420" w:leftChars="200" w:rightChars="200"/>
        <w:jc w:val="left"/>
        <w:rPr>
          <w:rFonts w:ascii="宋体" w:hAnsi="宋体"/>
          <w:bCs/>
          <w:sz w:val="24"/>
          <w:szCs w:val="24"/>
        </w:rPr>
      </w:pPr>
      <w:r>
        <w:rPr>
          <w:rFonts w:ascii="宋体" w:hAnsi="宋体" w:hint="eastAsia"/>
          <w:bCs/>
          <w:sz w:val="24"/>
          <w:szCs w:val="24"/>
        </w:rPr>
        <w:t>1.</w:t>
      </w:r>
      <w:r>
        <w:rPr>
          <w:rFonts w:ascii="宋体" w:hAnsi="宋体"/>
          <w:bCs/>
          <w:sz w:val="24"/>
          <w:szCs w:val="24"/>
        </w:rPr>
        <w:t>1、</w:t>
      </w:r>
      <w:r>
        <w:rPr>
          <w:rFonts w:ascii="宋体" w:hAnsi="宋体"/>
          <w:bCs/>
          <w:sz w:val="24"/>
          <w:szCs w:val="24"/>
        </w:rPr>
        <w:tab/>
        <w:t>相关标准</w:t>
      </w:r>
    </w:p>
    <w:p w:rsidR="00F85CB2" w14:paraId="5EA0DAF4" w14:textId="77777777">
      <w:pPr>
        <w:spacing w:line="360" w:lineRule="auto"/>
        <w:ind w:left="420" w:right="420" w:leftChars="200" w:rightChars="200"/>
        <w:jc w:val="left"/>
        <w:rPr>
          <w:rFonts w:ascii="宋体" w:hAnsi="宋体"/>
          <w:bCs/>
          <w:sz w:val="24"/>
          <w:szCs w:val="24"/>
        </w:rPr>
      </w:pPr>
      <w:r>
        <w:rPr>
          <w:rFonts w:ascii="宋体" w:hAnsi="宋体" w:hint="eastAsia"/>
          <w:bCs/>
          <w:sz w:val="24"/>
          <w:szCs w:val="24"/>
        </w:rPr>
        <w:t>1.</w:t>
      </w:r>
      <w:r>
        <w:rPr>
          <w:rFonts w:ascii="宋体" w:hAnsi="宋体"/>
          <w:bCs/>
          <w:sz w:val="24"/>
          <w:szCs w:val="24"/>
        </w:rPr>
        <w:t>2、</w:t>
      </w:r>
      <w:r>
        <w:rPr>
          <w:rFonts w:ascii="宋体" w:hAnsi="宋体"/>
          <w:bCs/>
          <w:sz w:val="24"/>
          <w:szCs w:val="24"/>
        </w:rPr>
        <w:tab/>
        <w:t>当地环境条件</w:t>
      </w:r>
    </w:p>
    <w:p w:rsidR="00F85CB2" w14:paraId="5BFCBCB3" w14:textId="77777777">
      <w:pPr>
        <w:spacing w:line="360" w:lineRule="auto"/>
        <w:ind w:left="420" w:right="420" w:leftChars="200" w:rightChars="200"/>
        <w:jc w:val="left"/>
        <w:rPr>
          <w:rFonts w:ascii="宋体" w:hAnsi="宋体"/>
          <w:bCs/>
          <w:sz w:val="24"/>
          <w:szCs w:val="24"/>
        </w:rPr>
      </w:pPr>
      <w:r>
        <w:rPr>
          <w:rFonts w:ascii="宋体" w:hAnsi="宋体" w:hint="eastAsia"/>
          <w:bCs/>
          <w:sz w:val="24"/>
          <w:szCs w:val="24"/>
        </w:rPr>
        <w:t>1.</w:t>
      </w:r>
      <w:r>
        <w:rPr>
          <w:rFonts w:ascii="宋体" w:hAnsi="宋体"/>
          <w:bCs/>
          <w:sz w:val="24"/>
          <w:szCs w:val="24"/>
        </w:rPr>
        <w:t>3、</w:t>
      </w:r>
      <w:r>
        <w:rPr>
          <w:rFonts w:ascii="宋体" w:hAnsi="宋体"/>
          <w:bCs/>
          <w:sz w:val="24"/>
          <w:szCs w:val="24"/>
        </w:rPr>
        <w:tab/>
        <w:t>物料的储存及保管</w:t>
      </w:r>
    </w:p>
    <w:p w:rsidR="00F85CB2" w14:paraId="09DFF4C0" w14:textId="77777777">
      <w:pPr>
        <w:spacing w:line="360" w:lineRule="auto"/>
        <w:ind w:left="420" w:right="420" w:leftChars="200" w:rightChars="200"/>
        <w:jc w:val="left"/>
        <w:rPr>
          <w:rFonts w:ascii="宋体" w:hAnsi="宋体"/>
          <w:bCs/>
          <w:sz w:val="24"/>
          <w:szCs w:val="24"/>
        </w:rPr>
      </w:pPr>
      <w:r>
        <w:rPr>
          <w:rFonts w:ascii="宋体" w:hAnsi="宋体" w:hint="eastAsia"/>
          <w:bCs/>
          <w:sz w:val="24"/>
          <w:szCs w:val="24"/>
        </w:rPr>
        <w:t>1.</w:t>
      </w:r>
      <w:r>
        <w:rPr>
          <w:rFonts w:ascii="宋体" w:hAnsi="宋体"/>
          <w:bCs/>
          <w:sz w:val="24"/>
          <w:szCs w:val="24"/>
        </w:rPr>
        <w:t>4、</w:t>
      </w:r>
      <w:r>
        <w:rPr>
          <w:rFonts w:ascii="宋体" w:hAnsi="宋体"/>
          <w:bCs/>
          <w:sz w:val="24"/>
          <w:szCs w:val="24"/>
        </w:rPr>
        <w:tab/>
      </w:r>
      <w:r>
        <w:rPr>
          <w:rFonts w:ascii="宋体" w:hAnsi="宋体" w:hint="eastAsia"/>
          <w:bCs/>
          <w:sz w:val="24"/>
          <w:szCs w:val="24"/>
        </w:rPr>
        <w:t>询价</w:t>
      </w:r>
      <w:r>
        <w:rPr>
          <w:rFonts w:ascii="宋体" w:hAnsi="宋体"/>
          <w:bCs/>
          <w:sz w:val="24"/>
          <w:szCs w:val="24"/>
        </w:rPr>
        <w:t>图纸与深化设计</w:t>
      </w:r>
    </w:p>
    <w:p w:rsidR="00F85CB2" w14:paraId="6FBD156E" w14:textId="77777777">
      <w:pPr>
        <w:spacing w:line="360" w:lineRule="auto"/>
        <w:ind w:left="420" w:right="420" w:leftChars="200" w:rightChars="200"/>
        <w:jc w:val="left"/>
        <w:rPr>
          <w:rFonts w:ascii="宋体" w:hAnsi="宋体"/>
          <w:bCs/>
          <w:sz w:val="24"/>
          <w:szCs w:val="24"/>
        </w:rPr>
      </w:pPr>
      <w:r>
        <w:rPr>
          <w:rFonts w:ascii="宋体" w:hAnsi="宋体" w:hint="eastAsia"/>
          <w:bCs/>
          <w:sz w:val="24"/>
          <w:szCs w:val="24"/>
        </w:rPr>
        <w:t>1.</w:t>
      </w:r>
      <w:r>
        <w:rPr>
          <w:rFonts w:ascii="宋体" w:hAnsi="宋体"/>
          <w:bCs/>
          <w:sz w:val="24"/>
          <w:szCs w:val="24"/>
        </w:rPr>
        <w:t>5、</w:t>
      </w:r>
      <w:r>
        <w:rPr>
          <w:rFonts w:ascii="宋体" w:hAnsi="宋体"/>
          <w:bCs/>
          <w:sz w:val="24"/>
          <w:szCs w:val="24"/>
        </w:rPr>
        <w:tab/>
        <w:t>竣工图纸</w:t>
      </w:r>
    </w:p>
    <w:p w:rsidR="00F85CB2" w14:paraId="43EC1931" w14:textId="77777777">
      <w:pPr>
        <w:spacing w:line="360" w:lineRule="auto"/>
        <w:ind w:left="420" w:right="420" w:leftChars="200" w:rightChars="200"/>
        <w:jc w:val="left"/>
        <w:rPr>
          <w:rFonts w:ascii="宋体" w:hAnsi="宋体"/>
          <w:bCs/>
          <w:sz w:val="24"/>
          <w:szCs w:val="24"/>
        </w:rPr>
      </w:pPr>
      <w:r>
        <w:rPr>
          <w:rFonts w:ascii="宋体" w:hAnsi="宋体" w:hint="eastAsia"/>
          <w:bCs/>
          <w:sz w:val="24"/>
          <w:szCs w:val="24"/>
        </w:rPr>
        <w:t>1.</w:t>
      </w:r>
      <w:r>
        <w:rPr>
          <w:rFonts w:ascii="宋体" w:hAnsi="宋体"/>
          <w:bCs/>
          <w:sz w:val="24"/>
          <w:szCs w:val="24"/>
        </w:rPr>
        <w:t>6、</w:t>
      </w:r>
      <w:r>
        <w:rPr>
          <w:rFonts w:ascii="宋体" w:hAnsi="宋体"/>
          <w:bCs/>
          <w:sz w:val="24"/>
          <w:szCs w:val="24"/>
        </w:rPr>
        <w:tab/>
        <w:t>工程进度计划表</w:t>
      </w:r>
    </w:p>
    <w:p w:rsidR="00F85CB2" w14:paraId="538F4CEF" w14:textId="77777777">
      <w:pPr>
        <w:spacing w:line="360" w:lineRule="auto"/>
        <w:ind w:left="420" w:right="420" w:leftChars="200" w:rightChars="200"/>
        <w:jc w:val="left"/>
        <w:rPr>
          <w:rFonts w:ascii="宋体" w:hAnsi="宋体"/>
          <w:bCs/>
          <w:sz w:val="24"/>
          <w:szCs w:val="24"/>
        </w:rPr>
      </w:pPr>
      <w:r>
        <w:rPr>
          <w:rFonts w:ascii="宋体" w:hAnsi="宋体" w:hint="eastAsia"/>
          <w:bCs/>
          <w:sz w:val="24"/>
          <w:szCs w:val="24"/>
        </w:rPr>
        <w:t>1.</w:t>
      </w:r>
      <w:r>
        <w:rPr>
          <w:rFonts w:ascii="宋体" w:hAnsi="宋体"/>
          <w:bCs/>
          <w:sz w:val="24"/>
          <w:szCs w:val="24"/>
        </w:rPr>
        <w:t>7、</w:t>
      </w:r>
      <w:r>
        <w:rPr>
          <w:rFonts w:ascii="宋体" w:hAnsi="宋体"/>
          <w:bCs/>
          <w:sz w:val="24"/>
          <w:szCs w:val="24"/>
        </w:rPr>
        <w:tab/>
        <w:t>安全施工组织架构</w:t>
      </w:r>
    </w:p>
    <w:p w:rsidR="00F85CB2" w14:paraId="3B874863" w14:textId="77777777">
      <w:pPr>
        <w:spacing w:line="360" w:lineRule="auto"/>
        <w:ind w:left="420" w:right="420" w:leftChars="200" w:rightChars="200"/>
        <w:jc w:val="left"/>
        <w:rPr>
          <w:rFonts w:ascii="宋体" w:hAnsi="宋体"/>
          <w:bCs/>
          <w:sz w:val="24"/>
          <w:szCs w:val="24"/>
        </w:rPr>
      </w:pPr>
      <w:r>
        <w:rPr>
          <w:rFonts w:ascii="宋体" w:hAnsi="宋体" w:hint="eastAsia"/>
          <w:bCs/>
          <w:sz w:val="24"/>
          <w:szCs w:val="24"/>
        </w:rPr>
        <w:t>1.</w:t>
      </w:r>
      <w:r>
        <w:rPr>
          <w:rFonts w:ascii="宋体" w:hAnsi="宋体"/>
          <w:bCs/>
          <w:sz w:val="24"/>
          <w:szCs w:val="24"/>
        </w:rPr>
        <w:t>8、</w:t>
      </w:r>
      <w:r>
        <w:rPr>
          <w:rFonts w:ascii="宋体" w:hAnsi="宋体"/>
          <w:bCs/>
          <w:sz w:val="24"/>
          <w:szCs w:val="24"/>
        </w:rPr>
        <w:tab/>
        <w:t>竣工证书</w:t>
      </w:r>
    </w:p>
    <w:p w:rsidR="00F85CB2" w14:paraId="4FF0D674" w14:textId="77777777">
      <w:pPr>
        <w:spacing w:line="360" w:lineRule="auto"/>
        <w:ind w:left="420" w:right="420" w:leftChars="200" w:rightChars="200"/>
        <w:jc w:val="left"/>
        <w:rPr>
          <w:rFonts w:ascii="宋体" w:hAnsi="宋体"/>
          <w:bCs/>
          <w:sz w:val="24"/>
          <w:szCs w:val="24"/>
        </w:rPr>
      </w:pPr>
      <w:r>
        <w:rPr>
          <w:rFonts w:ascii="宋体" w:hAnsi="宋体" w:hint="eastAsia"/>
          <w:bCs/>
          <w:sz w:val="24"/>
          <w:szCs w:val="24"/>
        </w:rPr>
        <w:t>1.</w:t>
      </w:r>
      <w:r>
        <w:rPr>
          <w:rFonts w:ascii="宋体" w:hAnsi="宋体"/>
          <w:bCs/>
          <w:sz w:val="24"/>
          <w:szCs w:val="24"/>
        </w:rPr>
        <w:t>9、</w:t>
      </w:r>
      <w:r>
        <w:rPr>
          <w:rFonts w:ascii="宋体" w:hAnsi="宋体"/>
          <w:bCs/>
          <w:sz w:val="24"/>
          <w:szCs w:val="24"/>
        </w:rPr>
        <w:tab/>
        <w:t>质量管理</w:t>
      </w:r>
    </w:p>
    <w:p w:rsidR="00F85CB2" w14:paraId="65600DD5" w14:textId="77777777">
      <w:pPr>
        <w:spacing w:line="360" w:lineRule="auto"/>
        <w:ind w:left="420" w:right="420" w:leftChars="200" w:rightChars="200"/>
        <w:jc w:val="left"/>
        <w:rPr>
          <w:rFonts w:ascii="宋体" w:hAnsi="宋体"/>
          <w:bCs/>
          <w:sz w:val="24"/>
          <w:szCs w:val="24"/>
        </w:rPr>
      </w:pPr>
      <w:r>
        <w:rPr>
          <w:rFonts w:ascii="宋体" w:hAnsi="宋体" w:hint="eastAsia"/>
          <w:bCs/>
          <w:sz w:val="24"/>
          <w:szCs w:val="24"/>
        </w:rPr>
        <w:t>1.</w:t>
      </w:r>
      <w:r>
        <w:rPr>
          <w:rFonts w:ascii="宋体" w:hAnsi="宋体"/>
          <w:bCs/>
          <w:sz w:val="24"/>
          <w:szCs w:val="24"/>
        </w:rPr>
        <w:t>10、竣工前系统之使用</w:t>
      </w:r>
    </w:p>
    <w:p w:rsidR="00F85CB2" w14:paraId="30FFA196" w14:textId="77777777">
      <w:pPr>
        <w:spacing w:line="360" w:lineRule="auto"/>
        <w:ind w:left="420" w:right="420" w:leftChars="200" w:rightChars="200"/>
        <w:jc w:val="left"/>
        <w:rPr>
          <w:rFonts w:ascii="宋体" w:hAnsi="宋体"/>
          <w:bCs/>
          <w:sz w:val="24"/>
          <w:szCs w:val="24"/>
        </w:rPr>
      </w:pPr>
      <w:r>
        <w:rPr>
          <w:rFonts w:ascii="宋体" w:hAnsi="宋体" w:hint="eastAsia"/>
          <w:bCs/>
          <w:sz w:val="24"/>
          <w:szCs w:val="24"/>
        </w:rPr>
        <w:t>1.</w:t>
      </w:r>
      <w:r>
        <w:rPr>
          <w:rFonts w:ascii="宋体" w:hAnsi="宋体"/>
          <w:bCs/>
          <w:sz w:val="24"/>
          <w:szCs w:val="24"/>
        </w:rPr>
        <w:t>11、缺陷处理</w:t>
      </w:r>
    </w:p>
    <w:p w:rsidR="00F85CB2" w14:paraId="59E6BEF9" w14:textId="77777777">
      <w:pPr>
        <w:spacing w:line="360" w:lineRule="auto"/>
        <w:ind w:left="420" w:right="420" w:leftChars="200" w:rightChars="200"/>
        <w:jc w:val="left"/>
        <w:rPr>
          <w:rFonts w:ascii="宋体" w:hAnsi="宋体"/>
          <w:bCs/>
          <w:sz w:val="24"/>
          <w:szCs w:val="24"/>
        </w:rPr>
      </w:pPr>
      <w:r>
        <w:rPr>
          <w:rFonts w:ascii="宋体" w:hAnsi="宋体" w:hint="eastAsia"/>
          <w:bCs/>
          <w:sz w:val="24"/>
          <w:szCs w:val="24"/>
        </w:rPr>
        <w:t>1.</w:t>
      </w:r>
      <w:r>
        <w:rPr>
          <w:rFonts w:ascii="宋体" w:hAnsi="宋体"/>
          <w:bCs/>
          <w:sz w:val="24"/>
          <w:szCs w:val="24"/>
        </w:rPr>
        <w:t>12、操作和维修保养手册</w:t>
      </w:r>
    </w:p>
    <w:p w:rsidR="00F85CB2" w14:paraId="04393B3D" w14:textId="77777777">
      <w:pPr>
        <w:spacing w:line="360" w:lineRule="auto"/>
        <w:ind w:left="420" w:right="420" w:leftChars="200" w:rightChars="200"/>
        <w:jc w:val="left"/>
        <w:rPr>
          <w:rFonts w:ascii="宋体" w:hAnsi="宋体"/>
          <w:bCs/>
          <w:sz w:val="24"/>
          <w:szCs w:val="24"/>
        </w:rPr>
      </w:pPr>
      <w:r>
        <w:rPr>
          <w:rFonts w:ascii="宋体" w:hAnsi="宋体" w:hint="eastAsia"/>
          <w:bCs/>
          <w:sz w:val="24"/>
          <w:szCs w:val="24"/>
        </w:rPr>
        <w:t>1.</w:t>
      </w:r>
      <w:r>
        <w:rPr>
          <w:rFonts w:ascii="宋体" w:hAnsi="宋体"/>
          <w:bCs/>
          <w:sz w:val="24"/>
          <w:szCs w:val="24"/>
        </w:rPr>
        <w:t>13、缺陷责任期、维保期</w:t>
      </w:r>
    </w:p>
    <w:p w:rsidR="00F85CB2" w14:paraId="22A25267" w14:textId="77777777">
      <w:pPr>
        <w:spacing w:line="360" w:lineRule="auto"/>
        <w:ind w:left="420" w:right="420" w:leftChars="200" w:rightChars="200"/>
        <w:jc w:val="left"/>
        <w:rPr>
          <w:rFonts w:ascii="宋体" w:hAnsi="宋体"/>
          <w:bCs/>
          <w:sz w:val="24"/>
          <w:szCs w:val="24"/>
        </w:rPr>
      </w:pPr>
      <w:r>
        <w:rPr>
          <w:rFonts w:ascii="宋体" w:hAnsi="宋体" w:hint="eastAsia"/>
          <w:bCs/>
          <w:sz w:val="24"/>
          <w:szCs w:val="24"/>
        </w:rPr>
        <w:t>1.</w:t>
      </w:r>
      <w:r>
        <w:rPr>
          <w:rFonts w:ascii="宋体" w:hAnsi="宋体"/>
          <w:bCs/>
          <w:sz w:val="24"/>
          <w:szCs w:val="24"/>
        </w:rPr>
        <w:t>14、人员的培训</w:t>
      </w:r>
    </w:p>
    <w:p w:rsidR="00F85CB2" w14:paraId="483FF895" w14:textId="77777777">
      <w:pPr>
        <w:spacing w:line="360" w:lineRule="auto"/>
        <w:ind w:left="420" w:right="420" w:leftChars="200" w:rightChars="200"/>
        <w:jc w:val="left"/>
        <w:rPr>
          <w:rFonts w:ascii="宋体" w:hAnsi="宋体"/>
          <w:bCs/>
          <w:sz w:val="24"/>
          <w:szCs w:val="24"/>
        </w:rPr>
      </w:pPr>
      <w:r>
        <w:rPr>
          <w:rFonts w:ascii="宋体" w:hAnsi="宋体" w:hint="eastAsia"/>
          <w:bCs/>
          <w:sz w:val="24"/>
          <w:szCs w:val="24"/>
        </w:rPr>
        <w:t>二、泛光照明系统要求</w:t>
      </w:r>
    </w:p>
    <w:p w:rsidR="00F85CB2" w14:paraId="59304AB0" w14:textId="77777777">
      <w:pPr>
        <w:spacing w:line="360" w:lineRule="auto"/>
        <w:ind w:left="420" w:right="420" w:leftChars="200" w:rightChars="200"/>
        <w:jc w:val="left"/>
        <w:rPr>
          <w:rFonts w:ascii="宋体" w:hAnsi="宋体"/>
          <w:bCs/>
          <w:sz w:val="24"/>
          <w:szCs w:val="24"/>
        </w:rPr>
      </w:pPr>
      <w:r>
        <w:rPr>
          <w:rFonts w:ascii="宋体" w:hAnsi="宋体" w:hint="eastAsia"/>
          <w:bCs/>
          <w:sz w:val="24"/>
          <w:szCs w:val="24"/>
        </w:rPr>
        <w:t>2.</w:t>
      </w:r>
      <w:r>
        <w:rPr>
          <w:rFonts w:ascii="宋体" w:hAnsi="宋体"/>
          <w:bCs/>
          <w:sz w:val="24"/>
          <w:szCs w:val="24"/>
        </w:rPr>
        <w:t>1、灯具</w:t>
      </w:r>
      <w:r>
        <w:rPr>
          <w:rFonts w:ascii="宋体" w:hAnsi="宋体" w:hint="eastAsia"/>
          <w:bCs/>
          <w:sz w:val="24"/>
          <w:szCs w:val="24"/>
        </w:rPr>
        <w:t>部分</w:t>
      </w:r>
    </w:p>
    <w:p w:rsidR="00F85CB2" w14:paraId="2CAE249F" w14:textId="77777777">
      <w:pPr>
        <w:spacing w:line="360" w:lineRule="auto"/>
        <w:ind w:left="420" w:right="420" w:leftChars="200" w:rightChars="200"/>
        <w:jc w:val="left"/>
        <w:rPr>
          <w:rFonts w:ascii="宋体" w:hAnsi="宋体"/>
          <w:bCs/>
          <w:sz w:val="24"/>
          <w:szCs w:val="24"/>
        </w:rPr>
      </w:pPr>
      <w:r>
        <w:rPr>
          <w:rFonts w:ascii="宋体" w:hAnsi="宋体" w:hint="eastAsia"/>
          <w:bCs/>
          <w:sz w:val="24"/>
          <w:szCs w:val="24"/>
        </w:rPr>
        <w:t>2.</w:t>
      </w:r>
      <w:r>
        <w:rPr>
          <w:rFonts w:ascii="宋体" w:hAnsi="宋体"/>
          <w:bCs/>
          <w:sz w:val="24"/>
          <w:szCs w:val="24"/>
        </w:rPr>
        <w:t>2、配电系统</w:t>
      </w:r>
    </w:p>
    <w:p w:rsidR="00F85CB2" w14:paraId="2FBFA3B5" w14:textId="77777777">
      <w:pPr>
        <w:spacing w:line="360" w:lineRule="auto"/>
        <w:ind w:left="420" w:right="420" w:leftChars="200" w:rightChars="200"/>
        <w:jc w:val="left"/>
        <w:rPr>
          <w:rFonts w:ascii="宋体" w:hAnsi="宋体"/>
          <w:bCs/>
          <w:sz w:val="24"/>
          <w:szCs w:val="24"/>
        </w:rPr>
      </w:pPr>
      <w:r>
        <w:rPr>
          <w:rFonts w:ascii="宋体" w:hAnsi="宋体" w:hint="eastAsia"/>
          <w:bCs/>
          <w:sz w:val="24"/>
          <w:szCs w:val="24"/>
        </w:rPr>
        <w:t>2.</w:t>
      </w:r>
      <w:r>
        <w:rPr>
          <w:rFonts w:ascii="宋体" w:hAnsi="宋体"/>
          <w:bCs/>
          <w:sz w:val="24"/>
          <w:szCs w:val="24"/>
        </w:rPr>
        <w:t>3、控制系统</w:t>
      </w:r>
    </w:p>
    <w:p w:rsidR="00F85CB2" w14:paraId="65F81637" w14:textId="77777777">
      <w:pPr>
        <w:spacing w:line="360" w:lineRule="auto"/>
        <w:ind w:left="420" w:right="420" w:leftChars="200" w:rightChars="200"/>
        <w:jc w:val="left"/>
        <w:rPr>
          <w:rFonts w:ascii="宋体" w:hAnsi="宋体"/>
          <w:bCs/>
          <w:sz w:val="24"/>
          <w:szCs w:val="24"/>
        </w:rPr>
      </w:pPr>
      <w:r>
        <w:rPr>
          <w:rFonts w:ascii="宋体" w:hAnsi="宋体" w:hint="eastAsia"/>
          <w:bCs/>
          <w:sz w:val="24"/>
          <w:szCs w:val="24"/>
        </w:rPr>
        <w:t>2.</w:t>
      </w:r>
      <w:r>
        <w:rPr>
          <w:rFonts w:ascii="宋体" w:hAnsi="宋体"/>
          <w:bCs/>
          <w:sz w:val="24"/>
          <w:szCs w:val="24"/>
        </w:rPr>
        <w:t>4、参考设计灯具样板</w:t>
      </w:r>
    </w:p>
    <w:p w:rsidR="00F85CB2" w14:paraId="79793669" w14:textId="77777777">
      <w:pPr>
        <w:jc w:val="left"/>
        <w:rPr>
          <w:rFonts w:ascii="宋体" w:hAnsi="宋体"/>
          <w:b/>
          <w:sz w:val="24"/>
          <w:szCs w:val="24"/>
        </w:rPr>
      </w:pPr>
    </w:p>
    <w:p w:rsidR="00F85CB2" w14:paraId="3A2952B4" w14:textId="77777777">
      <w:pPr>
        <w:jc w:val="center"/>
        <w:rPr>
          <w:rFonts w:ascii="宋体" w:hAnsi="宋体"/>
          <w:b/>
          <w:sz w:val="52"/>
          <w:szCs w:val="52"/>
        </w:rPr>
      </w:pPr>
    </w:p>
    <w:p w:rsidR="00F85CB2" w14:paraId="5E56A745" w14:textId="77777777">
      <w:pPr>
        <w:jc w:val="center"/>
        <w:rPr>
          <w:rFonts w:ascii="宋体" w:hAnsi="宋体"/>
          <w:b/>
          <w:sz w:val="24"/>
          <w:szCs w:val="24"/>
        </w:rPr>
      </w:pPr>
    </w:p>
    <w:p w:rsidR="00F85CB2" w14:paraId="3D5BE0C7" w14:textId="77777777">
      <w:pPr>
        <w:pStyle w:val="ListParagraph"/>
        <w:spacing w:line="360" w:lineRule="auto"/>
        <w:ind w:firstLine="0" w:firstLineChars="0"/>
        <w:jc w:val="left"/>
        <w:rPr>
          <w:rFonts w:ascii="宋体" w:hAnsi="宋体"/>
          <w:b/>
          <w:sz w:val="28"/>
          <w:szCs w:val="28"/>
        </w:rPr>
        <w:sectPr>
          <w:headerReference w:type="default" r:id="rId6"/>
          <w:pgSz w:w="11906" w:h="16838"/>
          <w:pgMar w:top="1418" w:right="1304" w:bottom="1418" w:left="1304" w:header="567" w:footer="907" w:gutter="0"/>
          <w:cols w:space="425"/>
          <w:docGrid w:linePitch="312"/>
        </w:sectPr>
      </w:pPr>
    </w:p>
    <w:p w:rsidR="00F85CB2" w14:paraId="08CAFC8D" w14:textId="77777777">
      <w:pPr>
        <w:pStyle w:val="ListParagraph"/>
        <w:spacing w:line="360" w:lineRule="auto"/>
        <w:ind w:firstLine="0" w:firstLineChars="0"/>
        <w:jc w:val="left"/>
        <w:rPr>
          <w:rFonts w:ascii="宋体" w:hAnsi="宋体"/>
          <w:b/>
          <w:sz w:val="28"/>
          <w:szCs w:val="28"/>
        </w:rPr>
      </w:pPr>
      <w:r>
        <w:rPr>
          <w:rFonts w:ascii="宋体" w:hAnsi="宋体" w:hint="eastAsia"/>
          <w:b/>
          <w:sz w:val="28"/>
          <w:szCs w:val="28"/>
        </w:rPr>
        <w:t>一、一般技术要求</w:t>
      </w:r>
    </w:p>
    <w:p w:rsidR="00F85CB2" w14:paraId="6E4760EC" w14:textId="77777777">
      <w:pPr>
        <w:pStyle w:val="ListParagraph"/>
        <w:spacing w:line="360" w:lineRule="auto"/>
        <w:ind w:left="420" w:firstLine="0" w:leftChars="200" w:firstLineChars="0"/>
        <w:jc w:val="left"/>
        <w:rPr>
          <w:rFonts w:ascii="宋体" w:hAnsi="宋体" w:cs="宋体"/>
          <w:b/>
          <w:sz w:val="24"/>
          <w:szCs w:val="24"/>
        </w:rPr>
      </w:pPr>
      <w:r>
        <w:rPr>
          <w:rFonts w:ascii="宋体" w:hAnsi="宋体" w:cs="宋体" w:hint="eastAsia"/>
          <w:b/>
          <w:sz w:val="24"/>
          <w:szCs w:val="24"/>
        </w:rPr>
        <w:t>1.1、相关标准</w:t>
      </w:r>
    </w:p>
    <w:p w:rsidR="00F85CB2" w14:paraId="435E2450"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所有设备、材料的供应和施工工艺，必须符合中国及深圳市各机关、部门所颁布的最新的法定职责、条例、规范、规格、标准、施工准则和业务条例。</w:t>
      </w:r>
    </w:p>
    <w:p w:rsidR="00F85CB2" w14:paraId="0DA3DE2B" w14:textId="77777777">
      <w:pPr>
        <w:pStyle w:val="ListParagraph"/>
        <w:spacing w:line="360" w:lineRule="auto"/>
        <w:ind w:firstLine="480"/>
        <w:jc w:val="left"/>
        <w:rPr>
          <w:rFonts w:ascii="宋体" w:hAnsi="宋体" w:cs="宋体"/>
          <w:sz w:val="24"/>
          <w:szCs w:val="24"/>
        </w:rPr>
      </w:pPr>
      <w:bookmarkStart w:id="0" w:name="QuickMark"/>
      <w:bookmarkEnd w:id="0"/>
      <w:r>
        <w:rPr>
          <w:rFonts w:ascii="宋体" w:hAnsi="宋体" w:cs="宋体" w:hint="eastAsia"/>
          <w:sz w:val="24"/>
          <w:szCs w:val="24"/>
        </w:rPr>
        <w:t>包括</w:t>
      </w:r>
      <w:r>
        <w:rPr>
          <w:rFonts w:ascii="宋体" w:hAnsi="宋体" w:cs="宋体" w:hint="eastAsia"/>
          <w:sz w:val="24"/>
          <w:szCs w:val="24"/>
        </w:rPr>
        <w:t>以下但</w:t>
      </w:r>
      <w:r>
        <w:rPr>
          <w:rFonts w:ascii="宋体" w:hAnsi="宋体" w:cs="宋体" w:hint="eastAsia"/>
          <w:sz w:val="24"/>
          <w:szCs w:val="24"/>
        </w:rPr>
        <w:t xml:space="preserve">不仅限于以下所列： </w:t>
      </w:r>
    </w:p>
    <w:p w:rsidR="00F85CB2" w14:paraId="628EC793"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《民用建筑电气设计规范》JGJ16-2008</w:t>
      </w:r>
    </w:p>
    <w:p w:rsidR="00F85CB2" w14:paraId="1A8B35D6"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《低压配电设计规范》 GB50054-2011</w:t>
      </w:r>
    </w:p>
    <w:p w:rsidR="00F85CB2" w14:paraId="699D07A4"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《建筑物防雷设计规范》 GB50057-2010</w:t>
      </w:r>
    </w:p>
    <w:p w:rsidR="00F85CB2" w14:paraId="483B018F"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《建筑照明设计标准》 GB50034-2013</w:t>
      </w:r>
    </w:p>
    <w:p w:rsidR="00F85CB2" w14:paraId="1AB7A2C5"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《建筑设计防火规范》GB50016-2014（2018年版）</w:t>
      </w:r>
    </w:p>
    <w:p w:rsidR="00F85CB2" w14:paraId="11EC0E8D"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《灯具 第1部分：一般要求和试验》GB 7000.1</w:t>
      </w:r>
    </w:p>
    <w:p w:rsidR="00F85CB2" w14:paraId="27F6E66E"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《电气照明和类似设备的无线电骚扰特性的限值和测量方法》GB/T 17743</w:t>
      </w:r>
    </w:p>
    <w:p w:rsidR="00F85CB2" w14:paraId="45F2CE12"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《一般照明用设备电磁兼容抗扰度要求》GB/T 18595</w:t>
      </w:r>
    </w:p>
    <w:p w:rsidR="00F85CB2" w14:paraId="0ED866A7"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 xml:space="preserve">CCC 中国强制产品认证 </w:t>
      </w:r>
    </w:p>
    <w:p w:rsidR="00F85CB2" w14:paraId="1EE6CD8A"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当上述标准或当地政府及有关部门的特别要求，在技术要求上与本技术规格说明书所规定的发生抵触时，或技术规格说明书和图纸上所标注或要求有互相矛盾时，或技术规格说明书内有关章节的要求有互相矛盾时，从严执行，不构成任何造价变更。</w:t>
      </w:r>
    </w:p>
    <w:p w:rsidR="00F85CB2" w14:paraId="1767FBCE" w14:textId="77777777">
      <w:pPr>
        <w:pStyle w:val="ListParagraph"/>
        <w:spacing w:line="360" w:lineRule="auto"/>
        <w:ind w:left="420" w:firstLine="0" w:leftChars="200" w:firstLineChars="0"/>
        <w:jc w:val="left"/>
        <w:rPr>
          <w:rFonts w:ascii="宋体" w:hAnsi="宋体" w:cs="宋体"/>
          <w:b/>
          <w:sz w:val="24"/>
          <w:szCs w:val="24"/>
        </w:rPr>
      </w:pPr>
      <w:r>
        <w:rPr>
          <w:rFonts w:ascii="宋体" w:hAnsi="宋体" w:cs="宋体" w:hint="eastAsia"/>
          <w:b/>
          <w:sz w:val="24"/>
          <w:szCs w:val="24"/>
        </w:rPr>
        <w:t>1.2、当地环境条件</w:t>
      </w:r>
    </w:p>
    <w:p w:rsidR="00F85CB2" w14:paraId="0B33CB0E"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在设计、制造、装配、检验和调试本技术规格说明书内所要求的仪器和设备时，必须考虑深圳市的气候、环境情况，及以下所列气象资料供参考﹕</w:t>
      </w:r>
    </w:p>
    <w:p w:rsidR="00F85CB2" w14:paraId="5D019AEC"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1.2.1、温度</w:t>
      </w:r>
    </w:p>
    <w:p w:rsidR="00F85CB2" w14:paraId="21A12A7A"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夏季：</w:t>
      </w:r>
      <w:r>
        <w:rPr>
          <w:rFonts w:ascii="宋体" w:hAnsi="宋体" w:cs="宋体" w:hint="eastAsia"/>
          <w:sz w:val="24"/>
          <w:szCs w:val="24"/>
        </w:rPr>
        <w:tab/>
        <w:t>极端温度（干球）</w:t>
      </w:r>
    </w:p>
    <w:p w:rsidR="00F85CB2" w14:paraId="3EE73C86"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ab/>
        <w:t>39.4度摄氏(‘极端’</w:t>
      </w:r>
      <w:r>
        <w:rPr>
          <w:rFonts w:ascii="宋体" w:hAnsi="宋体" w:cs="宋体" w:hint="eastAsia"/>
          <w:sz w:val="24"/>
          <w:szCs w:val="24"/>
        </w:rPr>
        <w:t>指记录</w:t>
      </w:r>
      <w:r>
        <w:rPr>
          <w:rFonts w:ascii="宋体" w:hAnsi="宋体" w:cs="宋体" w:hint="eastAsia"/>
          <w:sz w:val="24"/>
          <w:szCs w:val="24"/>
        </w:rPr>
        <w:t>所得的最高温度)</w:t>
      </w:r>
    </w:p>
    <w:p w:rsidR="00F85CB2" w14:paraId="4809AEFB"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最热月份的平均温度（干球）</w:t>
      </w:r>
      <w:r>
        <w:rPr>
          <w:rFonts w:ascii="宋体" w:hAnsi="宋体" w:cs="宋体" w:hint="eastAsia"/>
          <w:sz w:val="24"/>
          <w:szCs w:val="24"/>
        </w:rPr>
        <w:tab/>
        <w:t>27.7度摄氏</w:t>
      </w:r>
    </w:p>
    <w:p w:rsidR="00F85CB2" w14:paraId="368AA5E8"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夏季通风温度（干球）</w:t>
      </w:r>
      <w:r>
        <w:rPr>
          <w:rFonts w:ascii="宋体" w:hAnsi="宋体" w:cs="宋体" w:hint="eastAsia"/>
          <w:sz w:val="24"/>
          <w:szCs w:val="24"/>
        </w:rPr>
        <w:tab/>
        <w:t>31.2度摄氏</w:t>
      </w:r>
    </w:p>
    <w:p w:rsidR="00F85CB2" w14:paraId="000B7D24"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冬季：</w:t>
      </w:r>
      <w:r>
        <w:rPr>
          <w:rFonts w:ascii="宋体" w:hAnsi="宋体" w:cs="宋体" w:hint="eastAsia"/>
          <w:sz w:val="24"/>
          <w:szCs w:val="24"/>
        </w:rPr>
        <w:tab/>
        <w:t>极端温度（干球）</w:t>
      </w:r>
    </w:p>
    <w:p w:rsidR="00F85CB2" w14:paraId="53CC88F9"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ab/>
        <w:t>-10.1度摄氏(‘极端’</w:t>
      </w:r>
      <w:r>
        <w:rPr>
          <w:rFonts w:ascii="宋体" w:hAnsi="宋体" w:cs="宋体" w:hint="eastAsia"/>
          <w:sz w:val="24"/>
          <w:szCs w:val="24"/>
        </w:rPr>
        <w:t>指记录</w:t>
      </w:r>
      <w:r>
        <w:rPr>
          <w:rFonts w:ascii="宋体" w:hAnsi="宋体" w:cs="宋体" w:hint="eastAsia"/>
          <w:sz w:val="24"/>
          <w:szCs w:val="24"/>
        </w:rPr>
        <w:t>所得的最低温度)</w:t>
      </w:r>
    </w:p>
    <w:p w:rsidR="00F85CB2" w14:paraId="68AF8974"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1.2.2、海拔</w:t>
      </w:r>
      <w:r>
        <w:rPr>
          <w:rFonts w:ascii="宋体" w:hAnsi="宋体" w:cs="宋体" w:hint="eastAsia"/>
          <w:sz w:val="24"/>
          <w:szCs w:val="24"/>
        </w:rPr>
        <w:tab/>
        <w:t>0～10米</w:t>
      </w:r>
    </w:p>
    <w:p w:rsidR="00F85CB2" w14:paraId="31391C2E"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1.2.3、雨量</w:t>
      </w:r>
    </w:p>
    <w:p w:rsidR="00F85CB2" w14:paraId="76FADFE8" w14:textId="77777777">
      <w:pPr>
        <w:pStyle w:val="ListParagraph"/>
        <w:spacing w:line="360" w:lineRule="auto"/>
        <w:ind w:firstLine="480"/>
        <w:jc w:val="left"/>
        <w:rPr>
          <w:rFonts w:ascii="宋体" w:hAnsi="宋体" w:cs="宋体"/>
          <w:sz w:val="24"/>
          <w:szCs w:val="24"/>
        </w:rPr>
        <w:sectPr>
          <w:headerReference w:type="default" r:id="rId7"/>
          <w:pgSz w:w="11906" w:h="16838"/>
          <w:pgMar w:top="1418" w:right="1304" w:bottom="1418" w:left="1304" w:header="567" w:footer="907" w:gutter="0"/>
          <w:pgNumType w:start="2"/>
          <w:cols w:space="425"/>
          <w:docGrid w:linePitch="312"/>
        </w:sectPr>
      </w:pPr>
      <w:r>
        <w:rPr>
          <w:rFonts w:ascii="宋体" w:hAnsi="宋体" w:cs="宋体" w:hint="eastAsia"/>
          <w:sz w:val="24"/>
          <w:szCs w:val="24"/>
        </w:rPr>
        <w:t>最大雨量</w:t>
      </w:r>
      <w:r>
        <w:rPr>
          <w:rFonts w:ascii="宋体" w:hAnsi="宋体" w:cs="宋体" w:hint="eastAsia"/>
          <w:sz w:val="24"/>
          <w:szCs w:val="24"/>
        </w:rPr>
        <w:tab/>
        <w:t>每小时250毫米</w:t>
      </w:r>
    </w:p>
    <w:p w:rsidR="00F85CB2" w14:paraId="116CC743"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1.2.4、平均风速</w:t>
      </w:r>
    </w:p>
    <w:p w:rsidR="00F85CB2" w14:paraId="1525121C"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冬季</w:t>
      </w:r>
      <w:r>
        <w:rPr>
          <w:rFonts w:ascii="宋体" w:hAnsi="宋体" w:cs="宋体" w:hint="eastAsia"/>
          <w:sz w:val="24"/>
          <w:szCs w:val="24"/>
        </w:rPr>
        <w:tab/>
        <w:t>2.6米/秒</w:t>
      </w:r>
    </w:p>
    <w:p w:rsidR="00F85CB2" w14:paraId="4A347B90"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夏季</w:t>
      </w:r>
      <w:r>
        <w:rPr>
          <w:rFonts w:ascii="宋体" w:hAnsi="宋体" w:cs="宋体" w:hint="eastAsia"/>
          <w:sz w:val="24"/>
          <w:szCs w:val="24"/>
        </w:rPr>
        <w:tab/>
        <w:t>3.1米/秒</w:t>
      </w:r>
    </w:p>
    <w:p w:rsidR="00F85CB2" w14:paraId="5A75106A"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1.2.5、地震</w:t>
      </w:r>
    </w:p>
    <w:p w:rsidR="00F85CB2" w14:paraId="580388D3"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基本烈度（中国标准）</w:t>
      </w:r>
      <w:r>
        <w:rPr>
          <w:rFonts w:ascii="宋体" w:hAnsi="宋体" w:cs="宋体" w:hint="eastAsia"/>
          <w:sz w:val="24"/>
          <w:szCs w:val="24"/>
        </w:rPr>
        <w:tab/>
        <w:t>7度</w:t>
      </w:r>
    </w:p>
    <w:p w:rsidR="00F85CB2" w14:paraId="1AA4EA16"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1.2.6、相对湿度</w:t>
      </w:r>
    </w:p>
    <w:p w:rsidR="00F85CB2" w14:paraId="43B502E4"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最热月份平均值</w:t>
      </w:r>
      <w:r>
        <w:rPr>
          <w:rFonts w:ascii="宋体" w:hAnsi="宋体" w:cs="宋体" w:hint="eastAsia"/>
          <w:sz w:val="24"/>
          <w:szCs w:val="24"/>
        </w:rPr>
        <w:tab/>
        <w:t>83%</w:t>
      </w:r>
    </w:p>
    <w:p w:rsidR="00F85CB2" w14:paraId="123CC7D0"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最冷月份平均值</w:t>
      </w:r>
      <w:r>
        <w:rPr>
          <w:rFonts w:ascii="宋体" w:hAnsi="宋体" w:cs="宋体" w:hint="eastAsia"/>
          <w:sz w:val="24"/>
          <w:szCs w:val="24"/>
        </w:rPr>
        <w:tab/>
        <w:t>75%</w:t>
      </w:r>
    </w:p>
    <w:p w:rsidR="00F85CB2" w14:paraId="40CA2804"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设备规格及设计所需符合的工程所在地的气候、环境情况。</w:t>
      </w:r>
    </w:p>
    <w:p w:rsidR="00F85CB2" w14:paraId="266DF6CC"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1.2.7、除本技术规格说明书特别注明外，所有设备包括电气设备和机械配件都应能于下列及工程所在地的环境条件下进行测试工作及正常操作。</w:t>
      </w:r>
    </w:p>
    <w:p w:rsidR="00F85CB2" w14:paraId="63A1C5AD"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夏季</w:t>
      </w:r>
      <w:r>
        <w:rPr>
          <w:rFonts w:ascii="宋体" w:hAnsi="宋体" w:cs="宋体" w:hint="eastAsia"/>
          <w:sz w:val="24"/>
          <w:szCs w:val="24"/>
        </w:rPr>
        <w:tab/>
        <w:t>40度摄氏（干球温度）</w:t>
      </w:r>
    </w:p>
    <w:p w:rsidR="00F85CB2" w14:paraId="50296852"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冬季</w:t>
      </w:r>
      <w:r>
        <w:rPr>
          <w:rFonts w:ascii="宋体" w:hAnsi="宋体" w:cs="宋体" w:hint="eastAsia"/>
          <w:sz w:val="24"/>
          <w:szCs w:val="24"/>
        </w:rPr>
        <w:tab/>
        <w:t>-4度摄氏（干球温度）</w:t>
      </w:r>
    </w:p>
    <w:p w:rsidR="00F85CB2" w14:paraId="5F93EFE6" w14:textId="77777777">
      <w:pPr>
        <w:pStyle w:val="ListParagraph"/>
        <w:spacing w:line="360" w:lineRule="auto"/>
        <w:ind w:firstLine="480"/>
        <w:jc w:val="left"/>
        <w:rPr>
          <w:rFonts w:ascii="宋体" w:hAnsi="宋体" w:cs="宋体"/>
          <w:szCs w:val="21"/>
        </w:rPr>
      </w:pPr>
      <w:r>
        <w:rPr>
          <w:rFonts w:ascii="宋体" w:hAnsi="宋体" w:cs="宋体" w:hint="eastAsia"/>
          <w:sz w:val="24"/>
          <w:szCs w:val="24"/>
        </w:rPr>
        <w:t>相对湿度</w:t>
      </w:r>
      <w:r>
        <w:rPr>
          <w:rFonts w:ascii="宋体" w:hAnsi="宋体" w:cs="宋体" w:hint="eastAsia"/>
          <w:sz w:val="24"/>
          <w:szCs w:val="24"/>
        </w:rPr>
        <w:tab/>
        <w:t>99%</w:t>
      </w:r>
    </w:p>
    <w:p w:rsidR="00F85CB2" w14:paraId="496729CA" w14:textId="77777777">
      <w:pPr>
        <w:pStyle w:val="ListParagraph"/>
        <w:spacing w:line="360" w:lineRule="auto"/>
        <w:ind w:left="420" w:firstLine="0" w:leftChars="200" w:firstLineChars="0"/>
        <w:jc w:val="left"/>
        <w:rPr>
          <w:rFonts w:ascii="宋体" w:hAnsi="宋体" w:cs="宋体"/>
          <w:b/>
          <w:sz w:val="24"/>
          <w:szCs w:val="24"/>
        </w:rPr>
      </w:pPr>
      <w:r>
        <w:rPr>
          <w:rFonts w:ascii="宋体" w:hAnsi="宋体" w:cs="宋体" w:hint="eastAsia"/>
          <w:b/>
          <w:sz w:val="24"/>
          <w:szCs w:val="24"/>
        </w:rPr>
        <w:t>1.3、物料的储存及保管</w:t>
      </w:r>
    </w:p>
    <w:p w:rsidR="00F85CB2" w14:paraId="15BAFF0E" w14:textId="77777777">
      <w:pPr>
        <w:pStyle w:val="ListParagraph"/>
        <w:spacing w:line="360" w:lineRule="auto"/>
        <w:ind w:firstLine="480"/>
        <w:jc w:val="left"/>
        <w:rPr>
          <w:rFonts w:ascii="宋体" w:hAnsi="宋体" w:cs="宋体"/>
          <w:bCs/>
          <w:sz w:val="24"/>
          <w:szCs w:val="24"/>
        </w:rPr>
      </w:pPr>
      <w:r>
        <w:rPr>
          <w:rFonts w:ascii="宋体" w:hAnsi="宋体" w:cs="宋体" w:hint="eastAsia"/>
          <w:bCs/>
          <w:sz w:val="24"/>
          <w:szCs w:val="24"/>
        </w:rPr>
        <w:t>承包单位应充分了解施工现场其物料及其摆放位置。总承包单位会根据其工作进度安排空间</w:t>
      </w:r>
      <w:r>
        <w:rPr>
          <w:rFonts w:ascii="宋体" w:hAnsi="宋体" w:cs="宋体" w:hint="eastAsia"/>
          <w:bCs/>
          <w:sz w:val="24"/>
          <w:szCs w:val="24"/>
        </w:rPr>
        <w:t>供承包</w:t>
      </w:r>
      <w:r>
        <w:rPr>
          <w:rFonts w:ascii="宋体" w:hAnsi="宋体" w:cs="宋体" w:hint="eastAsia"/>
          <w:bCs/>
          <w:sz w:val="24"/>
          <w:szCs w:val="24"/>
        </w:rPr>
        <w:t>单位摆放物料。承包单位应跟从这一进度和安排，计划其设备及物料运抵现场。</w:t>
      </w:r>
    </w:p>
    <w:p w:rsidR="00F85CB2" w14:paraId="41D7794D" w14:textId="77777777">
      <w:pPr>
        <w:pStyle w:val="ListParagraph"/>
        <w:spacing w:line="360" w:lineRule="auto"/>
        <w:ind w:firstLine="480"/>
        <w:jc w:val="left"/>
        <w:rPr>
          <w:rFonts w:ascii="宋体" w:hAnsi="宋体" w:cs="宋体"/>
          <w:bCs/>
          <w:sz w:val="24"/>
          <w:szCs w:val="24"/>
        </w:rPr>
      </w:pPr>
      <w:r>
        <w:rPr>
          <w:rFonts w:ascii="宋体" w:hAnsi="宋体" w:cs="宋体" w:hint="eastAsia"/>
          <w:bCs/>
          <w:sz w:val="24"/>
          <w:szCs w:val="24"/>
        </w:rPr>
        <w:t>除非得到总承包单位之书面指示，所有贮存于施工现场以外的物料、设备，其费用均由承包单位负责。</w:t>
      </w:r>
    </w:p>
    <w:p w:rsidR="00F85CB2" w14:paraId="0255682D" w14:textId="77777777">
      <w:pPr>
        <w:pStyle w:val="ListParagraph"/>
        <w:spacing w:line="360" w:lineRule="auto"/>
        <w:ind w:firstLine="480"/>
        <w:jc w:val="left"/>
        <w:rPr>
          <w:rFonts w:ascii="宋体" w:hAnsi="宋体" w:cs="宋体"/>
          <w:bCs/>
          <w:sz w:val="24"/>
          <w:szCs w:val="24"/>
        </w:rPr>
      </w:pPr>
      <w:r>
        <w:rPr>
          <w:rFonts w:ascii="宋体" w:hAnsi="宋体" w:cs="宋体" w:hint="eastAsia"/>
          <w:bCs/>
          <w:sz w:val="24"/>
          <w:szCs w:val="24"/>
        </w:rPr>
        <w:t>贮</w:t>
      </w:r>
      <w:r>
        <w:rPr>
          <w:rFonts w:ascii="宋体" w:hAnsi="宋体" w:cs="宋体" w:hint="eastAsia"/>
          <w:bCs/>
          <w:sz w:val="24"/>
          <w:szCs w:val="24"/>
        </w:rPr>
        <w:t>放于现场之设备及物料均应跟从制造商建议之贮藏方法，并且保证不违反质量保证书所规定之贮藏方法。</w:t>
      </w:r>
    </w:p>
    <w:p w:rsidR="00F85CB2" w14:paraId="218A3ABA" w14:textId="77777777">
      <w:pPr>
        <w:pStyle w:val="ListParagraph"/>
        <w:spacing w:line="360" w:lineRule="auto"/>
        <w:ind w:firstLine="480"/>
        <w:jc w:val="left"/>
        <w:rPr>
          <w:rFonts w:ascii="宋体" w:hAnsi="宋体" w:cs="宋体"/>
          <w:bCs/>
          <w:sz w:val="24"/>
          <w:szCs w:val="24"/>
        </w:rPr>
      </w:pPr>
      <w:r>
        <w:rPr>
          <w:rFonts w:ascii="宋体" w:hAnsi="宋体" w:cs="宋体" w:hint="eastAsia"/>
          <w:bCs/>
          <w:sz w:val="24"/>
          <w:szCs w:val="24"/>
        </w:rPr>
        <w:t>在施工现场，对由于不适当之存放而引起的设备损坏、遗失，承包单位有责任立即补充、更换损坏的设备及材料，以跟从施工进度，而费用由承包单位负责。</w:t>
      </w:r>
    </w:p>
    <w:p w:rsidR="00F85CB2" w14:paraId="4EFBA3C6" w14:textId="77777777">
      <w:pPr>
        <w:pStyle w:val="ListParagraph"/>
        <w:spacing w:line="360" w:lineRule="auto"/>
        <w:ind w:firstLine="480"/>
        <w:jc w:val="left"/>
        <w:rPr>
          <w:rFonts w:ascii="宋体" w:hAnsi="宋体" w:cs="宋体"/>
          <w:bCs/>
          <w:sz w:val="24"/>
          <w:szCs w:val="24"/>
        </w:rPr>
      </w:pPr>
      <w:r>
        <w:rPr>
          <w:rFonts w:ascii="宋体" w:hAnsi="宋体" w:cs="宋体" w:hint="eastAsia"/>
          <w:bCs/>
          <w:sz w:val="24"/>
          <w:szCs w:val="24"/>
        </w:rPr>
        <w:t>在总承包单位未完成其建筑工程前，承包单位应采取充分之措施保护安装好的设备及未安装之设备及物料，免受恶劣天气及其它因素的破坏。</w:t>
      </w:r>
    </w:p>
    <w:p w:rsidR="00F85CB2" w14:paraId="26C6C83C" w14:textId="77777777">
      <w:pPr>
        <w:pStyle w:val="ListParagraph"/>
        <w:spacing w:line="360" w:lineRule="auto"/>
        <w:ind w:firstLine="480"/>
        <w:jc w:val="left"/>
        <w:rPr>
          <w:rFonts w:ascii="宋体" w:hAnsi="宋体" w:cs="宋体"/>
          <w:bCs/>
          <w:sz w:val="24"/>
          <w:szCs w:val="24"/>
        </w:rPr>
      </w:pPr>
      <w:r>
        <w:rPr>
          <w:rFonts w:ascii="宋体" w:hAnsi="宋体" w:cs="宋体" w:hint="eastAsia"/>
          <w:bCs/>
          <w:sz w:val="24"/>
          <w:szCs w:val="24"/>
        </w:rPr>
        <w:t>工作于室内之电气设备及包含电气组件之设备应存放于防潮的空间内。</w:t>
      </w:r>
    </w:p>
    <w:p w:rsidR="00F85CB2" w14:paraId="32FC6F74" w14:textId="77777777">
      <w:pPr>
        <w:pStyle w:val="ListParagraph"/>
        <w:spacing w:line="360" w:lineRule="auto"/>
        <w:ind w:firstLine="480"/>
        <w:jc w:val="left"/>
        <w:rPr>
          <w:rFonts w:ascii="宋体" w:hAnsi="宋体" w:cs="宋体"/>
          <w:bCs/>
          <w:sz w:val="24"/>
          <w:szCs w:val="24"/>
        </w:rPr>
      </w:pPr>
      <w:r>
        <w:rPr>
          <w:rFonts w:ascii="宋体" w:hAnsi="宋体" w:cs="宋体" w:hint="eastAsia"/>
          <w:bCs/>
          <w:sz w:val="24"/>
          <w:szCs w:val="24"/>
        </w:rPr>
        <w:t>工作于室内的设备应存放于防风雨的空间内。</w:t>
      </w:r>
    </w:p>
    <w:p w:rsidR="00F85CB2" w14:paraId="194C7DD3" w14:textId="77777777">
      <w:pPr>
        <w:pStyle w:val="ListParagraph"/>
        <w:spacing w:line="360" w:lineRule="auto"/>
        <w:ind w:firstLine="480"/>
        <w:jc w:val="left"/>
        <w:rPr>
          <w:rFonts w:ascii="宋体" w:hAnsi="宋体" w:cs="宋体"/>
          <w:bCs/>
          <w:sz w:val="24"/>
          <w:szCs w:val="24"/>
        </w:rPr>
        <w:sectPr>
          <w:headerReference w:type="default" r:id="rId8"/>
          <w:type w:val="nextPage"/>
          <w:pgSz w:w="11906" w:h="16838"/>
          <w:pgMar w:top="1418" w:right="1304" w:bottom="1418" w:left="1304" w:header="567" w:footer="907" w:gutter="0"/>
          <w:pgNumType w:start="3"/>
          <w:cols w:space="425"/>
          <w:titlePg w:val="0"/>
          <w:docGrid w:linePitch="312"/>
        </w:sectPr>
      </w:pPr>
      <w:r>
        <w:rPr>
          <w:rFonts w:ascii="宋体" w:hAnsi="宋体" w:cs="宋体" w:hint="eastAsia"/>
          <w:bCs/>
          <w:sz w:val="24"/>
          <w:szCs w:val="24"/>
        </w:rPr>
        <w:t>当设备由几个部份构成时，组件应分开包装并在包装上清楚标明组件名称及制造厂家。</w:t>
      </w:r>
    </w:p>
    <w:p w:rsidR="00F85CB2" w14:paraId="2683C279" w14:textId="77777777">
      <w:pPr>
        <w:pStyle w:val="ListParagraph"/>
        <w:spacing w:line="360" w:lineRule="auto"/>
        <w:ind w:firstLine="480"/>
        <w:jc w:val="left"/>
        <w:rPr>
          <w:rFonts w:ascii="宋体" w:hAnsi="宋体" w:cs="宋体"/>
          <w:bCs/>
          <w:sz w:val="24"/>
          <w:szCs w:val="24"/>
        </w:rPr>
      </w:pPr>
      <w:r>
        <w:rPr>
          <w:rFonts w:ascii="宋体" w:hAnsi="宋体" w:cs="宋体" w:hint="eastAsia"/>
          <w:bCs/>
          <w:sz w:val="24"/>
          <w:szCs w:val="24"/>
        </w:rPr>
        <w:t>对于设备之外表面，特别是影响美观之外表面，应特别留意加以保护。</w:t>
      </w:r>
    </w:p>
    <w:p w:rsidR="00F85CB2" w14:paraId="27C865FD" w14:textId="77777777">
      <w:pPr>
        <w:pStyle w:val="ListParagraph"/>
        <w:spacing w:line="360" w:lineRule="auto"/>
        <w:ind w:firstLine="480"/>
        <w:jc w:val="left"/>
        <w:rPr>
          <w:rFonts w:ascii="宋体" w:hAnsi="宋体" w:cs="宋体"/>
          <w:bCs/>
          <w:sz w:val="24"/>
          <w:szCs w:val="24"/>
        </w:rPr>
      </w:pPr>
      <w:r>
        <w:rPr>
          <w:rFonts w:ascii="宋体" w:hAnsi="宋体" w:cs="宋体" w:hint="eastAsia"/>
          <w:bCs/>
          <w:sz w:val="24"/>
          <w:szCs w:val="24"/>
        </w:rPr>
        <w:t>在运输过程及贮存于施工现场的设备，对设备的传热面应加以特别包装以保护之。</w:t>
      </w:r>
    </w:p>
    <w:p w:rsidR="00F85CB2" w14:paraId="4DFD6012" w14:textId="77777777">
      <w:pPr>
        <w:pStyle w:val="ListParagraph"/>
        <w:spacing w:line="360" w:lineRule="auto"/>
        <w:ind w:firstLine="480"/>
        <w:jc w:val="left"/>
        <w:rPr>
          <w:rFonts w:ascii="宋体" w:hAnsi="宋体" w:cs="宋体"/>
          <w:bCs/>
          <w:sz w:val="24"/>
          <w:szCs w:val="24"/>
        </w:rPr>
      </w:pPr>
      <w:r>
        <w:rPr>
          <w:rFonts w:ascii="宋体" w:hAnsi="宋体" w:cs="宋体" w:hint="eastAsia"/>
          <w:bCs/>
          <w:sz w:val="24"/>
          <w:szCs w:val="24"/>
        </w:rPr>
        <w:t>物料或设备之保护漆/膜如有损坏，则应彻底清洁所有之锈垢、油污及表面之腐蚀物，并涂以新的保护漆/膜。</w:t>
      </w:r>
    </w:p>
    <w:p w:rsidR="00F85CB2" w14:paraId="0C5B5F1F" w14:textId="77777777">
      <w:pPr>
        <w:pStyle w:val="ListParagraph"/>
        <w:spacing w:line="360" w:lineRule="auto"/>
        <w:ind w:firstLine="480"/>
        <w:jc w:val="left"/>
        <w:rPr>
          <w:rFonts w:ascii="宋体" w:hAnsi="宋体" w:cs="宋体"/>
          <w:bCs/>
          <w:sz w:val="24"/>
          <w:szCs w:val="24"/>
        </w:rPr>
      </w:pPr>
      <w:r>
        <w:rPr>
          <w:rFonts w:ascii="宋体" w:hAnsi="宋体" w:cs="宋体" w:hint="eastAsia"/>
          <w:bCs/>
          <w:sz w:val="24"/>
          <w:szCs w:val="24"/>
        </w:rPr>
        <w:t>物料遭侵蚀、破坏或设备之外表面遭破坏，承包单位应负责更换这些物料及设备，费用亦由承包单位负责。</w:t>
      </w:r>
    </w:p>
    <w:p w:rsidR="00F85CB2" w14:paraId="285CCDCD" w14:textId="77777777">
      <w:pPr>
        <w:pStyle w:val="ListParagraph"/>
        <w:spacing w:line="360" w:lineRule="auto"/>
        <w:ind w:firstLine="480"/>
        <w:jc w:val="left"/>
        <w:rPr>
          <w:rFonts w:ascii="宋体" w:hAnsi="宋体" w:cs="宋体"/>
          <w:bCs/>
          <w:sz w:val="24"/>
          <w:szCs w:val="24"/>
        </w:rPr>
      </w:pPr>
      <w:r>
        <w:rPr>
          <w:rFonts w:ascii="宋体" w:hAnsi="宋体" w:cs="宋体" w:hint="eastAsia"/>
          <w:bCs/>
          <w:sz w:val="24"/>
          <w:szCs w:val="24"/>
        </w:rPr>
        <w:t>当对物料及设备之油漆方法未加说明时，承包单位对物料和设备之油漆须满足以下要求：</w:t>
      </w:r>
    </w:p>
    <w:p w:rsidR="00F85CB2" w14:paraId="0B500B64" w14:textId="77777777">
      <w:pPr>
        <w:pStyle w:val="ListParagraph"/>
        <w:spacing w:line="360" w:lineRule="auto"/>
        <w:ind w:firstLine="480"/>
        <w:jc w:val="left"/>
        <w:rPr>
          <w:rFonts w:ascii="宋体" w:hAnsi="宋体" w:cs="宋体"/>
          <w:bCs/>
          <w:sz w:val="24"/>
          <w:szCs w:val="24"/>
        </w:rPr>
      </w:pPr>
      <w:r>
        <w:rPr>
          <w:rFonts w:ascii="宋体" w:hAnsi="宋体" w:cs="宋体" w:hint="eastAsia"/>
          <w:bCs/>
          <w:sz w:val="24"/>
          <w:szCs w:val="24"/>
        </w:rPr>
        <w:t>所有金属制造</w:t>
      </w:r>
      <w:r>
        <w:rPr>
          <w:rFonts w:ascii="宋体" w:hAnsi="宋体" w:cs="宋体" w:hint="eastAsia"/>
          <w:bCs/>
          <w:sz w:val="24"/>
          <w:szCs w:val="24"/>
        </w:rPr>
        <w:t>部份须有</w:t>
      </w:r>
      <w:r>
        <w:rPr>
          <w:rFonts w:ascii="宋体" w:hAnsi="宋体" w:cs="宋体" w:hint="eastAsia"/>
          <w:bCs/>
          <w:sz w:val="24"/>
          <w:szCs w:val="24"/>
        </w:rPr>
        <w:t>足够抗锈、抗腐能力。</w:t>
      </w:r>
    </w:p>
    <w:p w:rsidR="00F85CB2" w14:paraId="18D1AD9C" w14:textId="77777777">
      <w:pPr>
        <w:pStyle w:val="ListParagraph"/>
        <w:spacing w:line="360" w:lineRule="auto"/>
        <w:ind w:firstLine="480"/>
        <w:jc w:val="left"/>
        <w:rPr>
          <w:rFonts w:ascii="宋体" w:hAnsi="宋体" w:cs="宋体"/>
          <w:bCs/>
          <w:sz w:val="24"/>
          <w:szCs w:val="24"/>
        </w:rPr>
      </w:pPr>
      <w:r>
        <w:rPr>
          <w:rFonts w:ascii="宋体" w:hAnsi="宋体" w:cs="宋体" w:hint="eastAsia"/>
          <w:bCs/>
          <w:sz w:val="24"/>
          <w:szCs w:val="24"/>
        </w:rPr>
        <w:t>所有框架、支架、吊架等同低碳钢制品，首先要彻底清洁去除所有之锈  斑、油污等，再涂一层防锈膜然后以金属漆过底，跟着刷两遍</w:t>
      </w:r>
      <w:r>
        <w:rPr>
          <w:rFonts w:ascii="宋体" w:hAnsi="宋体" w:cs="宋体" w:hint="eastAsia"/>
          <w:bCs/>
          <w:sz w:val="24"/>
          <w:szCs w:val="24"/>
        </w:rPr>
        <w:t>调合</w:t>
      </w:r>
      <w:r>
        <w:rPr>
          <w:rFonts w:ascii="宋体" w:hAnsi="宋体" w:cs="宋体" w:hint="eastAsia"/>
          <w:bCs/>
          <w:sz w:val="24"/>
          <w:szCs w:val="24"/>
        </w:rPr>
        <w:t>漆，以符合有关国家标准之要求，颜色由总承包单位确定。</w:t>
      </w:r>
    </w:p>
    <w:p w:rsidR="00F85CB2" w14:paraId="3EFDE894" w14:textId="77777777">
      <w:pPr>
        <w:pStyle w:val="ListParagraph"/>
        <w:spacing w:line="360" w:lineRule="auto"/>
        <w:ind w:firstLine="480"/>
        <w:jc w:val="left"/>
        <w:rPr>
          <w:rFonts w:ascii="宋体" w:hAnsi="宋体" w:cs="宋体"/>
          <w:bCs/>
          <w:sz w:val="24"/>
          <w:szCs w:val="24"/>
        </w:rPr>
      </w:pPr>
      <w:r>
        <w:rPr>
          <w:rFonts w:ascii="宋体" w:hAnsi="宋体" w:cs="宋体" w:hint="eastAsia"/>
          <w:bCs/>
          <w:sz w:val="24"/>
          <w:szCs w:val="24"/>
        </w:rPr>
        <w:t>电镀之部件应选用镀铬或</w:t>
      </w:r>
      <w:r>
        <w:rPr>
          <w:rFonts w:ascii="宋体" w:hAnsi="宋体" w:cs="宋体" w:hint="eastAsia"/>
          <w:bCs/>
          <w:sz w:val="24"/>
          <w:szCs w:val="24"/>
        </w:rPr>
        <w:t>镀磷(</w:t>
      </w:r>
      <w:r>
        <w:rPr>
          <w:rFonts w:ascii="宋体" w:hAnsi="宋体" w:cs="宋体" w:hint="eastAsia"/>
          <w:bCs/>
          <w:sz w:val="24"/>
          <w:szCs w:val="24"/>
        </w:rPr>
        <w:t>选其中较适宜者)，不允许镀锌或镀镉。</w:t>
      </w:r>
    </w:p>
    <w:p w:rsidR="00F85CB2" w14:paraId="2DD0445E" w14:textId="77777777">
      <w:pPr>
        <w:pStyle w:val="ListParagraph"/>
        <w:spacing w:line="360" w:lineRule="auto"/>
        <w:ind w:firstLine="480"/>
        <w:jc w:val="left"/>
        <w:rPr>
          <w:rFonts w:ascii="宋体" w:hAnsi="宋体" w:cs="宋体"/>
          <w:bCs/>
          <w:sz w:val="24"/>
          <w:szCs w:val="24"/>
        </w:rPr>
      </w:pPr>
      <w:r>
        <w:rPr>
          <w:rFonts w:ascii="宋体" w:hAnsi="宋体" w:cs="宋体" w:hint="eastAsia"/>
          <w:bCs/>
          <w:sz w:val="24"/>
          <w:szCs w:val="24"/>
        </w:rPr>
        <w:t>设备出厂后，设备表面之损坏应跟从如下方法尽快修补好：</w:t>
      </w:r>
    </w:p>
    <w:p w:rsidR="00F85CB2" w14:paraId="29DB9262" w14:textId="77777777">
      <w:pPr>
        <w:pStyle w:val="ListParagraph"/>
        <w:spacing w:line="360" w:lineRule="auto"/>
        <w:ind w:firstLine="480"/>
        <w:jc w:val="left"/>
        <w:rPr>
          <w:rFonts w:ascii="宋体" w:hAnsi="宋体" w:cs="宋体"/>
          <w:bCs/>
          <w:sz w:val="24"/>
          <w:szCs w:val="24"/>
        </w:rPr>
      </w:pPr>
      <w:r>
        <w:rPr>
          <w:rFonts w:ascii="宋体" w:hAnsi="宋体" w:cs="宋体" w:hint="eastAsia"/>
          <w:bCs/>
          <w:sz w:val="24"/>
          <w:szCs w:val="24"/>
        </w:rPr>
        <w:t>金属表面之破坏处，应先清洗破损处至底层金属，并用含锌油漆打底或用总承包单位认可之油漆。</w:t>
      </w:r>
    </w:p>
    <w:p w:rsidR="00F85CB2" w14:paraId="678B70F9" w14:textId="77777777">
      <w:pPr>
        <w:pStyle w:val="ListParagraph"/>
        <w:spacing w:line="360" w:lineRule="auto"/>
        <w:ind w:firstLine="480"/>
        <w:jc w:val="left"/>
        <w:rPr>
          <w:rFonts w:ascii="宋体" w:hAnsi="宋体" w:cs="宋体"/>
          <w:bCs/>
          <w:sz w:val="24"/>
          <w:szCs w:val="24"/>
        </w:rPr>
      </w:pPr>
      <w:r>
        <w:rPr>
          <w:rFonts w:ascii="宋体" w:hAnsi="宋体" w:cs="宋体" w:hint="eastAsia"/>
          <w:bCs/>
          <w:sz w:val="24"/>
          <w:szCs w:val="24"/>
        </w:rPr>
        <w:t>设备表面破损处，应清洗破损处至底层金属，并用设备之油漆程序及油漆加以修补。</w:t>
      </w:r>
    </w:p>
    <w:p w:rsidR="00F85CB2" w14:paraId="6B79E336" w14:textId="77777777">
      <w:pPr>
        <w:pStyle w:val="ListParagraph"/>
        <w:spacing w:line="360" w:lineRule="auto"/>
        <w:ind w:firstLine="480"/>
        <w:jc w:val="left"/>
        <w:rPr>
          <w:rFonts w:ascii="宋体" w:hAnsi="宋体" w:cs="宋体"/>
          <w:bCs/>
          <w:sz w:val="24"/>
          <w:szCs w:val="24"/>
        </w:rPr>
      </w:pPr>
      <w:r>
        <w:rPr>
          <w:rFonts w:ascii="宋体" w:hAnsi="宋体" w:cs="宋体" w:hint="eastAsia"/>
          <w:bCs/>
          <w:sz w:val="24"/>
          <w:szCs w:val="24"/>
        </w:rPr>
        <w:t>承包单位应时刻保持其安装工料至合理清洁之程度，并且应尽快清除施工现场之不必要废料。</w:t>
      </w:r>
    </w:p>
    <w:p w:rsidR="00F85CB2" w14:paraId="3E0E77E4" w14:textId="77777777">
      <w:pPr>
        <w:pStyle w:val="ListParagraph"/>
        <w:spacing w:line="360" w:lineRule="auto"/>
        <w:ind w:firstLine="480"/>
        <w:jc w:val="left"/>
        <w:rPr>
          <w:rFonts w:ascii="宋体" w:hAnsi="宋体" w:cs="宋体"/>
          <w:bCs/>
          <w:sz w:val="24"/>
          <w:szCs w:val="24"/>
        </w:rPr>
      </w:pPr>
      <w:r>
        <w:rPr>
          <w:rFonts w:ascii="宋体" w:hAnsi="宋体" w:cs="宋体" w:hint="eastAsia"/>
          <w:bCs/>
          <w:sz w:val="24"/>
          <w:szCs w:val="24"/>
        </w:rPr>
        <w:t>施工结束时，承包单位应清除一切暂时的遮盖、外壳、并应清除所有之污迹、标记等，达至总承包单位认可交接之程序。</w:t>
      </w:r>
    </w:p>
    <w:p w:rsidR="00F85CB2" w14:paraId="4C1A479C" w14:textId="77777777">
      <w:pPr>
        <w:pStyle w:val="ListParagraph"/>
        <w:spacing w:line="360" w:lineRule="auto"/>
        <w:ind w:left="450" w:firstLine="0" w:firstLineChars="0"/>
        <w:jc w:val="left"/>
        <w:rPr>
          <w:rFonts w:ascii="宋体" w:hAnsi="宋体" w:cs="宋体"/>
          <w:b/>
          <w:sz w:val="24"/>
          <w:szCs w:val="24"/>
        </w:rPr>
      </w:pPr>
      <w:r>
        <w:rPr>
          <w:rFonts w:ascii="宋体" w:hAnsi="宋体" w:cs="宋体" w:hint="eastAsia"/>
          <w:b/>
          <w:sz w:val="24"/>
          <w:szCs w:val="24"/>
        </w:rPr>
        <w:t>1.4、询价图纸与深化设计</w:t>
      </w:r>
    </w:p>
    <w:p w:rsidR="00F85CB2" w14:paraId="273A0716" w14:textId="77777777">
      <w:pPr>
        <w:spacing w:line="360" w:lineRule="auto"/>
        <w:ind w:firstLine="480" w:firstLineChars="200"/>
        <w:jc w:val="left"/>
        <w:rPr>
          <w:rFonts w:ascii="宋体" w:hAnsi="宋体" w:cs="宋体"/>
          <w:sz w:val="24"/>
          <w:szCs w:val="24"/>
        </w:rPr>
      </w:pPr>
      <w:r>
        <w:rPr>
          <w:rFonts w:ascii="宋体" w:hAnsi="宋体" w:cs="宋体" w:hint="eastAsia"/>
          <w:sz w:val="24"/>
          <w:szCs w:val="24"/>
        </w:rPr>
        <w:t>1.4.1、询价图纸</w:t>
      </w:r>
    </w:p>
    <w:p w:rsidR="00F85CB2" w14:paraId="782EA18B"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询价时连同询价文件所发的有关图纸(询价图或设计单位的施工图)，其作用只</w:t>
      </w:r>
      <w:r>
        <w:rPr>
          <w:rFonts w:ascii="宋体" w:hAnsi="宋体" w:cs="宋体" w:hint="eastAsia"/>
          <w:sz w:val="24"/>
          <w:szCs w:val="24"/>
        </w:rPr>
        <w:t>供承包</w:t>
      </w:r>
      <w:r>
        <w:rPr>
          <w:rFonts w:ascii="宋体" w:hAnsi="宋体" w:cs="宋体" w:hint="eastAsia"/>
          <w:sz w:val="24"/>
          <w:szCs w:val="24"/>
        </w:rPr>
        <w:t>单位于询价时作为一般指引及在中选后制作其设备和深化施工图的依据。</w:t>
      </w:r>
    </w:p>
    <w:p w:rsidR="00F85CB2" w14:paraId="2FF8476F"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询价图纸所示的为基本的设计原理，并同时提供一个已考虑各设备装配相互关系的可行的设备安置，以便承包单位在进行其深化设计及深化图纸制作时作为参照和依据。</w:t>
      </w:r>
    </w:p>
    <w:p w:rsidR="00F85CB2" w14:paraId="62D94391" w14:textId="77777777">
      <w:pPr>
        <w:spacing w:line="360" w:lineRule="auto"/>
        <w:ind w:firstLine="480" w:firstLineChars="200"/>
        <w:jc w:val="left"/>
        <w:rPr>
          <w:rFonts w:ascii="宋体" w:hAnsi="宋体" w:cs="宋体"/>
          <w:sz w:val="24"/>
          <w:szCs w:val="24"/>
        </w:rPr>
      </w:pPr>
      <w:r>
        <w:rPr>
          <w:rFonts w:ascii="宋体" w:hAnsi="宋体" w:cs="宋体" w:hint="eastAsia"/>
          <w:sz w:val="24"/>
          <w:szCs w:val="24"/>
        </w:rPr>
        <w:t>1.4.2、承包单位的深化设计和图纸送审</w:t>
      </w:r>
    </w:p>
    <w:p w:rsidR="00F85CB2" w14:paraId="4401EE23" w14:textId="77777777">
      <w:pPr>
        <w:pStyle w:val="ListParagraph"/>
        <w:spacing w:line="360" w:lineRule="auto"/>
        <w:ind w:firstLine="480"/>
        <w:jc w:val="left"/>
        <w:rPr>
          <w:rFonts w:ascii="宋体" w:hAnsi="宋体" w:cs="宋体"/>
          <w:sz w:val="24"/>
          <w:szCs w:val="24"/>
        </w:rPr>
        <w:sectPr>
          <w:headerReference w:type="default" r:id="rId9"/>
          <w:type w:val="nextPage"/>
          <w:pgSz w:w="11906" w:h="16838"/>
          <w:pgMar w:top="1418" w:right="1304" w:bottom="1418" w:left="1304" w:header="567" w:footer="907" w:gutter="0"/>
          <w:pgNumType w:start="4"/>
          <w:cols w:space="425"/>
          <w:titlePg w:val="0"/>
          <w:docGrid w:linePitch="312"/>
        </w:sectPr>
      </w:pPr>
      <w:r>
        <w:rPr>
          <w:rFonts w:ascii="宋体" w:hAnsi="宋体" w:cs="宋体" w:hint="eastAsia"/>
          <w:sz w:val="24"/>
          <w:szCs w:val="24"/>
        </w:rPr>
        <w:t>在收到正式中选通知书后，承包单位须立即编制深化设计以及图纸编绘和送审的计</w:t>
      </w:r>
    </w:p>
    <w:p w:rsidR="00F85CB2"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划表，于两周内提交审核。承包单位须在整个工程的每个阶段按工作进度呈交有关的资料作审核。同时确保所有呈交的资料包括一切计算数据、建议方案、所需的文件及资料等均能按时按序及按规格要求送审以便获得批核施工。由于批核上述送审</w:t>
      </w:r>
      <w:r>
        <w:rPr>
          <w:rFonts w:ascii="宋体" w:hAnsi="宋体" w:cs="宋体" w:hint="eastAsia"/>
          <w:sz w:val="24"/>
          <w:szCs w:val="24"/>
        </w:rPr>
        <w:t>材料件需时间</w:t>
      </w:r>
      <w:r>
        <w:rPr>
          <w:rFonts w:ascii="宋体" w:hAnsi="宋体" w:cs="宋体" w:hint="eastAsia"/>
          <w:sz w:val="24"/>
          <w:szCs w:val="24"/>
        </w:rPr>
        <w:t>，承包单位须预留足够时间供批核及作修改重审。如承包单位未能按照所定计划和工程进度提交所需的资料而导致工期拖延，一切损失及责任须由承包单位负责。</w:t>
      </w:r>
    </w:p>
    <w:p w:rsidR="00F85CB2" w14:paraId="1919941A" w14:textId="77777777">
      <w:pPr>
        <w:pStyle w:val="ListParagraph"/>
        <w:spacing w:line="360" w:lineRule="auto"/>
        <w:ind w:firstLine="480"/>
        <w:jc w:val="left"/>
        <w:rPr>
          <w:rFonts w:ascii="宋体" w:hAnsi="宋体" w:cs="宋体"/>
          <w:sz w:val="24"/>
          <w:szCs w:val="24"/>
        </w:rPr>
      </w:pPr>
      <w:r>
        <w:rPr>
          <w:rFonts w:ascii="宋体" w:hAnsi="宋体" w:cs="宋体" w:hint="eastAsia"/>
          <w:sz w:val="24"/>
          <w:szCs w:val="24"/>
        </w:rPr>
        <w:t>承包单位须对有关系统设备展开详尽的设计工作，包括编制所需的施工图以及设计计算、详尽的注释和说明等，并需满足有关规范的要求。</w:t>
      </w:r>
    </w:p>
    <w:p w:rsidR="00F85CB2" w14:paraId="055365B1" w14:textId="77777777">
      <w:pPr>
        <w:spacing w:line="360" w:lineRule="auto"/>
        <w:ind w:firstLine="480" w:firstLineChars="200"/>
        <w:jc w:val="left"/>
        <w:rPr>
          <w:rFonts w:ascii="宋体" w:hAnsi="宋体" w:cs="宋体"/>
          <w:sz w:val="24"/>
          <w:szCs w:val="24"/>
        </w:rPr>
      </w:pPr>
      <w:r>
        <w:rPr>
          <w:rFonts w:ascii="宋体" w:hAnsi="宋体" w:cs="宋体" w:hint="eastAsia"/>
          <w:sz w:val="24"/>
          <w:szCs w:val="24"/>
        </w:rPr>
        <w:t>1.4.3、标准的遵从</w:t>
      </w:r>
    </w:p>
    <w:p w:rsidR="00F85CB2" w14:paraId="6B70EC46" w14:textId="77777777">
      <w:pPr>
        <w:spacing w:line="360" w:lineRule="auto"/>
        <w:ind w:firstLine="480" w:firstLineChars="200"/>
        <w:jc w:val="left"/>
        <w:rPr>
          <w:rFonts w:ascii="宋体" w:hAnsi="宋体" w:cs="宋体"/>
          <w:sz w:val="24"/>
          <w:szCs w:val="24"/>
        </w:rPr>
      </w:pPr>
      <w:r>
        <w:rPr>
          <w:rFonts w:ascii="宋体" w:hAnsi="宋体" w:cs="宋体" w:hint="eastAsia"/>
          <w:sz w:val="24"/>
          <w:szCs w:val="24"/>
        </w:rPr>
        <w:t>承包单位必须呈交与本合同范围有关的资料包括所有材料、装置和设备的完整资料如产品技术资料说明书、装配指引、详图和证明文件等供审核。若有关设备或材料注明须符合中国国家有关规范或标准。</w:t>
      </w:r>
    </w:p>
    <w:p w:rsidR="00F85CB2" w14:paraId="66252360" w14:textId="77777777">
      <w:pPr>
        <w:spacing w:line="360" w:lineRule="auto"/>
        <w:ind w:firstLine="480" w:firstLineChars="200"/>
        <w:jc w:val="left"/>
        <w:rPr>
          <w:rFonts w:ascii="宋体" w:hAnsi="宋体" w:cs="宋体"/>
          <w:sz w:val="24"/>
          <w:szCs w:val="24"/>
        </w:rPr>
      </w:pPr>
      <w:r>
        <w:rPr>
          <w:rFonts w:ascii="宋体" w:hAnsi="宋体" w:cs="宋体" w:hint="eastAsia"/>
          <w:sz w:val="24"/>
          <w:szCs w:val="24"/>
        </w:rPr>
        <w:t>1.4.4、深化设计图纸要求</w:t>
      </w:r>
    </w:p>
    <w:p w:rsidR="00F85CB2" w14:paraId="39CB1415" w14:textId="77777777">
      <w:pPr>
        <w:widowControl/>
        <w:tabs>
          <w:tab w:val="left" w:pos="1620"/>
          <w:tab w:val="left" w:pos="1701"/>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1.4.4.1、承包单位必须按工程进度或按发包人的要求呈交</w:t>
      </w:r>
      <w:r>
        <w:rPr>
          <w:rFonts w:ascii="宋体" w:hAnsi="宋体" w:cs="宋体" w:hint="eastAsia"/>
          <w:sz w:val="24"/>
          <w:szCs w:val="24"/>
        </w:rPr>
        <w:t>本承包</w:t>
      </w:r>
      <w:r>
        <w:rPr>
          <w:rFonts w:ascii="宋体" w:hAnsi="宋体" w:cs="宋体" w:hint="eastAsia"/>
          <w:sz w:val="24"/>
          <w:szCs w:val="24"/>
        </w:rPr>
        <w:t>合同范围有关系统</w:t>
      </w:r>
    </w:p>
    <w:p w:rsidR="00F85CB2" w14:paraId="3ECE4D49" w14:textId="77777777">
      <w:pPr>
        <w:widowControl/>
        <w:tabs>
          <w:tab w:val="left" w:pos="1620"/>
          <w:tab w:val="left" w:pos="1701"/>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的深化设计和施工图，供发包人、设计院和有关部门审批。深化设计的单位（机电安装工程承包单位）需获得发包人的认可的有关图纸内容</w:t>
      </w:r>
      <w:r>
        <w:rPr>
          <w:rFonts w:ascii="宋体" w:hAnsi="宋体" w:cs="宋体" w:hint="eastAsia"/>
          <w:sz w:val="24"/>
          <w:szCs w:val="24"/>
        </w:rPr>
        <w:t>须包括</w:t>
      </w:r>
      <w:r>
        <w:rPr>
          <w:rFonts w:ascii="宋体" w:hAnsi="宋体" w:cs="宋体" w:hint="eastAsia"/>
          <w:sz w:val="24"/>
          <w:szCs w:val="24"/>
        </w:rPr>
        <w:t>平面、立面和剖面图。除显示所有有关设备、管道、电气线路、控制装置和附属配件的布置安排外，还需显示各附件的位置、施工土建配合要求、与其它机电承包合同的分界面和一切施工所需的大样详图。深化施工图深度必须达到发包人审批的标准要求，送审图纸须向当地有关单位分别送审。深化施工阶段图纸的各专业人员必须常驻工地，直到发包人认为深化施工图纸送审工作已经完成。</w:t>
      </w:r>
    </w:p>
    <w:p w:rsidR="00F85CB2" w14:paraId="0B77B354"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1.4.4.2、有关图纸经各审批单位初步批阅后，承包单位需综合有关意见加以修改，然后再安排送审，直至</w:t>
      </w:r>
      <w:r>
        <w:rPr>
          <w:rFonts w:ascii="宋体" w:hAnsi="宋体" w:cs="宋体" w:hint="eastAsia"/>
          <w:sz w:val="24"/>
          <w:szCs w:val="24"/>
        </w:rPr>
        <w:t>图纸获</w:t>
      </w:r>
      <w:r>
        <w:rPr>
          <w:rFonts w:ascii="宋体" w:hAnsi="宋体" w:cs="宋体" w:hint="eastAsia"/>
          <w:sz w:val="24"/>
          <w:szCs w:val="24"/>
        </w:rPr>
        <w:t>批准为止。</w:t>
      </w:r>
      <w:r>
        <w:rPr>
          <w:rFonts w:ascii="宋体" w:hAnsi="宋体" w:cs="宋体" w:hint="eastAsia"/>
          <w:sz w:val="24"/>
          <w:szCs w:val="24"/>
        </w:rPr>
        <w:t>图纸获</w:t>
      </w:r>
      <w:r>
        <w:rPr>
          <w:rFonts w:ascii="宋体" w:hAnsi="宋体" w:cs="宋体" w:hint="eastAsia"/>
          <w:sz w:val="24"/>
          <w:szCs w:val="24"/>
        </w:rPr>
        <w:t>批核后，需经设计单位盖章，然后再分送发包人、设计单位、测量师、工地等单位作为施工记录和验收之用。同时，并需以电子文件（CAD+PDF）档案形式发送给相关单位。</w:t>
      </w:r>
    </w:p>
    <w:p w:rsidR="00F85CB2" w14:paraId="0A274DC6"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1.4.4.3、在施工过程中，如需进行修改，须遵循相关设计变更程序，得到批准后，予以修改。</w:t>
      </w:r>
    </w:p>
    <w:p w:rsidR="00F85CB2" w14:paraId="20DF5782" w14:textId="77777777">
      <w:pPr>
        <w:widowControl/>
        <w:tabs>
          <w:tab w:val="left" w:pos="1620"/>
          <w:tab w:val="left" w:pos="1701"/>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1.4.4.5、送审的图纸规格须按下列要求提交：</w:t>
      </w:r>
    </w:p>
    <w:p w:rsidR="00F85CB2" w14:paraId="332CE102" w14:textId="77777777">
      <w:pPr>
        <w:autoSpaceDE w:val="0"/>
        <w:autoSpaceDN w:val="0"/>
        <w:adjustRightInd w:val="0"/>
        <w:spacing w:line="360" w:lineRule="auto"/>
        <w:ind w:firstLine="480" w:firstLineChars="200"/>
        <w:jc w:val="left"/>
        <w:rPr>
          <w:rFonts w:ascii="宋体" w:hAnsi="宋体" w:cs="宋体"/>
          <w:sz w:val="24"/>
          <w:szCs w:val="24"/>
        </w:rPr>
        <w:sectPr>
          <w:headerReference w:type="default" r:id="rId10"/>
          <w:type w:val="nextPage"/>
          <w:pgSz w:w="11906" w:h="16838"/>
          <w:pgMar w:top="1418" w:right="1304" w:bottom="1418" w:left="1304" w:header="567" w:footer="907" w:gutter="0"/>
          <w:pgNumType w:start="5"/>
          <w:cols w:space="425"/>
          <w:titlePg w:val="0"/>
          <w:docGrid w:linePitch="312"/>
        </w:sectPr>
      </w:pPr>
      <w:r>
        <w:rPr>
          <w:rFonts w:ascii="宋体" w:hAnsi="宋体" w:cs="宋体" w:hint="eastAsia"/>
          <w:sz w:val="24"/>
          <w:szCs w:val="24"/>
        </w:rPr>
        <w:t>深化设计蓝图：平面图、设备材料表、系统图不小于A2尺寸、图纸目录、大样图等不小于A3尺寸。</w:t>
      </w:r>
    </w:p>
    <w:p w:rsidR="00F85CB2" w14:paraId="5BC0C7D7" w14:textId="77777777">
      <w:pPr>
        <w:widowControl/>
        <w:tabs>
          <w:tab w:val="left" w:pos="1620"/>
          <w:tab w:val="left" w:pos="1701"/>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1.4.4.6、除了上述施工安装图纸以外，所有有关拟选用的设备、装置、材料以及附件亦应提交审批，为了便于识别，每一项产品送审时，应最少包括以下资料：</w:t>
      </w:r>
    </w:p>
    <w:p w:rsidR="00F85CB2" w14:paraId="0DBF7334"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承包合同的名称和编号</w:t>
      </w:r>
    </w:p>
    <w:p w:rsidR="00F85CB2" w14:paraId="04B33B2E"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承包单位的名字</w:t>
      </w:r>
    </w:p>
    <w:p w:rsidR="00F85CB2" w14:paraId="6AF20A68"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图纸及/或技术规格说明书内有关章节的对照依据</w:t>
      </w:r>
    </w:p>
    <w:p w:rsidR="00F85CB2" w14:paraId="6286288C"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送审件的说明和清单</w:t>
      </w:r>
    </w:p>
    <w:p w:rsidR="00F85CB2" w14:paraId="4FCE6AEF"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1.4.4.7、为了简化和便于处理，同类型的设备、装置、材料应同时送审。而每个送审</w:t>
      </w:r>
      <w:r>
        <w:rPr>
          <w:rFonts w:ascii="宋体" w:hAnsi="宋体" w:cs="宋体" w:hint="eastAsia"/>
          <w:sz w:val="24"/>
          <w:szCs w:val="24"/>
        </w:rPr>
        <w:t>件只能</w:t>
      </w:r>
      <w:r>
        <w:rPr>
          <w:rFonts w:ascii="宋体" w:hAnsi="宋体" w:cs="宋体" w:hint="eastAsia"/>
          <w:sz w:val="24"/>
          <w:szCs w:val="24"/>
        </w:rPr>
        <w:t>包括一种型号的产品或设备。</w:t>
      </w:r>
    </w:p>
    <w:p w:rsidR="00F85CB2" w14:paraId="3CE93821" w14:textId="77777777">
      <w:pPr>
        <w:widowControl/>
        <w:tabs>
          <w:tab w:val="left" w:pos="1620"/>
          <w:tab w:val="left" w:pos="1701"/>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每一项设计或图纸送审时，内容应包括：</w:t>
      </w:r>
    </w:p>
    <w:p w:rsidR="00F85CB2" w14:paraId="5A1B13A4"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图号和最新之修正编号</w:t>
      </w:r>
    </w:p>
    <w:p w:rsidR="00F85CB2" w14:paraId="5BCD699F"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图纸名称</w:t>
      </w:r>
    </w:p>
    <w:p w:rsidR="00F85CB2" w14:paraId="7259D9F1"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送审日期</w:t>
      </w:r>
    </w:p>
    <w:p w:rsidR="00F85CB2" w14:paraId="7C0AE2F1"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修正编号及在</w:t>
      </w:r>
      <w:r>
        <w:rPr>
          <w:rFonts w:ascii="宋体" w:hAnsi="宋体" w:cs="宋体" w:hint="eastAsia"/>
          <w:sz w:val="24"/>
          <w:szCs w:val="24"/>
        </w:rPr>
        <w:t>修改部</w:t>
      </w:r>
      <w:r>
        <w:rPr>
          <w:rFonts w:ascii="宋体" w:hAnsi="宋体" w:cs="宋体" w:hint="eastAsia"/>
          <w:sz w:val="24"/>
          <w:szCs w:val="24"/>
        </w:rPr>
        <w:t>份加上记号</w:t>
      </w:r>
    </w:p>
    <w:p w:rsidR="00F85CB2" w14:paraId="48B12313"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有关最后修正的简要说明。</w:t>
      </w:r>
    </w:p>
    <w:p w:rsidR="00F85CB2" w14:paraId="4E9B5C8E"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承包单位的设计、图纸、装置或设置经批核后并不表示可解除或减轻承包单位对本合同应履行的任何责任和义务。承包单位仍须保证在本合同范围内所包括的一切工作均达到所需的要求。</w:t>
      </w:r>
    </w:p>
    <w:p w:rsidR="00F85CB2" w14:paraId="393A8675" w14:textId="77777777">
      <w:pPr>
        <w:pStyle w:val="ListParagraph"/>
        <w:spacing w:line="360" w:lineRule="auto"/>
        <w:ind w:left="450" w:firstLine="0" w:firstLineChars="0"/>
        <w:jc w:val="left"/>
        <w:rPr>
          <w:rFonts w:ascii="宋体" w:hAnsi="宋体" w:cs="宋体"/>
          <w:b/>
          <w:bCs/>
          <w:sz w:val="24"/>
          <w:szCs w:val="24"/>
        </w:rPr>
      </w:pPr>
      <w:r>
        <w:rPr>
          <w:rFonts w:ascii="宋体" w:hAnsi="宋体" w:cs="宋体" w:hint="eastAsia"/>
          <w:b/>
          <w:bCs/>
          <w:sz w:val="24"/>
          <w:szCs w:val="24"/>
        </w:rPr>
        <w:t>1.5、竣工图纸</w:t>
      </w:r>
    </w:p>
    <w:p w:rsidR="00F85CB2" w14:paraId="15450C4D"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1.5.1、所有竣工记录图纸必须于工程整体竣工验收前呈交。承包单位应于按设计变更对施工图纸进行修改，最后形成竣工图纸并提交。所有图纸资料及编号均需详列于一份统一的图纸目录上，此目录将纳入操作和维修保养手册内。竣工图的深度及编制要求必须达到 深圳 市标准要求及城建档案馆的要求。</w:t>
      </w:r>
    </w:p>
    <w:p w:rsidR="00F85CB2" w14:paraId="14F598A1"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1.5.2、竣工图需采用电脑绘制，并应符合国内有关制图标准。所有图例亦应严格遵照有关国内标准的规定。</w:t>
      </w:r>
    </w:p>
    <w:p w:rsidR="00F85CB2" w14:paraId="2CED03E0"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sectPr>
          <w:headerReference w:type="default" r:id="rId11"/>
          <w:type w:val="nextPage"/>
          <w:pgSz w:w="11906" w:h="16838"/>
          <w:pgMar w:top="1418" w:right="1304" w:bottom="1418" w:left="1304" w:header="567" w:footer="907" w:gutter="0"/>
          <w:pgNumType w:start="6"/>
          <w:cols w:space="425"/>
          <w:titlePg w:val="0"/>
          <w:docGrid w:linePitch="312"/>
        </w:sectPr>
      </w:pPr>
      <w:r>
        <w:rPr>
          <w:rFonts w:ascii="宋体" w:hAnsi="宋体" w:cs="宋体" w:hint="eastAsia"/>
          <w:sz w:val="24"/>
          <w:szCs w:val="24"/>
        </w:rPr>
        <w:t>1.5.3、竣工图除展示出所有的设备和装置外，并应包括全部电缆/线管/管道等的敷设安排和全部继电器、接触器和其它开关装置的接点分析图表，及清楚说明每一主要设备接触器及其它部件的操作程序的图表。任何对设备和装置的运转、操作、保养或对日后系统的加改有用的一切资料，无论是否曾在施工图上表示过的，都应加以标注。控制器、装备或任何部件的有关参考号码或字母，以及设备和装置铭牌上列示的字母和号数等均应加以综合摘引。</w:t>
      </w:r>
    </w:p>
    <w:p w:rsidR="00F85CB2" w14:paraId="1BBA625F"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1.5.4、所有系统示意竣工图及控制线路竣工图应个别用铝制框架装挂于相应机房墙壁上。框架的具体要求须提交审核。</w:t>
      </w:r>
    </w:p>
    <w:p w:rsidR="00F85CB2" w14:paraId="585CA09D"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1.5.5、除上述各项外，承包单位并需提交全部竣工图纸的电脑软件档案并采用光盘（CD ROM）储放。</w:t>
      </w:r>
      <w:r>
        <w:rPr>
          <w:rFonts w:ascii="宋体" w:hAnsi="宋体" w:cs="宋体" w:hint="eastAsia"/>
          <w:sz w:val="24"/>
          <w:szCs w:val="24"/>
        </w:rPr>
        <w:t>承送单位</w:t>
      </w:r>
      <w:r>
        <w:rPr>
          <w:rFonts w:ascii="宋体" w:hAnsi="宋体" w:cs="宋体" w:hint="eastAsia"/>
          <w:sz w:val="24"/>
          <w:szCs w:val="24"/>
        </w:rPr>
        <w:t>及图纸、光盘数量详见“所需提供的文件及图纸要求”。</w:t>
      </w:r>
    </w:p>
    <w:p w:rsidR="00F85CB2" w14:paraId="748A9986"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1.5.6、承包单位须注意如竣工图及操作与维修手册未按要求准时提交或未达批核水平时，有关于合约中扣下的款项将不会批付。有关要求已详述于本规格说明书内，承包单位须严格遵从。</w:t>
      </w:r>
    </w:p>
    <w:p w:rsidR="00F85CB2" w14:paraId="04309881" w14:textId="77777777">
      <w:pPr>
        <w:pStyle w:val="ListParagraph"/>
        <w:spacing w:line="360" w:lineRule="auto"/>
        <w:ind w:left="450" w:firstLine="0" w:firstLineChars="0"/>
        <w:jc w:val="left"/>
        <w:rPr>
          <w:rFonts w:ascii="宋体" w:hAnsi="宋体" w:cs="宋体"/>
          <w:b/>
          <w:bCs/>
          <w:sz w:val="24"/>
          <w:szCs w:val="24"/>
        </w:rPr>
      </w:pPr>
      <w:bookmarkStart w:id="1" w:name="_Toc35870557"/>
      <w:r>
        <w:rPr>
          <w:rFonts w:ascii="宋体" w:hAnsi="宋体" w:cs="宋体" w:hint="eastAsia"/>
          <w:b/>
          <w:bCs/>
          <w:sz w:val="24"/>
          <w:szCs w:val="24"/>
        </w:rPr>
        <w:t>1.6、工程进度计划表</w:t>
      </w:r>
      <w:bookmarkEnd w:id="1"/>
    </w:p>
    <w:p w:rsidR="00F85CB2" w14:paraId="575732DA"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1.6.1、承包单位须</w:t>
      </w:r>
      <w:r>
        <w:rPr>
          <w:rFonts w:ascii="宋体" w:hAnsi="宋体" w:cs="宋体" w:hint="eastAsia"/>
          <w:sz w:val="24"/>
          <w:szCs w:val="24"/>
        </w:rPr>
        <w:t>在呈投交</w:t>
      </w:r>
      <w:r>
        <w:rPr>
          <w:rFonts w:ascii="宋体" w:hAnsi="宋体" w:cs="宋体" w:hint="eastAsia"/>
          <w:sz w:val="24"/>
          <w:szCs w:val="24"/>
        </w:rPr>
        <w:t>标书时提交一份施工程序和进度计划表，而在正式书面获知中选后两星期内再呈交一份详尽的工作进度计划表呈报审批。</w:t>
      </w:r>
    </w:p>
    <w:p w:rsidR="00F85CB2" w14:paraId="4746B28E"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1.6.2、承包单位的工作进度计划应与总承包单位的工作进度计划协调，并须</w:t>
      </w:r>
      <w:r>
        <w:rPr>
          <w:rFonts w:ascii="宋体" w:hAnsi="宋体" w:cs="宋体" w:hint="eastAsia"/>
          <w:sz w:val="24"/>
          <w:szCs w:val="24"/>
        </w:rPr>
        <w:t>配合总</w:t>
      </w:r>
      <w:r>
        <w:rPr>
          <w:rFonts w:ascii="宋体" w:hAnsi="宋体" w:cs="宋体" w:hint="eastAsia"/>
          <w:sz w:val="24"/>
          <w:szCs w:val="24"/>
        </w:rPr>
        <w:t>承包合同分期进行的工作进度要求。进度计划表应包括（但不限于）以下内容：</w:t>
      </w:r>
    </w:p>
    <w:p w:rsidR="00F85CB2" w14:paraId="7E3CD7DC"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管理人员进驻工地；</w:t>
      </w:r>
    </w:p>
    <w:p w:rsidR="00F85CB2" w14:paraId="7F3210CC"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所有设计图纸、样品和设备送审时间；</w:t>
      </w:r>
    </w:p>
    <w:p w:rsidR="00F85CB2" w14:paraId="3EBB684E"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送有关政府部门审批的施工图纸和设备；</w:t>
      </w:r>
    </w:p>
    <w:p w:rsidR="00F85CB2" w14:paraId="369D5E77"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设备的订购；</w:t>
      </w:r>
    </w:p>
    <w:p w:rsidR="00F85CB2" w14:paraId="4E3DC4CF"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设备的生产制造；</w:t>
      </w:r>
    </w:p>
    <w:p w:rsidR="00F85CB2" w14:paraId="32B42147"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设备从原产地运送至工地；</w:t>
      </w:r>
    </w:p>
    <w:p w:rsidR="00F85CB2" w14:paraId="436D5FBC"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设备的安装方法、程序以及各细项工序所耗用的时间；</w:t>
      </w:r>
    </w:p>
    <w:p w:rsidR="00F85CB2" w14:paraId="55FE78F3"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测试和验收；</w:t>
      </w:r>
    </w:p>
    <w:p w:rsidR="00F85CB2" w14:paraId="1E72F153"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移交。</w:t>
      </w:r>
    </w:p>
    <w:p w:rsidR="00F85CB2" w14:paraId="3AA0B7F9"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由承包单位所提交并经总承包及各方面接受的进度计划表将纳入于整体工程的总进度表内。承包单位须按照有关进度计划表进行施工。</w:t>
      </w:r>
    </w:p>
    <w:p w:rsidR="00F85CB2" w14:paraId="42BE957D"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1.6.3、承包单位应按指示立刻展开工作，并应持高度合作及积极态度以</w:t>
      </w:r>
      <w:r>
        <w:rPr>
          <w:rFonts w:ascii="宋体" w:hAnsi="宋体" w:cs="宋体" w:hint="eastAsia"/>
          <w:sz w:val="24"/>
          <w:szCs w:val="24"/>
        </w:rPr>
        <w:t>配合总</w:t>
      </w:r>
      <w:r>
        <w:rPr>
          <w:rFonts w:ascii="宋体" w:hAnsi="宋体" w:cs="宋体" w:hint="eastAsia"/>
          <w:sz w:val="24"/>
          <w:szCs w:val="24"/>
        </w:rPr>
        <w:t>进度计划表的工作安排。承包单位应注意工作效率和速度的重要性，并必须紧密地</w:t>
      </w:r>
      <w:r>
        <w:rPr>
          <w:rFonts w:ascii="宋体" w:hAnsi="宋体" w:cs="宋体" w:hint="eastAsia"/>
          <w:sz w:val="24"/>
          <w:szCs w:val="24"/>
        </w:rPr>
        <w:t>配合总</w:t>
      </w:r>
      <w:r>
        <w:rPr>
          <w:rFonts w:ascii="宋体" w:hAnsi="宋体" w:cs="宋体" w:hint="eastAsia"/>
          <w:sz w:val="24"/>
          <w:szCs w:val="24"/>
        </w:rPr>
        <w:t>承包单位所订下的工作进度计划。</w:t>
      </w:r>
    </w:p>
    <w:p w:rsidR="00F85CB2" w14:paraId="2479A192"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sectPr>
          <w:headerReference w:type="default" r:id="rId12"/>
          <w:type w:val="nextPage"/>
          <w:pgSz w:w="11906" w:h="16838"/>
          <w:pgMar w:top="1418" w:right="1304" w:bottom="1418" w:left="1304" w:header="567" w:footer="907" w:gutter="0"/>
          <w:pgNumType w:start="7"/>
          <w:cols w:space="425"/>
          <w:titlePg w:val="0"/>
          <w:docGrid w:linePitch="312"/>
        </w:sectPr>
      </w:pPr>
      <w:r>
        <w:rPr>
          <w:rFonts w:ascii="宋体" w:hAnsi="宋体" w:cs="宋体" w:hint="eastAsia"/>
          <w:sz w:val="24"/>
          <w:szCs w:val="24"/>
        </w:rPr>
        <w:t>1.6.4、总进度计划表的安排并不保证承包单位能按所定进度连续不断地进行施工，</w:t>
      </w:r>
      <w:r>
        <w:rPr>
          <w:rFonts w:ascii="宋体" w:hAnsi="宋体" w:cs="宋体" w:hint="eastAsia"/>
          <w:sz w:val="24"/>
          <w:szCs w:val="24"/>
        </w:rPr>
        <w:t>假若因</w:t>
      </w:r>
      <w:r>
        <w:rPr>
          <w:rFonts w:ascii="宋体" w:hAnsi="宋体" w:cs="宋体" w:hint="eastAsia"/>
          <w:sz w:val="24"/>
          <w:szCs w:val="24"/>
        </w:rPr>
        <w:t>按实际施工情况而需对有关总进度计划表做出修改时，承包单位须予以配合及不能为此而做出任何的索偿。</w:t>
      </w:r>
    </w:p>
    <w:p w:rsidR="00F85CB2" w14:paraId="69382A9D"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1.6.5、承包单位应在任何阶段与总承包单位及其它承包单位合作。同时，在施工过程中应不断按实际情况考虑其它承包单位或专业承包单位的需要而对施工计划做出修订并可以配合实际施工进度。</w:t>
      </w:r>
    </w:p>
    <w:p w:rsidR="00F85CB2" w14:paraId="2AC7BB4D"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1.6.6、有关工地的建筑活动中，承包单位须</w:t>
      </w:r>
      <w:r>
        <w:rPr>
          <w:rFonts w:ascii="宋体" w:hAnsi="宋体" w:cs="宋体" w:hint="eastAsia"/>
          <w:sz w:val="24"/>
          <w:szCs w:val="24"/>
        </w:rPr>
        <w:t>配合总</w:t>
      </w:r>
      <w:r>
        <w:rPr>
          <w:rFonts w:ascii="宋体" w:hAnsi="宋体" w:cs="宋体" w:hint="eastAsia"/>
          <w:sz w:val="24"/>
          <w:szCs w:val="24"/>
        </w:rPr>
        <w:t>承包单位联络及协调其它承包单位。</w:t>
      </w:r>
    </w:p>
    <w:p w:rsidR="00F85CB2" w14:paraId="4B6952E3"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1.6.7、承包单位必须参与本工程有关的相关会议。</w:t>
      </w:r>
    </w:p>
    <w:p w:rsidR="00F85CB2" w14:paraId="229DA71B"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1.6.8、承包单位须预备有关资料包括图纸呈交公用事业机构及/中国法定机构批准。若因缺乏沟通，导致返工的费用及工期延期的责任由承包单位负责。</w:t>
      </w:r>
    </w:p>
    <w:p w:rsidR="00F85CB2" w14:paraId="15208C14"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1.6.9、承包单位须负责获得有关的批准或牌照许可证，使合约内的泛光照明系统能按时投入服务。若因缺乏沟通，导致返工的费用及工期延期的责任由承包单位负责。</w:t>
      </w:r>
    </w:p>
    <w:p w:rsidR="00F85CB2" w14:paraId="1CAAA9DE"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1.6.10、承包单位在设备订货时，必须要求设备供应单位做出如下书面承诺，应同意在保修期结束前，对发包人要求作维修保养的设备提供日夜二十四小时随传随到的紧急维修服务。</w:t>
      </w:r>
    </w:p>
    <w:p w:rsidR="00F85CB2" w14:paraId="5A4371E1" w14:textId="77777777">
      <w:pPr>
        <w:widowControl/>
        <w:tabs>
          <w:tab w:val="left" w:pos="1620"/>
        </w:tabs>
        <w:autoSpaceDE w:val="0"/>
        <w:autoSpaceDN w:val="0"/>
        <w:adjustRightInd w:val="0"/>
        <w:spacing w:line="360" w:lineRule="auto"/>
        <w:ind w:firstLine="480" w:firstLineChars="200"/>
        <w:jc w:val="left"/>
        <w:rPr>
          <w:rFonts w:ascii="宋体" w:hAnsi="宋体" w:cs="宋体"/>
          <w:b/>
          <w:caps/>
          <w:szCs w:val="21"/>
        </w:rPr>
      </w:pPr>
      <w:r>
        <w:rPr>
          <w:rFonts w:ascii="宋体" w:hAnsi="宋体" w:cs="宋体" w:hint="eastAsia"/>
          <w:sz w:val="24"/>
          <w:szCs w:val="24"/>
        </w:rPr>
        <w:t>1.6.11、承包单位不能因为上述项目，而减轻监察工厂进度或减少承包单位在合约中的责任。</w:t>
      </w:r>
      <w:bookmarkStart w:id="2" w:name="_Toc455561615"/>
      <w:bookmarkStart w:id="3" w:name="_Toc502752649"/>
    </w:p>
    <w:p w:rsidR="00F85CB2" w14:paraId="6874A279" w14:textId="77777777">
      <w:pPr>
        <w:pStyle w:val="ListParagraph"/>
        <w:spacing w:line="360" w:lineRule="auto"/>
        <w:ind w:left="450" w:firstLine="0" w:firstLineChars="0"/>
        <w:jc w:val="left"/>
        <w:rPr>
          <w:rFonts w:ascii="宋体" w:hAnsi="宋体" w:cs="宋体"/>
          <w:b/>
          <w:bCs/>
          <w:sz w:val="24"/>
          <w:szCs w:val="24"/>
        </w:rPr>
      </w:pPr>
      <w:bookmarkStart w:id="4" w:name="_Toc35870558"/>
      <w:r>
        <w:rPr>
          <w:rFonts w:ascii="宋体" w:hAnsi="宋体" w:cs="宋体" w:hint="eastAsia"/>
          <w:b/>
          <w:bCs/>
          <w:sz w:val="24"/>
          <w:szCs w:val="24"/>
        </w:rPr>
        <w:t>1.7、安全施工组织</w:t>
      </w:r>
      <w:bookmarkEnd w:id="2"/>
      <w:bookmarkEnd w:id="3"/>
      <w:r>
        <w:rPr>
          <w:rFonts w:ascii="宋体" w:hAnsi="宋体" w:cs="宋体" w:hint="eastAsia"/>
          <w:b/>
          <w:bCs/>
          <w:sz w:val="24"/>
          <w:szCs w:val="24"/>
        </w:rPr>
        <w:t>架构</w:t>
      </w:r>
      <w:bookmarkEnd w:id="4"/>
    </w:p>
    <w:p w:rsidR="00F85CB2" w14:paraId="5D89DEB6"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1.7.1、承包单位于获得本合同后或获得通知中选后两星期内应提交安全施工组织架构呈报审批。</w:t>
      </w:r>
    </w:p>
    <w:p w:rsidR="00F85CB2" w14:paraId="0D31D565"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承包单位工程操作上之组织架构应严谨编制，并由合格、富有经验的各专业人员分工领导，以求达到最佳之协调及施工效果。安全施工组合架构</w:t>
      </w:r>
      <w:r>
        <w:rPr>
          <w:rFonts w:ascii="宋体" w:hAnsi="宋体" w:cs="宋体" w:hint="eastAsia"/>
          <w:sz w:val="24"/>
          <w:szCs w:val="24"/>
        </w:rPr>
        <w:t>须包括</w:t>
      </w:r>
      <w:r>
        <w:rPr>
          <w:rFonts w:ascii="宋体" w:hAnsi="宋体" w:cs="宋体" w:hint="eastAsia"/>
          <w:sz w:val="24"/>
          <w:szCs w:val="24"/>
        </w:rPr>
        <w:t>各职位之长驻工地主管人员。有关的主管人员名单及履历，需呈交评审及认可。</w:t>
      </w:r>
    </w:p>
    <w:p w:rsidR="00F85CB2" w14:paraId="4BD43F09"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提供安全文明施工现场管理标准化手册。</w:t>
      </w:r>
    </w:p>
    <w:p w:rsidR="00F85CB2" w14:paraId="288310B7"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1.7.2、健康安全及保管</w:t>
      </w:r>
    </w:p>
    <w:p w:rsidR="00F85CB2" w14:paraId="47250B28"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承包单位须负责有关施工地点的安全以避免引起相关的损失，这包括一切工作人员，其下劳务单位及其员工，公众人士及所有直接或间接与施工地点有关人士等。</w:t>
      </w:r>
    </w:p>
    <w:p w:rsidR="00F85CB2" w14:paraId="7329CCBA"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按有关要求，承包单位须负责提交安全报告。</w:t>
      </w:r>
    </w:p>
    <w:p w:rsidR="00F85CB2" w14:paraId="259FFB8D"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承包单位须确保其下劳务单位施工地点的所有员工须遵守政府部门的安全守则，同时遵守本技术规格书中的安全及健康手册要求。</w:t>
      </w:r>
    </w:p>
    <w:p w:rsidR="00F85CB2" w14:paraId="05820CFE"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sectPr>
          <w:headerReference w:type="default" r:id="rId13"/>
          <w:type w:val="nextPage"/>
          <w:pgSz w:w="11906" w:h="16838"/>
          <w:pgMar w:top="1418" w:right="1304" w:bottom="1418" w:left="1304" w:header="567" w:footer="907" w:gutter="0"/>
          <w:pgNumType w:start="8"/>
          <w:cols w:space="425"/>
          <w:titlePg w:val="0"/>
          <w:docGrid w:linePitch="312"/>
        </w:sectPr>
      </w:pPr>
      <w:r>
        <w:rPr>
          <w:rFonts w:ascii="宋体" w:hAnsi="宋体" w:cs="宋体" w:hint="eastAsia"/>
          <w:sz w:val="24"/>
          <w:szCs w:val="24"/>
        </w:rPr>
        <w:t>承包单位须确保已审核其下劳务单位所提供的安全标准，并须确保所聘用的劳务单位已拥有最高标准。</w:t>
      </w:r>
    </w:p>
    <w:p w:rsidR="00F85CB2" w14:paraId="69392BA9"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1.7.3、有关规定及标准</w:t>
      </w:r>
    </w:p>
    <w:p w:rsidR="00F85CB2" w14:paraId="514CE5DC"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承包单位须符合所有现有及将来的制造，并符合由政府有关部门所确认的安全指引及条例。</w:t>
      </w:r>
    </w:p>
    <w:p w:rsidR="00F85CB2" w14:paraId="0E1AFF3E"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1.7.4、承包单位的安全及健康手册</w:t>
      </w:r>
    </w:p>
    <w:p w:rsidR="00F85CB2" w14:paraId="3CBEAA97"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一般于开工日计起7天内，承包单位须向总承包单位提交一份安全及健康手册及安全及健康计划书以供审阅。</w:t>
      </w:r>
    </w:p>
    <w:p w:rsidR="00F85CB2" w14:paraId="79A33E1D"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承包单位须提供安全及健康手册、安全及健康计划书、风险评估及方法指引的复印本给其下属劳务分包单位。</w:t>
      </w:r>
    </w:p>
    <w:p w:rsidR="00F85CB2" w14:paraId="0692E7E2"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1.7.5、安全及健康手册</w:t>
      </w:r>
    </w:p>
    <w:p w:rsidR="00F85CB2" w14:paraId="4CD67AA1"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承包单位的安全及健康手册和计划书须包含执行时的相关程序，并须不少于每12个月重新审阅一次及更新，以便反映及符合工程的变更。</w:t>
      </w:r>
    </w:p>
    <w:p w:rsidR="00F85CB2" w14:paraId="5B2B4ECC"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1.7.6、安全计划</w:t>
      </w:r>
    </w:p>
    <w:p w:rsidR="00F85CB2" w14:paraId="277ADFEC"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承包单位须制定及执行一套完全符合本项目的实际情况，本技术规格说明书及有关规范，条例，设计等规定的安全计划书。</w:t>
      </w:r>
    </w:p>
    <w:p w:rsidR="00F85CB2" w14:paraId="2FED2538"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此安全</w:t>
      </w:r>
      <w:r>
        <w:rPr>
          <w:rFonts w:ascii="宋体" w:hAnsi="宋体" w:cs="宋体" w:hint="eastAsia"/>
          <w:sz w:val="24"/>
          <w:szCs w:val="24"/>
        </w:rPr>
        <w:t>计划书</w:t>
      </w:r>
      <w:r>
        <w:rPr>
          <w:rFonts w:ascii="宋体" w:hAnsi="宋体" w:cs="宋体" w:hint="eastAsia"/>
          <w:sz w:val="24"/>
          <w:szCs w:val="24"/>
        </w:rPr>
        <w:t>须包括</w:t>
      </w:r>
      <w:r>
        <w:rPr>
          <w:rFonts w:ascii="宋体" w:hAnsi="宋体" w:cs="宋体" w:hint="eastAsia"/>
          <w:sz w:val="24"/>
          <w:szCs w:val="24"/>
        </w:rPr>
        <w:t>一份由承包单位的法人(或最高负责人)发出的公司政策条约，公开声明将对有关的安全、健康、及避免损失作为合约内容特别关注的一环，并对此承担合约须负上的责任。</w:t>
      </w:r>
    </w:p>
    <w:p w:rsidR="00F85CB2" w14:paraId="37B9AFEF"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1.7.7、风险评估</w:t>
      </w:r>
    </w:p>
    <w:p w:rsidR="00F85CB2" w14:paraId="699F2E73"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承包单位须制定详尽的风险评估包含安全、健康及避免损失等方面的工作。</w:t>
      </w:r>
    </w:p>
    <w:p w:rsidR="00F85CB2" w14:paraId="1AC5EEAF"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有关风险评估须由专人执行，并须于执行日计起的14天内呈报总承包单位审批。</w:t>
      </w:r>
    </w:p>
    <w:p w:rsidR="00F85CB2" w14:paraId="3662818C"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此份报告文件须列明详细的隐藏危险会对安全、健康及损失造成威胁，并要求做出改善方案及执行的政策以降低或消除此等风险。</w:t>
      </w:r>
    </w:p>
    <w:p w:rsidR="00F85CB2" w14:paraId="7C10A6C1"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所有风险评估中发现的风险，必须列明于承包单位的安全计划书，安全程序及执行法条文内。</w:t>
      </w:r>
    </w:p>
    <w:p w:rsidR="00F85CB2" w14:paraId="25DA4495"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1.7.8、承包单位的安全措施安排</w:t>
      </w:r>
    </w:p>
    <w:p w:rsidR="00F85CB2" w14:paraId="4185D561"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1.7.8.1、工作协调</w:t>
      </w:r>
    </w:p>
    <w:p w:rsidR="00F85CB2" w14:paraId="4657CE7E"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承包单位须确保整个工程能有计划地进行，而有关一组的工人所执行的工序不会影响另一组工人的安全，例如搭棚工人在电缆桥架上工作等。</w:t>
      </w:r>
    </w:p>
    <w:p w:rsidR="00F85CB2" w14:paraId="319992F6"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每天须进行工作会议，以便统筹及安排工作。</w:t>
      </w:r>
    </w:p>
    <w:p w:rsidR="00F85CB2" w14:paraId="6BA7C360"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sectPr>
          <w:headerReference w:type="default" r:id="rId14"/>
          <w:type w:val="nextPage"/>
          <w:pgSz w:w="11906" w:h="16838"/>
          <w:pgMar w:top="1418" w:right="1304" w:bottom="1418" w:left="1304" w:header="567" w:footer="907" w:gutter="0"/>
          <w:pgNumType w:start="9"/>
          <w:cols w:space="425"/>
          <w:titlePg w:val="0"/>
          <w:docGrid w:linePitch="312"/>
        </w:sectPr>
      </w:pPr>
      <w:r>
        <w:rPr>
          <w:rFonts w:ascii="宋体" w:hAnsi="宋体" w:cs="宋体" w:hint="eastAsia"/>
          <w:sz w:val="24"/>
          <w:szCs w:val="24"/>
        </w:rPr>
        <w:t>1.7.8.2、安全检查</w:t>
      </w:r>
    </w:p>
    <w:p w:rsidR="00F85CB2" w14:paraId="1DFF3C2D"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承包单位须</w:t>
      </w:r>
      <w:r>
        <w:rPr>
          <w:rFonts w:ascii="宋体" w:hAnsi="宋体" w:cs="宋体" w:hint="eastAsia"/>
          <w:sz w:val="24"/>
          <w:szCs w:val="24"/>
        </w:rPr>
        <w:t>配合总</w:t>
      </w:r>
      <w:r>
        <w:rPr>
          <w:rFonts w:ascii="宋体" w:hAnsi="宋体" w:cs="宋体" w:hint="eastAsia"/>
          <w:sz w:val="24"/>
          <w:szCs w:val="24"/>
        </w:rPr>
        <w:t>承包单位进行例行及特殊的工地安全检查。</w:t>
      </w:r>
    </w:p>
    <w:p w:rsidR="00F85CB2" w14:paraId="63B45F64"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安全检查后，须提交一份报告，当中包括建议所需执行措施及行动，及有关发现的问题及漏洞。此份报告将作为审核之用及于将来讨论相关安全、健康的依据，避免损失。</w:t>
      </w:r>
    </w:p>
    <w:p w:rsidR="00F85CB2" w14:paraId="19BC5F64"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总承包单位须准备项目安全检查的条例，以</w:t>
      </w:r>
      <w:r>
        <w:rPr>
          <w:rFonts w:ascii="宋体" w:hAnsi="宋体" w:cs="宋体" w:hint="eastAsia"/>
          <w:sz w:val="24"/>
          <w:szCs w:val="24"/>
        </w:rPr>
        <w:t>供承包</w:t>
      </w:r>
      <w:r>
        <w:rPr>
          <w:rFonts w:ascii="宋体" w:hAnsi="宋体" w:cs="宋体" w:hint="eastAsia"/>
          <w:sz w:val="24"/>
          <w:szCs w:val="24"/>
        </w:rPr>
        <w:t>单位跟进检查。</w:t>
      </w:r>
    </w:p>
    <w:p w:rsidR="00F85CB2" w14:paraId="6AA42D8E"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总承包单位将定时组织安全检查讨论会。安全检查条例包含指定安全、健康及避免损失所要求达到的标准，以便检查人员在整个检查过程中将实际的情况与准备作对照比较，并做出改进建议。</w:t>
      </w:r>
    </w:p>
    <w:p w:rsidR="00F85CB2" w14:paraId="3774A390"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当完成项目安全检查后，须保存作记录，以便日后提交并核实。</w:t>
      </w:r>
    </w:p>
    <w:p w:rsidR="00F85CB2" w14:paraId="10B39246" w14:textId="77777777">
      <w:pPr>
        <w:widowControl/>
        <w:tabs>
          <w:tab w:val="left" w:pos="1620"/>
        </w:tabs>
        <w:autoSpaceDE w:val="0"/>
        <w:autoSpaceDN w:val="0"/>
        <w:adjustRightInd w:val="0"/>
        <w:spacing w:line="360" w:lineRule="auto"/>
        <w:ind w:firstLine="480" w:firstLineChars="200"/>
        <w:jc w:val="left"/>
        <w:rPr>
          <w:rFonts w:ascii="宋体" w:hAnsi="宋体" w:cs="宋体"/>
          <w:b/>
          <w:caps/>
          <w:szCs w:val="21"/>
        </w:rPr>
      </w:pPr>
      <w:r>
        <w:rPr>
          <w:rFonts w:ascii="宋体" w:hAnsi="宋体" w:cs="宋体" w:hint="eastAsia"/>
          <w:sz w:val="24"/>
          <w:szCs w:val="24"/>
        </w:rPr>
        <w:t>当安全检查项目不合格时，承包单位则须要提交有效改善方案并即时执行。总承包单位于3</w:t>
      </w:r>
      <w:r>
        <w:rPr>
          <w:rFonts w:ascii="宋体" w:hAnsi="宋体" w:cs="宋体" w:hint="eastAsia"/>
          <w:sz w:val="24"/>
          <w:szCs w:val="24"/>
        </w:rPr>
        <w:t>日内作</w:t>
      </w:r>
      <w:r>
        <w:rPr>
          <w:rFonts w:ascii="宋体" w:hAnsi="宋体" w:cs="宋体" w:hint="eastAsia"/>
          <w:sz w:val="24"/>
          <w:szCs w:val="24"/>
        </w:rPr>
        <w:t>进一步检查。</w:t>
      </w:r>
      <w:bookmarkStart w:id="5" w:name="_Toc502752651"/>
      <w:bookmarkStart w:id="6" w:name="_Toc455561617"/>
    </w:p>
    <w:p w:rsidR="00F85CB2" w14:paraId="53FF3B6E" w14:textId="77777777">
      <w:pPr>
        <w:pStyle w:val="ListParagraph"/>
        <w:spacing w:line="360" w:lineRule="auto"/>
        <w:ind w:left="450" w:firstLine="0" w:firstLineChars="0"/>
        <w:jc w:val="left"/>
        <w:rPr>
          <w:rFonts w:ascii="宋体" w:hAnsi="宋体" w:cs="宋体"/>
          <w:b/>
          <w:bCs/>
          <w:sz w:val="24"/>
          <w:szCs w:val="24"/>
        </w:rPr>
      </w:pPr>
      <w:bookmarkStart w:id="7" w:name="_Toc35870560"/>
      <w:r>
        <w:rPr>
          <w:rFonts w:ascii="宋体" w:hAnsi="宋体" w:cs="宋体" w:hint="eastAsia"/>
          <w:b/>
          <w:bCs/>
          <w:sz w:val="24"/>
          <w:szCs w:val="24"/>
        </w:rPr>
        <w:t>1.8、竣工证书</w:t>
      </w:r>
      <w:bookmarkEnd w:id="5"/>
      <w:bookmarkEnd w:id="6"/>
      <w:bookmarkEnd w:id="7"/>
    </w:p>
    <w:p w:rsidR="00F85CB2" w14:paraId="0197C70D"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本工程作为总承包单位之专业分包工程，承包单位须完成满足有关政府部门之报审、调试、检验及获取系统运行之许可证。并完成满足合同要求及发包人、总承包单位、设计单位确认之一切系统调试，满足整体交付使用之条件。</w:t>
      </w:r>
    </w:p>
    <w:p w:rsidR="00F85CB2" w14:paraId="36BBFA44" w14:textId="77777777">
      <w:pPr>
        <w:widowControl/>
        <w:tabs>
          <w:tab w:val="left" w:pos="1620"/>
        </w:tabs>
        <w:autoSpaceDE w:val="0"/>
        <w:autoSpaceDN w:val="0"/>
        <w:adjustRightInd w:val="0"/>
        <w:spacing w:line="360" w:lineRule="auto"/>
        <w:ind w:firstLine="480" w:firstLineChars="200"/>
        <w:jc w:val="left"/>
        <w:rPr>
          <w:rFonts w:ascii="宋体" w:hAnsi="宋体" w:cs="宋体"/>
          <w:sz w:val="24"/>
          <w:szCs w:val="24"/>
        </w:rPr>
      </w:pPr>
      <w:r>
        <w:rPr>
          <w:rFonts w:ascii="宋体" w:hAnsi="宋体" w:cs="宋体" w:hint="eastAsia"/>
          <w:sz w:val="24"/>
          <w:szCs w:val="24"/>
        </w:rPr>
        <w:t>承包单位需负责所有根据本技术规格说明书中列明的国内规范要求对安装的系统进行审批、调试和检验等工作所需的费用。</w:t>
      </w:r>
    </w:p>
    <w:p w:rsidR="00F85CB2" w14:paraId="647CD38D" w14:textId="77777777">
      <w:pPr>
        <w:pStyle w:val="ListParagraph"/>
        <w:spacing w:line="360" w:lineRule="auto"/>
        <w:ind w:left="450" w:firstLine="0" w:firstLineChars="0"/>
        <w:jc w:val="left"/>
        <w:rPr>
          <w:rFonts w:ascii="宋体" w:hAnsi="宋体" w:cs="宋体"/>
          <w:b/>
          <w:bCs/>
          <w:sz w:val="24"/>
          <w:szCs w:val="24"/>
        </w:rPr>
      </w:pPr>
      <w:bookmarkStart w:id="8" w:name="_Toc35870561"/>
      <w:r>
        <w:rPr>
          <w:rFonts w:ascii="宋体" w:hAnsi="宋体" w:cs="宋体" w:hint="eastAsia"/>
          <w:b/>
          <w:bCs/>
          <w:sz w:val="24"/>
          <w:szCs w:val="24"/>
        </w:rPr>
        <w:t>1.9、质量管理</w:t>
      </w:r>
      <w:bookmarkEnd w:id="8"/>
    </w:p>
    <w:p w:rsidR="00F85CB2" w14:paraId="23CCAD27" w14:textId="77777777">
      <w:pPr>
        <w:spacing w:line="360" w:lineRule="auto"/>
        <w:ind w:firstLine="480" w:firstLineChars="200"/>
        <w:jc w:val="left"/>
        <w:rPr>
          <w:rFonts w:ascii="宋体" w:hAnsi="宋体" w:cs="宋体"/>
          <w:b/>
          <w:bCs/>
          <w:sz w:val="24"/>
          <w:szCs w:val="24"/>
        </w:rPr>
      </w:pPr>
      <w:r>
        <w:rPr>
          <w:rFonts w:ascii="宋体" w:hAnsi="宋体" w:cs="宋体" w:hint="eastAsia"/>
          <w:sz w:val="24"/>
          <w:szCs w:val="24"/>
        </w:rPr>
        <w:t>1.9.1、一般要求</w:t>
      </w:r>
      <w:r>
        <w:rPr>
          <w:rFonts w:ascii="宋体" w:hAnsi="宋体" w:cs="宋体" w:hint="eastAsia"/>
          <w:b/>
          <w:bCs/>
          <w:sz w:val="24"/>
          <w:szCs w:val="24"/>
        </w:rPr>
        <w:t>：</w:t>
      </w:r>
      <w:r>
        <w:rPr>
          <w:rFonts w:ascii="宋体" w:hAnsi="宋体" w:cs="宋体" w:hint="eastAsia"/>
          <w:sz w:val="24"/>
          <w:szCs w:val="24"/>
        </w:rPr>
        <w:t>承包单位需要建立质量管理系统，而该质量系统于整个施工过程需要有效运作。承包单位有责任呈交质量管理纪录与总承包单位审阅。</w:t>
      </w:r>
    </w:p>
    <w:p w:rsidR="00F85CB2" w14:paraId="7E1B7E57" w14:textId="77777777">
      <w:pPr>
        <w:spacing w:line="360" w:lineRule="auto"/>
        <w:ind w:firstLine="480" w:firstLineChars="200"/>
        <w:jc w:val="left"/>
        <w:rPr>
          <w:rFonts w:ascii="宋体" w:hAnsi="宋体" w:cs="宋体"/>
          <w:sz w:val="24"/>
          <w:szCs w:val="24"/>
        </w:rPr>
      </w:pPr>
      <w:r>
        <w:rPr>
          <w:rFonts w:ascii="宋体" w:hAnsi="宋体" w:cs="宋体" w:hint="eastAsia"/>
          <w:sz w:val="24"/>
          <w:szCs w:val="24"/>
        </w:rPr>
        <w:t>1.9.1.1、承包单位</w:t>
      </w:r>
      <w:r>
        <w:rPr>
          <w:rFonts w:ascii="宋体" w:hAnsi="宋体" w:cs="宋体" w:hint="eastAsia"/>
          <w:sz w:val="24"/>
          <w:szCs w:val="24"/>
        </w:rPr>
        <w:t>之质量</w:t>
      </w:r>
      <w:r>
        <w:rPr>
          <w:rFonts w:ascii="宋体" w:hAnsi="宋体" w:cs="宋体" w:hint="eastAsia"/>
          <w:sz w:val="24"/>
          <w:szCs w:val="24"/>
        </w:rPr>
        <w:t>纪录需要包括以下所</w:t>
      </w:r>
      <w:r>
        <w:rPr>
          <w:rFonts w:ascii="宋体" w:hAnsi="宋体" w:cs="宋体" w:hint="eastAsia"/>
          <w:sz w:val="24"/>
          <w:szCs w:val="24"/>
        </w:rPr>
        <w:t>提及部</w:t>
      </w:r>
      <w:r>
        <w:rPr>
          <w:rFonts w:ascii="宋体" w:hAnsi="宋体" w:cs="宋体" w:hint="eastAsia"/>
          <w:sz w:val="24"/>
          <w:szCs w:val="24"/>
        </w:rPr>
        <w:t>份，但亦不只限于以下﹕</w:t>
      </w:r>
    </w:p>
    <w:p w:rsidR="00F85CB2" w14:paraId="7FCAD340" w14:textId="77777777">
      <w:pPr>
        <w:spacing w:line="360" w:lineRule="auto"/>
        <w:ind w:firstLine="480" w:firstLineChars="200"/>
        <w:jc w:val="left"/>
        <w:rPr>
          <w:rFonts w:ascii="宋体" w:hAnsi="宋体" w:cs="宋体"/>
          <w:sz w:val="24"/>
          <w:szCs w:val="24"/>
        </w:rPr>
      </w:pPr>
      <w:r>
        <w:rPr>
          <w:rFonts w:ascii="宋体" w:hAnsi="宋体" w:cs="宋体" w:hint="eastAsia"/>
          <w:sz w:val="24"/>
          <w:szCs w:val="24"/>
        </w:rPr>
        <w:t>质量手册</w:t>
      </w:r>
    </w:p>
    <w:p w:rsidR="00F85CB2" w14:paraId="23174400" w14:textId="77777777">
      <w:pPr>
        <w:spacing w:line="360" w:lineRule="auto"/>
        <w:ind w:firstLine="480" w:firstLineChars="200"/>
        <w:jc w:val="left"/>
        <w:rPr>
          <w:rFonts w:ascii="宋体" w:hAnsi="宋体" w:cs="宋体"/>
          <w:sz w:val="24"/>
          <w:szCs w:val="24"/>
        </w:rPr>
      </w:pPr>
      <w:r>
        <w:rPr>
          <w:rFonts w:ascii="宋体" w:hAnsi="宋体" w:cs="宋体" w:hint="eastAsia"/>
          <w:sz w:val="24"/>
          <w:szCs w:val="24"/>
        </w:rPr>
        <w:t>项目质量计划</w:t>
      </w:r>
    </w:p>
    <w:p w:rsidR="00F85CB2" w14:paraId="4E987051" w14:textId="77777777">
      <w:pPr>
        <w:spacing w:line="360" w:lineRule="auto"/>
        <w:ind w:firstLine="480" w:firstLineChars="200"/>
        <w:jc w:val="left"/>
        <w:rPr>
          <w:rFonts w:ascii="宋体" w:hAnsi="宋体" w:cs="宋体"/>
          <w:sz w:val="24"/>
          <w:szCs w:val="24"/>
        </w:rPr>
      </w:pPr>
      <w:r>
        <w:rPr>
          <w:rFonts w:ascii="宋体" w:hAnsi="宋体" w:cs="宋体" w:hint="eastAsia"/>
          <w:sz w:val="24"/>
          <w:szCs w:val="24"/>
        </w:rPr>
        <w:t>质量步骤，工作指示及标准表格(如合约定明则按合约要求)</w:t>
      </w:r>
    </w:p>
    <w:p w:rsidR="00F85CB2" w14:paraId="4919B5BB" w14:textId="77777777">
      <w:pPr>
        <w:spacing w:line="360" w:lineRule="auto"/>
        <w:ind w:firstLine="480" w:firstLineChars="200"/>
        <w:jc w:val="left"/>
        <w:rPr>
          <w:rFonts w:ascii="宋体" w:hAnsi="宋体" w:cs="宋体"/>
          <w:sz w:val="24"/>
          <w:szCs w:val="24"/>
        </w:rPr>
      </w:pPr>
      <w:r>
        <w:rPr>
          <w:rFonts w:ascii="宋体" w:hAnsi="宋体" w:cs="宋体" w:hint="eastAsia"/>
          <w:sz w:val="24"/>
          <w:szCs w:val="24"/>
        </w:rPr>
        <w:t>制定质量保证措施</w:t>
      </w:r>
    </w:p>
    <w:p w:rsidR="00F85CB2" w14:paraId="7A5DACC2" w14:textId="77777777">
      <w:pPr>
        <w:spacing w:line="360" w:lineRule="auto"/>
        <w:ind w:firstLine="480" w:firstLineChars="200"/>
        <w:jc w:val="left"/>
        <w:rPr>
          <w:rFonts w:ascii="宋体" w:hAnsi="宋体" w:cs="宋体"/>
          <w:sz w:val="24"/>
          <w:szCs w:val="24"/>
        </w:rPr>
      </w:pPr>
      <w:r>
        <w:rPr>
          <w:rFonts w:ascii="宋体" w:hAnsi="宋体" w:cs="宋体" w:hint="eastAsia"/>
          <w:sz w:val="24"/>
          <w:szCs w:val="24"/>
        </w:rPr>
        <w:t>检验及测试计划</w:t>
      </w:r>
    </w:p>
    <w:p w:rsidR="00F85CB2" w14:paraId="76B988E8" w14:textId="77777777">
      <w:pPr>
        <w:spacing w:line="360" w:lineRule="auto"/>
        <w:ind w:firstLine="480" w:firstLineChars="200"/>
        <w:jc w:val="left"/>
        <w:rPr>
          <w:rFonts w:ascii="宋体" w:hAnsi="宋体" w:cs="宋体"/>
          <w:sz w:val="24"/>
          <w:szCs w:val="24"/>
        </w:rPr>
      </w:pPr>
      <w:r>
        <w:rPr>
          <w:rFonts w:ascii="宋体" w:hAnsi="宋体" w:cs="宋体" w:hint="eastAsia"/>
          <w:sz w:val="24"/>
          <w:szCs w:val="24"/>
        </w:rPr>
        <w:t>1.9.1.2、承包单位需要制定质量保证措施，以保证工作根据质量管理系统要求执行，而以上之计划及纪录需经过总承包单位审批后方可执行。</w:t>
      </w:r>
    </w:p>
    <w:p w:rsidR="00F85CB2" w14:paraId="46C624FE" w14:textId="77777777">
      <w:pPr>
        <w:spacing w:line="360" w:lineRule="auto"/>
        <w:ind w:firstLine="480" w:firstLineChars="200"/>
        <w:jc w:val="left"/>
        <w:rPr>
          <w:rFonts w:ascii="宋体" w:hAnsi="宋体" w:cs="宋体"/>
          <w:sz w:val="24"/>
          <w:szCs w:val="24"/>
        </w:rPr>
      </w:pPr>
      <w:r>
        <w:rPr>
          <w:rFonts w:ascii="宋体" w:hAnsi="宋体" w:cs="宋体" w:hint="eastAsia"/>
          <w:sz w:val="24"/>
          <w:szCs w:val="24"/>
        </w:rPr>
        <w:t>1.9.1.3、本项目需做样板区，承包单位需提前进行样板区有关图纸和材料送审并获通过，并配合其它单位及工序安排完成工艺水平样板工程，并经发包人验收合格及满意</w:t>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https://d.book118.com/988027071002006043</w:t>
        </w:r>
      </w:hyperlink>
    </w:p>
    <w:p w:rsidR="00F85CB2">
      <w:pPr>
        <w:spacing w:line="360" w:lineRule="auto"/>
        <w:ind w:firstLine="480" w:firstLineChars="200"/>
        <w:jc w:val="left"/>
        <w:rPr>
          <w:rFonts w:ascii="宋体" w:hAnsi="宋体" w:cs="宋体"/>
          <w:sz w:val="24"/>
          <w:szCs w:val="24"/>
        </w:rPr>
      </w:pPr>
    </w:p>
    <w:sectPr>
      <w:headerReference w:type="default" r:id="rId16"/>
      <w:type w:val="nextPage"/>
      <w:pgSz w:w="11906" w:h="16838"/>
      <w:pgMar w:top="1418" w:right="1304" w:bottom="1418" w:left="1304" w:header="567" w:footer="907" w:gutter="0"/>
      <w:pgNumType w:start="10"/>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华文细黑">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幼圆">
    <w:panose1 w:val="02010509060101010101"/>
    <w:charset w:val="86"/>
    <w:family w:val="modern"/>
    <w:pitch w:val="fixed"/>
    <w:sig w:usb0="00000001" w:usb1="080E0000" w:usb2="00000010" w:usb3="00000000" w:csb0="00040000"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4BE" w14:paraId="2E6F7293" w14:textId="77777777">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4BE" w14:textId="77777777">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4BE" w14:textId="77777777">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4BE" w14:textId="77777777">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4BE" w14:textId="77777777">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4BE" w14:textId="77777777">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4BE" w14:textId="77777777">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4BE" w14:textId="77777777">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4BE" w14:textId="77777777">
    <w:pPr>
      <w:pStyle w:val="Header"/>
      <w:pBdr>
        <w:bottom w:val="none" w:sz="0"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4BE" w14:textId="77777777">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6B3DD29"/>
    <w:multiLevelType w:val="multilevel"/>
    <w:tmpl w:val="D6B3DD2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D6DBE14E"/>
    <w:multiLevelType w:val="multilevel"/>
    <w:tmpl w:val="D6DBE14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DC6352D3"/>
    <w:multiLevelType w:val="multilevel"/>
    <w:tmpl w:val="DC6352D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F4DA4D64"/>
    <w:multiLevelType w:val="multilevel"/>
    <w:tmpl w:val="F4DA4D6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053208E"/>
    <w:multiLevelType w:val="multilevel"/>
    <w:tmpl w:val="0053208E"/>
    <w:lvl w:ilvl="0">
      <w:start w:val="1"/>
      <w:numFmt w:val="decimal"/>
      <w:lvlText w:val="%1."/>
      <w:lvlJc w:val="left"/>
      <w:pPr>
        <w:tabs>
          <w:tab w:val="left" w:pos="794"/>
        </w:tabs>
        <w:ind w:left="794" w:hanging="794"/>
      </w:pPr>
      <w:rPr>
        <w:rFonts w:ascii="黑体" w:eastAsia="黑体" w:hAnsi="宋体" w:hint="eastAsia"/>
        <w:b/>
        <w:i w:val="0"/>
        <w:caps w:val="0"/>
        <w:strike w:val="0"/>
        <w:dstrike w:val="0"/>
        <w:snapToGrid w:val="0"/>
        <w:vanish w:val="0"/>
        <w:color w:val="auto"/>
        <w:spacing w:val="0"/>
        <w:w w:val="100"/>
        <w:kern w:val="0"/>
        <w:position w:val="0"/>
        <w:sz w:val="36"/>
        <w:szCs w:val="36"/>
        <w:vertAlign w:val="baseline"/>
      </w:rPr>
    </w:lvl>
    <w:lvl w:ilvl="1">
      <w:start w:val="1"/>
      <w:numFmt w:val="decimal"/>
      <w:lvlText w:val="%1.%2."/>
      <w:lvlJc w:val="left"/>
      <w:pPr>
        <w:tabs>
          <w:tab w:val="left" w:pos="1220"/>
        </w:tabs>
        <w:ind w:left="1220" w:hanging="794"/>
      </w:pPr>
      <w:rPr>
        <w:rFonts w:ascii="宋体" w:eastAsia="宋体" w:hAnsi="宋体" w:hint="eastAsia"/>
        <w:b/>
        <w:i w:val="0"/>
        <w:caps w:val="0"/>
        <w:strike w:val="0"/>
        <w:dstrike w:val="0"/>
        <w:snapToGrid w:val="0"/>
        <w:vanish w:val="0"/>
        <w:color w:val="auto"/>
        <w:spacing w:val="0"/>
        <w:w w:val="100"/>
        <w:kern w:val="0"/>
        <w:position w:val="0"/>
        <w:sz w:val="24"/>
        <w:szCs w:val="24"/>
        <w:vertAlign w:val="baseline"/>
      </w:rPr>
    </w:lvl>
    <w:lvl w:ilvl="2">
      <w:start w:val="1"/>
      <w:numFmt w:val="decimal"/>
      <w:pStyle w:val="21"/>
      <w:isLgl/>
      <w:lvlText w:val="%1.%2.%3."/>
      <w:lvlJc w:val="left"/>
      <w:pPr>
        <w:tabs>
          <w:tab w:val="left" w:pos="794"/>
        </w:tabs>
        <w:ind w:left="794" w:hanging="794"/>
      </w:pPr>
      <w:rPr>
        <w:rFonts w:ascii="宋体" w:eastAsia="宋体" w:hint="eastAsia"/>
        <w:b w:val="0"/>
        <w:i w:val="0"/>
        <w:caps w:val="0"/>
        <w:strike w:val="0"/>
        <w:dstrike w:val="0"/>
        <w:snapToGrid w:val="0"/>
        <w:vanish w:val="0"/>
        <w:spacing w:val="0"/>
        <w:w w:val="100"/>
        <w:kern w:val="0"/>
        <w:position w:val="0"/>
        <w:sz w:val="21"/>
        <w:szCs w:val="21"/>
        <w:vertAlign w:val="baseline"/>
      </w:rPr>
    </w:lvl>
    <w:lvl w:ilvl="3">
      <w:start w:val="1"/>
      <w:numFmt w:val="decimal"/>
      <w:lvlText w:val="（%4）"/>
      <w:lvlJc w:val="left"/>
      <w:pPr>
        <w:tabs>
          <w:tab w:val="left" w:pos="794"/>
        </w:tabs>
        <w:ind w:left="794" w:hanging="681"/>
      </w:pPr>
      <w:rPr>
        <w:rFonts w:ascii="宋体" w:eastAsia="宋体" w:hint="eastAsia"/>
        <w:b w:val="0"/>
        <w:i w:val="0"/>
        <w:caps w:val="0"/>
        <w:strike w:val="0"/>
        <w:dstrike w:val="0"/>
        <w:snapToGrid w:val="0"/>
        <w:vanish w:val="0"/>
        <w:spacing w:val="0"/>
        <w:w w:val="100"/>
        <w:kern w:val="0"/>
        <w:position w:val="0"/>
        <w:sz w:val="21"/>
        <w:vertAlign w:val="baseline"/>
        <w:lang w:val="en-US"/>
      </w:rPr>
    </w:lvl>
    <w:lvl w:ilvl="4">
      <w:start w:val="1"/>
      <w:numFmt w:val="lowerLetter"/>
      <w:lvlText w:val="%5."/>
      <w:lvlJc w:val="left"/>
      <w:pPr>
        <w:tabs>
          <w:tab w:val="left" w:pos="794"/>
        </w:tabs>
        <w:ind w:left="794" w:hanging="454"/>
      </w:pPr>
      <w:rPr>
        <w:rFonts w:ascii="宋体" w:eastAsia="宋体" w:hint="eastAsia"/>
        <w:b w:val="0"/>
        <w:i w:val="0"/>
        <w:caps w:val="0"/>
        <w:strike w:val="0"/>
        <w:dstrike w:val="0"/>
        <w:snapToGrid w:val="0"/>
        <w:vanish w:val="0"/>
        <w:spacing w:val="0"/>
        <w:w w:val="100"/>
        <w:kern w:val="0"/>
        <w:position w:val="0"/>
        <w:sz w:val="21"/>
        <w:vertAlign w:val="baseline"/>
      </w:rPr>
    </w:lvl>
    <w:lvl w:ilvl="5">
      <w:start w:val="1"/>
      <w:numFmt w:val="bullet"/>
      <w:lvlText w:val="◆"/>
      <w:lvlJc w:val="left"/>
      <w:pPr>
        <w:tabs>
          <w:tab w:val="left" w:pos="794"/>
        </w:tabs>
        <w:ind w:left="794" w:hanging="454"/>
      </w:pPr>
      <w:rPr>
        <w:rFonts w:ascii="宋体" w:eastAsia="宋体" w:hAnsi="宋体" w:hint="eastAsia"/>
        <w:b w:val="0"/>
        <w:i w:val="0"/>
        <w:caps w:val="0"/>
        <w:strike w:val="0"/>
        <w:dstrike w:val="0"/>
        <w:snapToGrid w:val="0"/>
        <w:vanish w:val="0"/>
        <w:color w:val="auto"/>
        <w:spacing w:val="0"/>
        <w:w w:val="100"/>
        <w:kern w:val="0"/>
        <w:position w:val="0"/>
        <w:sz w:val="21"/>
        <w:vertAlign w:val="baseline"/>
      </w:rPr>
    </w:lvl>
    <w:lvl w:ilvl="6">
      <w:start w:val="1"/>
      <w:numFmt w:val="none"/>
      <w:lvlJc w:val="left"/>
      <w:pPr>
        <w:tabs>
          <w:tab w:val="left" w:pos="794"/>
        </w:tabs>
        <w:ind w:left="794" w:hanging="794"/>
      </w:pPr>
      <w:rPr>
        <w:rFonts w:hint="eastAsia"/>
      </w:rPr>
    </w:lvl>
    <w:lvl w:ilvl="7">
      <w:start w:val="1"/>
      <w:numFmt w:val="none"/>
      <w:lvlJc w:val="left"/>
      <w:pPr>
        <w:tabs>
          <w:tab w:val="left" w:pos="794"/>
        </w:tabs>
        <w:ind w:left="794" w:hanging="794"/>
      </w:pPr>
      <w:rPr>
        <w:rFonts w:hint="eastAsia"/>
      </w:rPr>
    </w:lvl>
    <w:lvl w:ilvl="8">
      <w:start w:val="1"/>
      <w:numFmt w:val="none"/>
      <w:lvlJc w:val="left"/>
      <w:pPr>
        <w:tabs>
          <w:tab w:val="left" w:pos="794"/>
        </w:tabs>
        <w:ind w:left="794" w:hanging="794"/>
      </w:pPr>
      <w:rPr>
        <w:rFonts w:hint="eastAsia"/>
      </w:rPr>
    </w:lvl>
  </w:abstractNum>
  <w:abstractNum w:abstractNumId="5">
    <w:nsid w:val="07CF5038"/>
    <w:multiLevelType w:val="multilevel"/>
    <w:tmpl w:val="07CF503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D424162"/>
    <w:multiLevelType w:val="multilevel"/>
    <w:tmpl w:val="0D424162"/>
    <w:lvl w:ilvl="0">
      <w:start w:val="1"/>
      <w:numFmt w:val="decimal"/>
      <w:lvlText w:val="(%1)"/>
      <w:lvlJc w:val="left"/>
      <w:pPr>
        <w:tabs>
          <w:tab w:val="left" w:pos="420"/>
        </w:tabs>
        <w:ind w:left="794" w:hanging="397"/>
      </w:pPr>
      <w:rPr>
        <w:rFonts w:hint="eastAsia"/>
        <w:b w:val="0"/>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nsid w:val="0DDFDE8C"/>
    <w:multiLevelType w:val="multilevel"/>
    <w:tmpl w:val="0DDFDE8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208E139C"/>
    <w:multiLevelType w:val="multilevel"/>
    <w:tmpl w:val="208E139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2994487F"/>
    <w:multiLevelType w:val="multilevel"/>
    <w:tmpl w:val="2994487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29A61096"/>
    <w:multiLevelType w:val="multilevel"/>
    <w:tmpl w:val="29A6109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2B064C45"/>
    <w:multiLevelType w:val="multilevel"/>
    <w:tmpl w:val="2B064C4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31EB4E1D"/>
    <w:multiLevelType w:val="multilevel"/>
    <w:tmpl w:val="31EB4E1D"/>
    <w:lvl w:ilvl="0">
      <w:start w:val="1"/>
      <w:numFmt w:val="decimal"/>
      <w:suff w:val="space"/>
      <w:lvlText w:val="%1."/>
      <w:lvlJc w:val="left"/>
      <w:pPr>
        <w:ind w:left="0" w:firstLine="0"/>
      </w:pPr>
      <w:rPr>
        <w:rFonts w:asciiTheme="majorEastAsia" w:eastAsiaTheme="majorEastAsia" w:hAnsiTheme="majorEastAsia" w:hint="eastAsia"/>
        <w:sz w:val="24"/>
        <w:szCs w:val="24"/>
      </w:rPr>
    </w:lvl>
    <w:lvl w:ilvl="1">
      <w:start w:val="1"/>
      <w:numFmt w:val="decimal"/>
      <w:suff w:val="space"/>
      <w:lvlText w:val="%1.%2."/>
      <w:lvlJc w:val="left"/>
      <w:pPr>
        <w:ind w:left="0" w:firstLine="0"/>
      </w:pPr>
      <w:rPr>
        <w:rFonts w:hint="eastAsia"/>
      </w:rPr>
    </w:lvl>
    <w:lvl w:ilvl="2">
      <w:start w:val="1"/>
      <w:numFmt w:val="decimal"/>
      <w:suff w:val="space"/>
      <w:lvlText w:val="%1.%2.%3."/>
      <w:lvlJc w:val="left"/>
      <w:pPr>
        <w:ind w:left="0" w:firstLine="0"/>
      </w:pPr>
      <w:rPr>
        <w:rFonts w:hint="eastAsia"/>
      </w:rPr>
    </w:lvl>
    <w:lvl w:ilvl="3">
      <w:start w:val="1"/>
      <w:numFmt w:val="decimal"/>
      <w:suff w:val="space"/>
      <w:lvlText w:val="%1.%2.%3.%4."/>
      <w:lvlJc w:val="left"/>
      <w:pPr>
        <w:ind w:left="0" w:firstLine="340"/>
      </w:pPr>
      <w:rPr>
        <w:rFonts w:hint="eastAsia"/>
      </w:rPr>
    </w:lvl>
    <w:lvl w:ilvl="4">
      <w:start w:val="1"/>
      <w:numFmt w:val="decimal"/>
      <w:lvlText w:val="%1.%2.%3.%4.%5."/>
      <w:lvlJc w:val="left"/>
      <w:pPr>
        <w:tabs>
          <w:tab w:val="left" w:pos="0"/>
        </w:tabs>
        <w:ind w:left="0" w:firstLine="454"/>
      </w:pPr>
      <w:rPr>
        <w:rFonts w:hint="eastAsia"/>
      </w:rPr>
    </w:lvl>
    <w:lvl w:ilvl="5">
      <w:start w:val="1"/>
      <w:numFmt w:val="decimal"/>
      <w:lvlText w:val="%1.%2.%3.%4.%5.%6."/>
      <w:lvlJc w:val="left"/>
      <w:pPr>
        <w:tabs>
          <w:tab w:val="left" w:pos="0"/>
        </w:tabs>
        <w:ind w:left="0" w:firstLine="567"/>
      </w:pPr>
      <w:rPr>
        <w:rFonts w:hint="eastAsia"/>
      </w:rPr>
    </w:lvl>
    <w:lvl w:ilvl="6">
      <w:start w:val="1"/>
      <w:numFmt w:val="decimal"/>
      <w:lvlText w:val="%1.%2.%3.%4.%5.%6.%7."/>
      <w:lvlJc w:val="left"/>
      <w:pPr>
        <w:tabs>
          <w:tab w:val="left" w:pos="3827"/>
        </w:tabs>
        <w:ind w:left="0" w:firstLine="680"/>
      </w:pPr>
      <w:rPr>
        <w:rFonts w:hint="eastAsia"/>
      </w:rPr>
    </w:lvl>
    <w:lvl w:ilvl="7">
      <w:start w:val="1"/>
      <w:numFmt w:val="decimal"/>
      <w:lvlText w:val="%1.%2.%3.%4.%5.%6.%7.%8."/>
      <w:lvlJc w:val="left"/>
      <w:pPr>
        <w:tabs>
          <w:tab w:val="left" w:pos="4394"/>
        </w:tabs>
        <w:ind w:left="0" w:firstLine="794"/>
      </w:pPr>
      <w:rPr>
        <w:rFonts w:hint="eastAsia"/>
      </w:rPr>
    </w:lvl>
    <w:lvl w:ilvl="8">
      <w:start w:val="1"/>
      <w:numFmt w:val="decimal"/>
      <w:lvlText w:val="%1.%2.%3.%4.%5.%6.%7.%8.%9."/>
      <w:lvlJc w:val="left"/>
      <w:pPr>
        <w:tabs>
          <w:tab w:val="left" w:pos="5102"/>
        </w:tabs>
        <w:ind w:left="0" w:firstLine="907"/>
      </w:pPr>
      <w:rPr>
        <w:rFonts w:hint="eastAsia"/>
      </w:rPr>
    </w:lvl>
  </w:abstractNum>
  <w:abstractNum w:abstractNumId="13">
    <w:nsid w:val="339E788D"/>
    <w:multiLevelType w:val="multilevel"/>
    <w:tmpl w:val="339E788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33FD2D5B"/>
    <w:multiLevelType w:val="multilevel"/>
    <w:tmpl w:val="33FD2D5B"/>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5">
    <w:nsid w:val="35373FBE"/>
    <w:multiLevelType w:val="multilevel"/>
    <w:tmpl w:val="35373FBE"/>
    <w:lvl w:ilvl="0">
      <w:start w:val="1"/>
      <w:numFmt w:val="lowerLetter"/>
      <w:lvlText w:val="%1)"/>
      <w:lvlJc w:val="left"/>
      <w:pPr>
        <w:tabs>
          <w:tab w:val="left" w:pos="301"/>
        </w:tabs>
        <w:ind w:left="301" w:hanging="301"/>
      </w:pPr>
      <w:rPr>
        <w:rFonts w:hint="eastAsia"/>
      </w:rPr>
    </w:lvl>
    <w:lvl w:ilvl="1">
      <w:start w:val="2"/>
      <w:numFmt w:val="decimal"/>
      <w:lvlText w:val="%2）"/>
      <w:lvlJc w:val="left"/>
      <w:pPr>
        <w:tabs>
          <w:tab w:val="left" w:pos="1140"/>
        </w:tabs>
        <w:ind w:left="1140" w:hanging="720"/>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7C00490"/>
    <w:multiLevelType w:val="multilevel"/>
    <w:tmpl w:val="37C00490"/>
    <w:lvl w:ilvl="0">
      <w:start w:val="1"/>
      <w:numFmt w:val="decimal"/>
      <w:lvlText w:val="(%1)"/>
      <w:lvlJc w:val="left"/>
      <w:pPr>
        <w:tabs>
          <w:tab w:val="left" w:pos="1202"/>
        </w:tabs>
        <w:ind w:left="1202" w:hanging="720"/>
      </w:pPr>
      <w:rPr>
        <w:rFonts w:hint="default"/>
      </w:rPr>
    </w:lvl>
    <w:lvl w:ilvl="1">
      <w:start w:val="1"/>
      <w:numFmt w:val="japaneseCounting"/>
      <w:lvlText w:val="（%2）"/>
      <w:lvlJc w:val="left"/>
      <w:pPr>
        <w:tabs>
          <w:tab w:val="left" w:pos="1622"/>
        </w:tabs>
        <w:ind w:left="1622" w:hanging="720"/>
      </w:pPr>
      <w:rPr>
        <w:rFonts w:hint="default"/>
      </w:rPr>
    </w:lvl>
    <w:lvl w:ilvl="2">
      <w:start w:val="1"/>
      <w:numFmt w:val="lowerRoman"/>
      <w:lvlText w:val="%3."/>
      <w:lvlJc w:val="right"/>
      <w:pPr>
        <w:tabs>
          <w:tab w:val="left" w:pos="1742"/>
        </w:tabs>
        <w:ind w:left="1742" w:hanging="420"/>
      </w:pPr>
    </w:lvl>
    <w:lvl w:ilvl="3">
      <w:start w:val="1"/>
      <w:numFmt w:val="decimal"/>
      <w:lvlText w:val="%4."/>
      <w:lvlJc w:val="left"/>
      <w:pPr>
        <w:tabs>
          <w:tab w:val="left" w:pos="2162"/>
        </w:tabs>
        <w:ind w:left="2162" w:hanging="420"/>
      </w:pPr>
    </w:lvl>
    <w:lvl w:ilvl="4">
      <w:start w:val="1"/>
      <w:numFmt w:val="lowerLetter"/>
      <w:lvlText w:val="%5)"/>
      <w:lvlJc w:val="left"/>
      <w:pPr>
        <w:tabs>
          <w:tab w:val="left" w:pos="2582"/>
        </w:tabs>
        <w:ind w:left="2582" w:hanging="420"/>
      </w:pPr>
    </w:lvl>
    <w:lvl w:ilvl="5">
      <w:start w:val="1"/>
      <w:numFmt w:val="lowerRoman"/>
      <w:lvlText w:val="%6."/>
      <w:lvlJc w:val="right"/>
      <w:pPr>
        <w:tabs>
          <w:tab w:val="left" w:pos="3002"/>
        </w:tabs>
        <w:ind w:left="3002" w:hanging="420"/>
      </w:pPr>
    </w:lvl>
    <w:lvl w:ilvl="6">
      <w:start w:val="1"/>
      <w:numFmt w:val="decimal"/>
      <w:lvlText w:val="%7."/>
      <w:lvlJc w:val="left"/>
      <w:pPr>
        <w:tabs>
          <w:tab w:val="left" w:pos="3422"/>
        </w:tabs>
        <w:ind w:left="3422" w:hanging="420"/>
      </w:pPr>
    </w:lvl>
    <w:lvl w:ilvl="7">
      <w:start w:val="1"/>
      <w:numFmt w:val="lowerLetter"/>
      <w:lvlText w:val="%8)"/>
      <w:lvlJc w:val="left"/>
      <w:pPr>
        <w:tabs>
          <w:tab w:val="left" w:pos="3842"/>
        </w:tabs>
        <w:ind w:left="3842" w:hanging="420"/>
      </w:pPr>
    </w:lvl>
    <w:lvl w:ilvl="8">
      <w:start w:val="1"/>
      <w:numFmt w:val="lowerRoman"/>
      <w:lvlText w:val="%9."/>
      <w:lvlJc w:val="right"/>
      <w:pPr>
        <w:tabs>
          <w:tab w:val="left" w:pos="4262"/>
        </w:tabs>
        <w:ind w:left="4262" w:hanging="420"/>
      </w:pPr>
    </w:lvl>
  </w:abstractNum>
  <w:abstractNum w:abstractNumId="17">
    <w:nsid w:val="47956D08"/>
    <w:multiLevelType w:val="multilevel"/>
    <w:tmpl w:val="47956D0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4A2078BD"/>
    <w:multiLevelType w:val="multilevel"/>
    <w:tmpl w:val="4A2078BD"/>
    <w:lvl w:ilvl="0">
      <w:start w:val="1"/>
      <w:numFmt w:val="decimal"/>
      <w:lvlText w:val="(%1)"/>
      <w:lvlJc w:val="left"/>
      <w:pPr>
        <w:tabs>
          <w:tab w:val="left" w:pos="1200"/>
        </w:tabs>
        <w:ind w:left="1200" w:hanging="720"/>
      </w:pPr>
      <w:rPr>
        <w:rFont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19">
    <w:nsid w:val="55695B73"/>
    <w:multiLevelType w:val="multilevel"/>
    <w:tmpl w:val="55695B73"/>
    <w:lvl w:ilvl="0">
      <w:start w:val="1"/>
      <w:numFmt w:val="decimal"/>
      <w:lvlText w:val="(%1)"/>
      <w:lvlJc w:val="left"/>
      <w:pPr>
        <w:tabs>
          <w:tab w:val="left" w:pos="420"/>
        </w:tabs>
        <w:ind w:left="420" w:hanging="420"/>
      </w:pPr>
      <w:rPr>
        <w:rFonts w:hint="eastAsia"/>
        <w:b w:val="0"/>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5949F811"/>
    <w:multiLevelType w:val="singleLevel"/>
    <w:tmpl w:val="5949F811"/>
    <w:lvl w:ilvl="0">
      <w:start w:val="1"/>
      <w:numFmt w:val="decimal"/>
      <w:suff w:val="nothing"/>
      <w:lvlText w:val="（%1）"/>
      <w:lvlJc w:val="left"/>
    </w:lvl>
  </w:abstractNum>
  <w:abstractNum w:abstractNumId="21">
    <w:nsid w:val="6DE538E4"/>
    <w:multiLevelType w:val="multilevel"/>
    <w:tmpl w:val="6DE538E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nsid w:val="72FA37CF"/>
    <w:multiLevelType w:val="multilevel"/>
    <w:tmpl w:val="72FA37CF"/>
    <w:lvl w:ilvl="0">
      <w:start w:val="1"/>
      <w:numFmt w:val="decimal"/>
      <w:lvlText w:val="(%1)"/>
      <w:lvlJc w:val="left"/>
      <w:pPr>
        <w:tabs>
          <w:tab w:val="left" w:pos="1200"/>
        </w:tabs>
        <w:ind w:left="1200" w:hanging="720"/>
      </w:pPr>
      <w:rPr>
        <w:rFont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num w:numId="1">
    <w:abstractNumId w:val="4"/>
  </w:num>
  <w:num w:numId="2">
    <w:abstractNumId w:val="15"/>
  </w:num>
  <w:num w:numId="3">
    <w:abstractNumId w:val="20"/>
  </w:num>
  <w:num w:numId="4">
    <w:abstractNumId w:val="19"/>
  </w:num>
  <w:num w:numId="5">
    <w:abstractNumId w:val="22"/>
  </w:num>
  <w:num w:numId="6">
    <w:abstractNumId w:val="18"/>
  </w:num>
  <w:num w:numId="7">
    <w:abstractNumId w:val="16"/>
  </w:num>
  <w:num w:numId="8">
    <w:abstractNumId w:val="6"/>
  </w:num>
  <w:num w:numId="9">
    <w:abstractNumId w:val="12"/>
  </w:num>
  <w:num w:numId="10">
    <w:abstractNumId w:val="14"/>
  </w:num>
  <w:num w:numId="11">
    <w:abstractNumId w:val="11"/>
  </w:num>
  <w:num w:numId="12">
    <w:abstractNumId w:val="17"/>
  </w:num>
  <w:num w:numId="13">
    <w:abstractNumId w:val="9"/>
  </w:num>
  <w:num w:numId="14">
    <w:abstractNumId w:val="13"/>
  </w:num>
  <w:num w:numId="15">
    <w:abstractNumId w:val="21"/>
  </w:num>
  <w:num w:numId="16">
    <w:abstractNumId w:val="5"/>
  </w:num>
  <w:num w:numId="17">
    <w:abstractNumId w:val="8"/>
  </w:num>
  <w:num w:numId="18">
    <w:abstractNumId w:val="10"/>
  </w:num>
  <w:num w:numId="19">
    <w:abstractNumId w:val="0"/>
  </w:num>
  <w:num w:numId="20">
    <w:abstractNumId w:val="3"/>
  </w:num>
  <w:num w:numId="21">
    <w:abstractNumId w:val="1"/>
  </w:num>
  <w:num w:numId="22">
    <w:abstractNumId w:val="7"/>
  </w:num>
  <w:num w:numId="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72E0"/>
    <w:rsid w:val="000050E4"/>
    <w:rsid w:val="00014514"/>
    <w:rsid w:val="00016390"/>
    <w:rsid w:val="000203A6"/>
    <w:rsid w:val="00021724"/>
    <w:rsid w:val="00022167"/>
    <w:rsid w:val="000221CD"/>
    <w:rsid w:val="0002283B"/>
    <w:rsid w:val="0002363A"/>
    <w:rsid w:val="00025423"/>
    <w:rsid w:val="0003316B"/>
    <w:rsid w:val="00033AFA"/>
    <w:rsid w:val="00037AA0"/>
    <w:rsid w:val="000428A6"/>
    <w:rsid w:val="000429C9"/>
    <w:rsid w:val="00043087"/>
    <w:rsid w:val="000432EF"/>
    <w:rsid w:val="00044D35"/>
    <w:rsid w:val="0004696A"/>
    <w:rsid w:val="00053E36"/>
    <w:rsid w:val="00053FB7"/>
    <w:rsid w:val="0006031C"/>
    <w:rsid w:val="00060D03"/>
    <w:rsid w:val="000651C4"/>
    <w:rsid w:val="00067B77"/>
    <w:rsid w:val="00072F1E"/>
    <w:rsid w:val="00076AD0"/>
    <w:rsid w:val="00080802"/>
    <w:rsid w:val="00080886"/>
    <w:rsid w:val="000861D0"/>
    <w:rsid w:val="00090D5F"/>
    <w:rsid w:val="000910AA"/>
    <w:rsid w:val="0009183C"/>
    <w:rsid w:val="00091875"/>
    <w:rsid w:val="00097D96"/>
    <w:rsid w:val="000A2C17"/>
    <w:rsid w:val="000A5598"/>
    <w:rsid w:val="000A6B44"/>
    <w:rsid w:val="000B1551"/>
    <w:rsid w:val="000B2DE0"/>
    <w:rsid w:val="000B60DC"/>
    <w:rsid w:val="000B6CD2"/>
    <w:rsid w:val="000C2B11"/>
    <w:rsid w:val="000C7D6C"/>
    <w:rsid w:val="000D2C10"/>
    <w:rsid w:val="000D31D4"/>
    <w:rsid w:val="000D6009"/>
    <w:rsid w:val="000D66DF"/>
    <w:rsid w:val="000D7E40"/>
    <w:rsid w:val="000E0E18"/>
    <w:rsid w:val="000F4D2D"/>
    <w:rsid w:val="000F7835"/>
    <w:rsid w:val="00100CC2"/>
    <w:rsid w:val="00101390"/>
    <w:rsid w:val="00107EDC"/>
    <w:rsid w:val="0011226C"/>
    <w:rsid w:val="00113452"/>
    <w:rsid w:val="0011636A"/>
    <w:rsid w:val="001246E4"/>
    <w:rsid w:val="00132BA2"/>
    <w:rsid w:val="001333F8"/>
    <w:rsid w:val="0013502C"/>
    <w:rsid w:val="00137089"/>
    <w:rsid w:val="00137BC3"/>
    <w:rsid w:val="00144092"/>
    <w:rsid w:val="001462A7"/>
    <w:rsid w:val="001463EB"/>
    <w:rsid w:val="00150A00"/>
    <w:rsid w:val="00153081"/>
    <w:rsid w:val="00154097"/>
    <w:rsid w:val="0016042C"/>
    <w:rsid w:val="00161CB5"/>
    <w:rsid w:val="00162AFF"/>
    <w:rsid w:val="0017010C"/>
    <w:rsid w:val="00171350"/>
    <w:rsid w:val="00171BFF"/>
    <w:rsid w:val="001720C8"/>
    <w:rsid w:val="001721D5"/>
    <w:rsid w:val="00174EEE"/>
    <w:rsid w:val="00175BD8"/>
    <w:rsid w:val="0017625F"/>
    <w:rsid w:val="001766A0"/>
    <w:rsid w:val="00176F09"/>
    <w:rsid w:val="00177133"/>
    <w:rsid w:val="00185D5B"/>
    <w:rsid w:val="00186702"/>
    <w:rsid w:val="001917B4"/>
    <w:rsid w:val="00192526"/>
    <w:rsid w:val="001933BD"/>
    <w:rsid w:val="00194EB2"/>
    <w:rsid w:val="001968A5"/>
    <w:rsid w:val="00196F00"/>
    <w:rsid w:val="001A035D"/>
    <w:rsid w:val="001A461E"/>
    <w:rsid w:val="001A4B81"/>
    <w:rsid w:val="001C05B1"/>
    <w:rsid w:val="001C3A55"/>
    <w:rsid w:val="001C48CE"/>
    <w:rsid w:val="001D1041"/>
    <w:rsid w:val="001D4EDF"/>
    <w:rsid w:val="001D5A1F"/>
    <w:rsid w:val="001D6BC8"/>
    <w:rsid w:val="001E0BB7"/>
    <w:rsid w:val="001E1F5A"/>
    <w:rsid w:val="001E5681"/>
    <w:rsid w:val="001F086D"/>
    <w:rsid w:val="001F0949"/>
    <w:rsid w:val="001F242A"/>
    <w:rsid w:val="001F4D72"/>
    <w:rsid w:val="001F50FE"/>
    <w:rsid w:val="00205630"/>
    <w:rsid w:val="00211FD4"/>
    <w:rsid w:val="00213489"/>
    <w:rsid w:val="002134A1"/>
    <w:rsid w:val="0021362B"/>
    <w:rsid w:val="002175B0"/>
    <w:rsid w:val="002201E3"/>
    <w:rsid w:val="002204D6"/>
    <w:rsid w:val="002224FC"/>
    <w:rsid w:val="00225A40"/>
    <w:rsid w:val="002262A8"/>
    <w:rsid w:val="00226479"/>
    <w:rsid w:val="00226A57"/>
    <w:rsid w:val="0022747B"/>
    <w:rsid w:val="0022787F"/>
    <w:rsid w:val="00230464"/>
    <w:rsid w:val="00230BBE"/>
    <w:rsid w:val="00230CAB"/>
    <w:rsid w:val="002329DA"/>
    <w:rsid w:val="00233D3C"/>
    <w:rsid w:val="00234133"/>
    <w:rsid w:val="0024594C"/>
    <w:rsid w:val="002468A3"/>
    <w:rsid w:val="002476A6"/>
    <w:rsid w:val="0025161B"/>
    <w:rsid w:val="00254589"/>
    <w:rsid w:val="0025680A"/>
    <w:rsid w:val="00263E33"/>
    <w:rsid w:val="00264B70"/>
    <w:rsid w:val="0026566F"/>
    <w:rsid w:val="002657FC"/>
    <w:rsid w:val="00271909"/>
    <w:rsid w:val="00272ED7"/>
    <w:rsid w:val="002739F9"/>
    <w:rsid w:val="002775C1"/>
    <w:rsid w:val="002801FC"/>
    <w:rsid w:val="002819B0"/>
    <w:rsid w:val="00283351"/>
    <w:rsid w:val="00285AB9"/>
    <w:rsid w:val="00285E19"/>
    <w:rsid w:val="002906D2"/>
    <w:rsid w:val="00292076"/>
    <w:rsid w:val="00294280"/>
    <w:rsid w:val="00294489"/>
    <w:rsid w:val="0029700E"/>
    <w:rsid w:val="002A1292"/>
    <w:rsid w:val="002A2722"/>
    <w:rsid w:val="002A2B75"/>
    <w:rsid w:val="002A533E"/>
    <w:rsid w:val="002B001A"/>
    <w:rsid w:val="002B0199"/>
    <w:rsid w:val="002B3022"/>
    <w:rsid w:val="002C0027"/>
    <w:rsid w:val="002C0DFF"/>
    <w:rsid w:val="002C6FE4"/>
    <w:rsid w:val="002C781F"/>
    <w:rsid w:val="002D19BC"/>
    <w:rsid w:val="002D2306"/>
    <w:rsid w:val="002D2C76"/>
    <w:rsid w:val="002D4FE3"/>
    <w:rsid w:val="002E072B"/>
    <w:rsid w:val="002E3E86"/>
    <w:rsid w:val="002E55C3"/>
    <w:rsid w:val="002F0E36"/>
    <w:rsid w:val="002F305D"/>
    <w:rsid w:val="002F4205"/>
    <w:rsid w:val="002F7F3B"/>
    <w:rsid w:val="00302A0E"/>
    <w:rsid w:val="003068EC"/>
    <w:rsid w:val="00311FF0"/>
    <w:rsid w:val="00312790"/>
    <w:rsid w:val="00325800"/>
    <w:rsid w:val="00332E19"/>
    <w:rsid w:val="00334A35"/>
    <w:rsid w:val="003378DE"/>
    <w:rsid w:val="003404B3"/>
    <w:rsid w:val="00340941"/>
    <w:rsid w:val="00342704"/>
    <w:rsid w:val="003434B0"/>
    <w:rsid w:val="003438BC"/>
    <w:rsid w:val="0034423E"/>
    <w:rsid w:val="00344FE4"/>
    <w:rsid w:val="0034705F"/>
    <w:rsid w:val="00351406"/>
    <w:rsid w:val="00360198"/>
    <w:rsid w:val="003639F6"/>
    <w:rsid w:val="00366E4F"/>
    <w:rsid w:val="00367145"/>
    <w:rsid w:val="003671DD"/>
    <w:rsid w:val="0038052E"/>
    <w:rsid w:val="00382D38"/>
    <w:rsid w:val="00382E7F"/>
    <w:rsid w:val="00383008"/>
    <w:rsid w:val="00383FCD"/>
    <w:rsid w:val="00385528"/>
    <w:rsid w:val="0038692E"/>
    <w:rsid w:val="00386CA3"/>
    <w:rsid w:val="00387299"/>
    <w:rsid w:val="0038777A"/>
    <w:rsid w:val="00390359"/>
    <w:rsid w:val="00391524"/>
    <w:rsid w:val="00396236"/>
    <w:rsid w:val="003962D5"/>
    <w:rsid w:val="003A07C6"/>
    <w:rsid w:val="003A16F2"/>
    <w:rsid w:val="003A2163"/>
    <w:rsid w:val="003B0B48"/>
    <w:rsid w:val="003B5869"/>
    <w:rsid w:val="003B682F"/>
    <w:rsid w:val="003B70C6"/>
    <w:rsid w:val="003B7CA3"/>
    <w:rsid w:val="003B7DE5"/>
    <w:rsid w:val="003C36AB"/>
    <w:rsid w:val="003C77DC"/>
    <w:rsid w:val="003E0F76"/>
    <w:rsid w:val="003E17CE"/>
    <w:rsid w:val="003E47E6"/>
    <w:rsid w:val="003E4CDE"/>
    <w:rsid w:val="003F07FD"/>
    <w:rsid w:val="003F619E"/>
    <w:rsid w:val="003F7C22"/>
    <w:rsid w:val="004013FF"/>
    <w:rsid w:val="00401CE6"/>
    <w:rsid w:val="004102B7"/>
    <w:rsid w:val="00410BFC"/>
    <w:rsid w:val="00415EB1"/>
    <w:rsid w:val="00416130"/>
    <w:rsid w:val="00420608"/>
    <w:rsid w:val="0042419E"/>
    <w:rsid w:val="0043017A"/>
    <w:rsid w:val="004325CA"/>
    <w:rsid w:val="00432ABA"/>
    <w:rsid w:val="00432F45"/>
    <w:rsid w:val="00433FF5"/>
    <w:rsid w:val="004342C2"/>
    <w:rsid w:val="00436D19"/>
    <w:rsid w:val="00437F43"/>
    <w:rsid w:val="00442813"/>
    <w:rsid w:val="00444E90"/>
    <w:rsid w:val="0044615A"/>
    <w:rsid w:val="004520AB"/>
    <w:rsid w:val="00453373"/>
    <w:rsid w:val="0045634D"/>
    <w:rsid w:val="00461AC1"/>
    <w:rsid w:val="00463709"/>
    <w:rsid w:val="00464E4C"/>
    <w:rsid w:val="004660ED"/>
    <w:rsid w:val="004708EC"/>
    <w:rsid w:val="0047157A"/>
    <w:rsid w:val="00471B48"/>
    <w:rsid w:val="0048152E"/>
    <w:rsid w:val="00485425"/>
    <w:rsid w:val="00485EC1"/>
    <w:rsid w:val="004945CA"/>
    <w:rsid w:val="00497EA9"/>
    <w:rsid w:val="004B0BEB"/>
    <w:rsid w:val="004B15F8"/>
    <w:rsid w:val="004B1D83"/>
    <w:rsid w:val="004B6077"/>
    <w:rsid w:val="004B776B"/>
    <w:rsid w:val="004C0C62"/>
    <w:rsid w:val="004C21B8"/>
    <w:rsid w:val="004C6DB0"/>
    <w:rsid w:val="004C6F1B"/>
    <w:rsid w:val="004C6F89"/>
    <w:rsid w:val="004C7427"/>
    <w:rsid w:val="004C7AE2"/>
    <w:rsid w:val="004D26EC"/>
    <w:rsid w:val="004D2A2F"/>
    <w:rsid w:val="004D35A2"/>
    <w:rsid w:val="004D5582"/>
    <w:rsid w:val="004D6114"/>
    <w:rsid w:val="004D64BA"/>
    <w:rsid w:val="004E0B0A"/>
    <w:rsid w:val="004F4D02"/>
    <w:rsid w:val="00503FA2"/>
    <w:rsid w:val="005073F3"/>
    <w:rsid w:val="00511C75"/>
    <w:rsid w:val="00512EC1"/>
    <w:rsid w:val="00513802"/>
    <w:rsid w:val="00513AE6"/>
    <w:rsid w:val="005166CF"/>
    <w:rsid w:val="00524A52"/>
    <w:rsid w:val="00540B60"/>
    <w:rsid w:val="00541BCF"/>
    <w:rsid w:val="00542DA8"/>
    <w:rsid w:val="00544A64"/>
    <w:rsid w:val="0054741D"/>
    <w:rsid w:val="00547F72"/>
    <w:rsid w:val="005536DC"/>
    <w:rsid w:val="00553F2F"/>
    <w:rsid w:val="00561EAC"/>
    <w:rsid w:val="00562CF7"/>
    <w:rsid w:val="00562E23"/>
    <w:rsid w:val="00565380"/>
    <w:rsid w:val="00575AF9"/>
    <w:rsid w:val="00577048"/>
    <w:rsid w:val="005808B3"/>
    <w:rsid w:val="00587C79"/>
    <w:rsid w:val="00590726"/>
    <w:rsid w:val="005915A2"/>
    <w:rsid w:val="00592E8A"/>
    <w:rsid w:val="005940EE"/>
    <w:rsid w:val="00595226"/>
    <w:rsid w:val="005973CB"/>
    <w:rsid w:val="005A6372"/>
    <w:rsid w:val="005A6F80"/>
    <w:rsid w:val="005B1DC1"/>
    <w:rsid w:val="005C0626"/>
    <w:rsid w:val="005C3770"/>
    <w:rsid w:val="005C6CE1"/>
    <w:rsid w:val="005D084F"/>
    <w:rsid w:val="005D6FE9"/>
    <w:rsid w:val="005E1229"/>
    <w:rsid w:val="005E2750"/>
    <w:rsid w:val="005F407A"/>
    <w:rsid w:val="005F57C9"/>
    <w:rsid w:val="00601FB6"/>
    <w:rsid w:val="00602084"/>
    <w:rsid w:val="00602900"/>
    <w:rsid w:val="00603DCA"/>
    <w:rsid w:val="0060530F"/>
    <w:rsid w:val="00607804"/>
    <w:rsid w:val="0060786D"/>
    <w:rsid w:val="00607B0B"/>
    <w:rsid w:val="00611C71"/>
    <w:rsid w:val="00614814"/>
    <w:rsid w:val="00614E09"/>
    <w:rsid w:val="00616D16"/>
    <w:rsid w:val="006170D1"/>
    <w:rsid w:val="00633C83"/>
    <w:rsid w:val="00633E87"/>
    <w:rsid w:val="006340B4"/>
    <w:rsid w:val="00636910"/>
    <w:rsid w:val="00637598"/>
    <w:rsid w:val="00637645"/>
    <w:rsid w:val="00653F25"/>
    <w:rsid w:val="006550A4"/>
    <w:rsid w:val="00656530"/>
    <w:rsid w:val="006566F3"/>
    <w:rsid w:val="00657F09"/>
    <w:rsid w:val="00660D5B"/>
    <w:rsid w:val="00667E82"/>
    <w:rsid w:val="00670745"/>
    <w:rsid w:val="006711BF"/>
    <w:rsid w:val="00673DD1"/>
    <w:rsid w:val="00681168"/>
    <w:rsid w:val="00683648"/>
    <w:rsid w:val="0068605F"/>
    <w:rsid w:val="00695D15"/>
    <w:rsid w:val="006971A7"/>
    <w:rsid w:val="00697707"/>
    <w:rsid w:val="006A0D28"/>
    <w:rsid w:val="006A456E"/>
    <w:rsid w:val="006A7028"/>
    <w:rsid w:val="006B7606"/>
    <w:rsid w:val="006B7D2D"/>
    <w:rsid w:val="006C0210"/>
    <w:rsid w:val="006C450F"/>
    <w:rsid w:val="006C6792"/>
    <w:rsid w:val="006D360E"/>
    <w:rsid w:val="006D6656"/>
    <w:rsid w:val="006E0179"/>
    <w:rsid w:val="006E72CE"/>
    <w:rsid w:val="006F4ABC"/>
    <w:rsid w:val="006F53FB"/>
    <w:rsid w:val="006F5EAE"/>
    <w:rsid w:val="006F794F"/>
    <w:rsid w:val="00704D75"/>
    <w:rsid w:val="00707780"/>
    <w:rsid w:val="007148C7"/>
    <w:rsid w:val="00716197"/>
    <w:rsid w:val="00716EA4"/>
    <w:rsid w:val="00720C06"/>
    <w:rsid w:val="00722463"/>
    <w:rsid w:val="007244FC"/>
    <w:rsid w:val="007247B3"/>
    <w:rsid w:val="007272D6"/>
    <w:rsid w:val="00727B94"/>
    <w:rsid w:val="00733271"/>
    <w:rsid w:val="00735354"/>
    <w:rsid w:val="00743637"/>
    <w:rsid w:val="00745EFC"/>
    <w:rsid w:val="00746A64"/>
    <w:rsid w:val="00751F76"/>
    <w:rsid w:val="0075503B"/>
    <w:rsid w:val="0075522B"/>
    <w:rsid w:val="007614B2"/>
    <w:rsid w:val="007676D7"/>
    <w:rsid w:val="00771E64"/>
    <w:rsid w:val="00776899"/>
    <w:rsid w:val="00776FDC"/>
    <w:rsid w:val="0078568A"/>
    <w:rsid w:val="00790F40"/>
    <w:rsid w:val="00790FD8"/>
    <w:rsid w:val="00793C07"/>
    <w:rsid w:val="00795C8C"/>
    <w:rsid w:val="007A07D4"/>
    <w:rsid w:val="007A0EC2"/>
    <w:rsid w:val="007A1DA9"/>
    <w:rsid w:val="007A63D5"/>
    <w:rsid w:val="007B1FA5"/>
    <w:rsid w:val="007C2F4E"/>
    <w:rsid w:val="007C5436"/>
    <w:rsid w:val="007D0C77"/>
    <w:rsid w:val="007D1CE0"/>
    <w:rsid w:val="007D5765"/>
    <w:rsid w:val="007E4D3F"/>
    <w:rsid w:val="007F0AF0"/>
    <w:rsid w:val="007F2579"/>
    <w:rsid w:val="007F487D"/>
    <w:rsid w:val="007F4B1F"/>
    <w:rsid w:val="007F6A32"/>
    <w:rsid w:val="00800B97"/>
    <w:rsid w:val="00802463"/>
    <w:rsid w:val="00804228"/>
    <w:rsid w:val="00804CB2"/>
    <w:rsid w:val="00805EFD"/>
    <w:rsid w:val="008112B6"/>
    <w:rsid w:val="00814A54"/>
    <w:rsid w:val="0081538D"/>
    <w:rsid w:val="00817FCB"/>
    <w:rsid w:val="00824760"/>
    <w:rsid w:val="00832CEE"/>
    <w:rsid w:val="00833E08"/>
    <w:rsid w:val="00841607"/>
    <w:rsid w:val="00850B86"/>
    <w:rsid w:val="00850CF4"/>
    <w:rsid w:val="008514C0"/>
    <w:rsid w:val="00855D75"/>
    <w:rsid w:val="008606B4"/>
    <w:rsid w:val="00865FF0"/>
    <w:rsid w:val="00870630"/>
    <w:rsid w:val="008718E1"/>
    <w:rsid w:val="00877026"/>
    <w:rsid w:val="00882888"/>
    <w:rsid w:val="008871F5"/>
    <w:rsid w:val="00893D12"/>
    <w:rsid w:val="008967F9"/>
    <w:rsid w:val="008A0D58"/>
    <w:rsid w:val="008A1B1D"/>
    <w:rsid w:val="008A1C9F"/>
    <w:rsid w:val="008A2380"/>
    <w:rsid w:val="008A37FD"/>
    <w:rsid w:val="008A3816"/>
    <w:rsid w:val="008A6323"/>
    <w:rsid w:val="008A68EC"/>
    <w:rsid w:val="008A7661"/>
    <w:rsid w:val="008B673F"/>
    <w:rsid w:val="008B7245"/>
    <w:rsid w:val="008C72AE"/>
    <w:rsid w:val="008D024C"/>
    <w:rsid w:val="008D3B8C"/>
    <w:rsid w:val="008D3C45"/>
    <w:rsid w:val="008D5E2B"/>
    <w:rsid w:val="008D5FF1"/>
    <w:rsid w:val="008E1D26"/>
    <w:rsid w:val="008E1D4C"/>
    <w:rsid w:val="008E2658"/>
    <w:rsid w:val="008E2BB0"/>
    <w:rsid w:val="008E39C0"/>
    <w:rsid w:val="008E4817"/>
    <w:rsid w:val="008E4ACB"/>
    <w:rsid w:val="008E6A28"/>
    <w:rsid w:val="008F0098"/>
    <w:rsid w:val="008F0E53"/>
    <w:rsid w:val="008F383B"/>
    <w:rsid w:val="008F39A6"/>
    <w:rsid w:val="008F4F15"/>
    <w:rsid w:val="00901F55"/>
    <w:rsid w:val="009031D9"/>
    <w:rsid w:val="00905D71"/>
    <w:rsid w:val="00911386"/>
    <w:rsid w:val="00911F9C"/>
    <w:rsid w:val="00914ED4"/>
    <w:rsid w:val="009210F1"/>
    <w:rsid w:val="00923896"/>
    <w:rsid w:val="00925306"/>
    <w:rsid w:val="009350F4"/>
    <w:rsid w:val="00942E2C"/>
    <w:rsid w:val="0094595D"/>
    <w:rsid w:val="00945DC8"/>
    <w:rsid w:val="00951C6B"/>
    <w:rsid w:val="00952298"/>
    <w:rsid w:val="00956265"/>
    <w:rsid w:val="009563E0"/>
    <w:rsid w:val="00957E8F"/>
    <w:rsid w:val="00962F21"/>
    <w:rsid w:val="00965D66"/>
    <w:rsid w:val="00966B7C"/>
    <w:rsid w:val="0096708C"/>
    <w:rsid w:val="00971824"/>
    <w:rsid w:val="009730C5"/>
    <w:rsid w:val="00973384"/>
    <w:rsid w:val="00980330"/>
    <w:rsid w:val="00980FC1"/>
    <w:rsid w:val="00984803"/>
    <w:rsid w:val="00990D3F"/>
    <w:rsid w:val="00992615"/>
    <w:rsid w:val="00995B64"/>
    <w:rsid w:val="00997D76"/>
    <w:rsid w:val="009A109A"/>
    <w:rsid w:val="009A74AE"/>
    <w:rsid w:val="009B075B"/>
    <w:rsid w:val="009B0820"/>
    <w:rsid w:val="009B168B"/>
    <w:rsid w:val="009B1989"/>
    <w:rsid w:val="009B1CD4"/>
    <w:rsid w:val="009B477A"/>
    <w:rsid w:val="009B4A87"/>
    <w:rsid w:val="009B5D7A"/>
    <w:rsid w:val="009B74D1"/>
    <w:rsid w:val="009C4644"/>
    <w:rsid w:val="009D2112"/>
    <w:rsid w:val="009D6744"/>
    <w:rsid w:val="009D7BBD"/>
    <w:rsid w:val="009E00BE"/>
    <w:rsid w:val="009E0390"/>
    <w:rsid w:val="009E328F"/>
    <w:rsid w:val="009E3A93"/>
    <w:rsid w:val="009E4F98"/>
    <w:rsid w:val="009E7D73"/>
    <w:rsid w:val="009F21F6"/>
    <w:rsid w:val="009F4B4A"/>
    <w:rsid w:val="00A02031"/>
    <w:rsid w:val="00A06C63"/>
    <w:rsid w:val="00A10E2F"/>
    <w:rsid w:val="00A1101C"/>
    <w:rsid w:val="00A118D3"/>
    <w:rsid w:val="00A11993"/>
    <w:rsid w:val="00A11EDA"/>
    <w:rsid w:val="00A13566"/>
    <w:rsid w:val="00A210A0"/>
    <w:rsid w:val="00A2341F"/>
    <w:rsid w:val="00A25C57"/>
    <w:rsid w:val="00A27BB6"/>
    <w:rsid w:val="00A31136"/>
    <w:rsid w:val="00A32290"/>
    <w:rsid w:val="00A32879"/>
    <w:rsid w:val="00A329F2"/>
    <w:rsid w:val="00A34C4D"/>
    <w:rsid w:val="00A355CE"/>
    <w:rsid w:val="00A461AF"/>
    <w:rsid w:val="00A5160A"/>
    <w:rsid w:val="00A5208E"/>
    <w:rsid w:val="00A614DE"/>
    <w:rsid w:val="00A619F1"/>
    <w:rsid w:val="00A6300D"/>
    <w:rsid w:val="00A6426A"/>
    <w:rsid w:val="00A70126"/>
    <w:rsid w:val="00A71A2A"/>
    <w:rsid w:val="00A758A1"/>
    <w:rsid w:val="00A82E91"/>
    <w:rsid w:val="00A87CC0"/>
    <w:rsid w:val="00A922B5"/>
    <w:rsid w:val="00A97E4D"/>
    <w:rsid w:val="00AA4373"/>
    <w:rsid w:val="00AA5062"/>
    <w:rsid w:val="00AA64B5"/>
    <w:rsid w:val="00AB2D2C"/>
    <w:rsid w:val="00AB4BC1"/>
    <w:rsid w:val="00AB5A4D"/>
    <w:rsid w:val="00AB5BC6"/>
    <w:rsid w:val="00AB6BC3"/>
    <w:rsid w:val="00AD04BE"/>
    <w:rsid w:val="00AD2CC4"/>
    <w:rsid w:val="00AD3ADB"/>
    <w:rsid w:val="00AD43F1"/>
    <w:rsid w:val="00AD4DCC"/>
    <w:rsid w:val="00AD4EC0"/>
    <w:rsid w:val="00AD7EBF"/>
    <w:rsid w:val="00AE1302"/>
    <w:rsid w:val="00AE138B"/>
    <w:rsid w:val="00AE294A"/>
    <w:rsid w:val="00AE604B"/>
    <w:rsid w:val="00AF5B31"/>
    <w:rsid w:val="00AF5F44"/>
    <w:rsid w:val="00AF6F08"/>
    <w:rsid w:val="00AF73B5"/>
    <w:rsid w:val="00B005A9"/>
    <w:rsid w:val="00B00711"/>
    <w:rsid w:val="00B06412"/>
    <w:rsid w:val="00B123C8"/>
    <w:rsid w:val="00B30D93"/>
    <w:rsid w:val="00B321F8"/>
    <w:rsid w:val="00B343B4"/>
    <w:rsid w:val="00B37C5B"/>
    <w:rsid w:val="00B37D0C"/>
    <w:rsid w:val="00B426BE"/>
    <w:rsid w:val="00B473AE"/>
    <w:rsid w:val="00B53860"/>
    <w:rsid w:val="00B53BA5"/>
    <w:rsid w:val="00B56EAD"/>
    <w:rsid w:val="00B57F56"/>
    <w:rsid w:val="00B66D59"/>
    <w:rsid w:val="00B7004B"/>
    <w:rsid w:val="00B731C7"/>
    <w:rsid w:val="00B73F1E"/>
    <w:rsid w:val="00B758D8"/>
    <w:rsid w:val="00B81538"/>
    <w:rsid w:val="00B8310F"/>
    <w:rsid w:val="00B83726"/>
    <w:rsid w:val="00B913F2"/>
    <w:rsid w:val="00B918A7"/>
    <w:rsid w:val="00B93B73"/>
    <w:rsid w:val="00B93C76"/>
    <w:rsid w:val="00B93F6E"/>
    <w:rsid w:val="00BA456C"/>
    <w:rsid w:val="00BA45A2"/>
    <w:rsid w:val="00BB01B8"/>
    <w:rsid w:val="00BB32D4"/>
    <w:rsid w:val="00BB59DA"/>
    <w:rsid w:val="00BC0F03"/>
    <w:rsid w:val="00BC42A5"/>
    <w:rsid w:val="00BD01B0"/>
    <w:rsid w:val="00BD366E"/>
    <w:rsid w:val="00BD3D09"/>
    <w:rsid w:val="00BD5A81"/>
    <w:rsid w:val="00BD65F8"/>
    <w:rsid w:val="00BE140B"/>
    <w:rsid w:val="00BE5052"/>
    <w:rsid w:val="00BE682E"/>
    <w:rsid w:val="00BF0588"/>
    <w:rsid w:val="00BF1A29"/>
    <w:rsid w:val="00BF5088"/>
    <w:rsid w:val="00BF7DC7"/>
    <w:rsid w:val="00C0056E"/>
    <w:rsid w:val="00C01D76"/>
    <w:rsid w:val="00C0287A"/>
    <w:rsid w:val="00C1025E"/>
    <w:rsid w:val="00C148DC"/>
    <w:rsid w:val="00C14B83"/>
    <w:rsid w:val="00C1560C"/>
    <w:rsid w:val="00C23F07"/>
    <w:rsid w:val="00C262BA"/>
    <w:rsid w:val="00C32168"/>
    <w:rsid w:val="00C334A7"/>
    <w:rsid w:val="00C37427"/>
    <w:rsid w:val="00C40A29"/>
    <w:rsid w:val="00C41943"/>
    <w:rsid w:val="00C42DA4"/>
    <w:rsid w:val="00C446A2"/>
    <w:rsid w:val="00C44C25"/>
    <w:rsid w:val="00C453FB"/>
    <w:rsid w:val="00C5304C"/>
    <w:rsid w:val="00C53A63"/>
    <w:rsid w:val="00C53BB2"/>
    <w:rsid w:val="00C54A90"/>
    <w:rsid w:val="00C55DC2"/>
    <w:rsid w:val="00C56DB6"/>
    <w:rsid w:val="00C614C3"/>
    <w:rsid w:val="00C63074"/>
    <w:rsid w:val="00C6365F"/>
    <w:rsid w:val="00C67941"/>
    <w:rsid w:val="00C75B53"/>
    <w:rsid w:val="00C7634E"/>
    <w:rsid w:val="00C82167"/>
    <w:rsid w:val="00C90468"/>
    <w:rsid w:val="00C90B0C"/>
    <w:rsid w:val="00C93AFE"/>
    <w:rsid w:val="00C95A2A"/>
    <w:rsid w:val="00C9752F"/>
    <w:rsid w:val="00C97F4A"/>
    <w:rsid w:val="00CA0661"/>
    <w:rsid w:val="00CA2F44"/>
    <w:rsid w:val="00CA579F"/>
    <w:rsid w:val="00CA6C7A"/>
    <w:rsid w:val="00CB203B"/>
    <w:rsid w:val="00CB6653"/>
    <w:rsid w:val="00CB674E"/>
    <w:rsid w:val="00CC5F30"/>
    <w:rsid w:val="00CC7A83"/>
    <w:rsid w:val="00CD0E28"/>
    <w:rsid w:val="00CD7DE5"/>
    <w:rsid w:val="00CD7E68"/>
    <w:rsid w:val="00CE1408"/>
    <w:rsid w:val="00CE3635"/>
    <w:rsid w:val="00CE3D1C"/>
    <w:rsid w:val="00CE4EE6"/>
    <w:rsid w:val="00CE7A72"/>
    <w:rsid w:val="00CF1F88"/>
    <w:rsid w:val="00CF25BC"/>
    <w:rsid w:val="00CF5AAB"/>
    <w:rsid w:val="00D020E7"/>
    <w:rsid w:val="00D0398D"/>
    <w:rsid w:val="00D03FEC"/>
    <w:rsid w:val="00D04EDF"/>
    <w:rsid w:val="00D22395"/>
    <w:rsid w:val="00D22616"/>
    <w:rsid w:val="00D22FF9"/>
    <w:rsid w:val="00D246BD"/>
    <w:rsid w:val="00D247AE"/>
    <w:rsid w:val="00D27D34"/>
    <w:rsid w:val="00D27D99"/>
    <w:rsid w:val="00D315E8"/>
    <w:rsid w:val="00D354F1"/>
    <w:rsid w:val="00D36C4B"/>
    <w:rsid w:val="00D402BF"/>
    <w:rsid w:val="00D46153"/>
    <w:rsid w:val="00D512AF"/>
    <w:rsid w:val="00D5178F"/>
    <w:rsid w:val="00D542AB"/>
    <w:rsid w:val="00D61BB4"/>
    <w:rsid w:val="00D62C4E"/>
    <w:rsid w:val="00D64C2E"/>
    <w:rsid w:val="00D64D9D"/>
    <w:rsid w:val="00D72E8A"/>
    <w:rsid w:val="00D74CDC"/>
    <w:rsid w:val="00D83AB3"/>
    <w:rsid w:val="00D854F9"/>
    <w:rsid w:val="00D86520"/>
    <w:rsid w:val="00D91809"/>
    <w:rsid w:val="00D93106"/>
    <w:rsid w:val="00D93A5D"/>
    <w:rsid w:val="00D94C60"/>
    <w:rsid w:val="00D96D94"/>
    <w:rsid w:val="00DA21ED"/>
    <w:rsid w:val="00DA553A"/>
    <w:rsid w:val="00DA7E0E"/>
    <w:rsid w:val="00DA7F6B"/>
    <w:rsid w:val="00DB42A5"/>
    <w:rsid w:val="00DB5EAB"/>
    <w:rsid w:val="00DC245E"/>
    <w:rsid w:val="00DC2C95"/>
    <w:rsid w:val="00DC4B35"/>
    <w:rsid w:val="00DC5677"/>
    <w:rsid w:val="00DC768C"/>
    <w:rsid w:val="00DD774B"/>
    <w:rsid w:val="00DE0664"/>
    <w:rsid w:val="00DE5443"/>
    <w:rsid w:val="00DE5DC0"/>
    <w:rsid w:val="00DF0460"/>
    <w:rsid w:val="00E10953"/>
    <w:rsid w:val="00E118A8"/>
    <w:rsid w:val="00E12166"/>
    <w:rsid w:val="00E13A5C"/>
    <w:rsid w:val="00E1702B"/>
    <w:rsid w:val="00E22586"/>
    <w:rsid w:val="00E27ABD"/>
    <w:rsid w:val="00E27D40"/>
    <w:rsid w:val="00E313CA"/>
    <w:rsid w:val="00E36784"/>
    <w:rsid w:val="00E367EF"/>
    <w:rsid w:val="00E423A2"/>
    <w:rsid w:val="00E43C50"/>
    <w:rsid w:val="00E47252"/>
    <w:rsid w:val="00E52376"/>
    <w:rsid w:val="00E52C09"/>
    <w:rsid w:val="00E618F3"/>
    <w:rsid w:val="00E62BA2"/>
    <w:rsid w:val="00E660BD"/>
    <w:rsid w:val="00E677BB"/>
    <w:rsid w:val="00E727E9"/>
    <w:rsid w:val="00E729BA"/>
    <w:rsid w:val="00E84BD3"/>
    <w:rsid w:val="00E912B5"/>
    <w:rsid w:val="00E92CEB"/>
    <w:rsid w:val="00E92D18"/>
    <w:rsid w:val="00E93673"/>
    <w:rsid w:val="00E94D7D"/>
    <w:rsid w:val="00E96DE8"/>
    <w:rsid w:val="00E972E0"/>
    <w:rsid w:val="00EA03B0"/>
    <w:rsid w:val="00EA0D10"/>
    <w:rsid w:val="00EA51A1"/>
    <w:rsid w:val="00EA6D5C"/>
    <w:rsid w:val="00EB495A"/>
    <w:rsid w:val="00EB7B53"/>
    <w:rsid w:val="00EC35DD"/>
    <w:rsid w:val="00EC381B"/>
    <w:rsid w:val="00EC4D28"/>
    <w:rsid w:val="00EC594C"/>
    <w:rsid w:val="00EC665E"/>
    <w:rsid w:val="00EC6792"/>
    <w:rsid w:val="00ED2105"/>
    <w:rsid w:val="00ED2B1F"/>
    <w:rsid w:val="00ED40A1"/>
    <w:rsid w:val="00EE2202"/>
    <w:rsid w:val="00EE42FF"/>
    <w:rsid w:val="00EE4AD7"/>
    <w:rsid w:val="00EE7C86"/>
    <w:rsid w:val="00EF0412"/>
    <w:rsid w:val="00EF0AFD"/>
    <w:rsid w:val="00EF4E8F"/>
    <w:rsid w:val="00F00D24"/>
    <w:rsid w:val="00F044CD"/>
    <w:rsid w:val="00F05181"/>
    <w:rsid w:val="00F13976"/>
    <w:rsid w:val="00F25645"/>
    <w:rsid w:val="00F30F98"/>
    <w:rsid w:val="00F313A7"/>
    <w:rsid w:val="00F418B6"/>
    <w:rsid w:val="00F44056"/>
    <w:rsid w:val="00F4433A"/>
    <w:rsid w:val="00F56238"/>
    <w:rsid w:val="00F57BA4"/>
    <w:rsid w:val="00F65177"/>
    <w:rsid w:val="00F654D6"/>
    <w:rsid w:val="00F66A34"/>
    <w:rsid w:val="00F66EC2"/>
    <w:rsid w:val="00F7045C"/>
    <w:rsid w:val="00F70DC4"/>
    <w:rsid w:val="00F71D46"/>
    <w:rsid w:val="00F74404"/>
    <w:rsid w:val="00F80E66"/>
    <w:rsid w:val="00F828BB"/>
    <w:rsid w:val="00F829E8"/>
    <w:rsid w:val="00F82F1F"/>
    <w:rsid w:val="00F85CB2"/>
    <w:rsid w:val="00F93CCF"/>
    <w:rsid w:val="00F954D1"/>
    <w:rsid w:val="00F967DA"/>
    <w:rsid w:val="00FA0795"/>
    <w:rsid w:val="00FA500D"/>
    <w:rsid w:val="00FA565C"/>
    <w:rsid w:val="00FA56DF"/>
    <w:rsid w:val="00FA7891"/>
    <w:rsid w:val="00FB5D59"/>
    <w:rsid w:val="00FB6B84"/>
    <w:rsid w:val="00FB6CAA"/>
    <w:rsid w:val="00FC2E4E"/>
    <w:rsid w:val="00FC4D2E"/>
    <w:rsid w:val="00FC4E35"/>
    <w:rsid w:val="00FD0DDD"/>
    <w:rsid w:val="00FD1563"/>
    <w:rsid w:val="00FD54B8"/>
    <w:rsid w:val="00FE03B3"/>
    <w:rsid w:val="00FE1DE2"/>
    <w:rsid w:val="00FE3B8B"/>
    <w:rsid w:val="00FF23F7"/>
    <w:rsid w:val="00FF32CC"/>
    <w:rsid w:val="00FF41BE"/>
    <w:rsid w:val="00FF4829"/>
    <w:rsid w:val="00FF535C"/>
    <w:rsid w:val="00FF6C29"/>
    <w:rsid w:val="01DF7593"/>
    <w:rsid w:val="01EE516E"/>
    <w:rsid w:val="02584BE8"/>
    <w:rsid w:val="02E62578"/>
    <w:rsid w:val="03247136"/>
    <w:rsid w:val="042A2FED"/>
    <w:rsid w:val="04A97580"/>
    <w:rsid w:val="04BD4A3F"/>
    <w:rsid w:val="053813D5"/>
    <w:rsid w:val="05492EDD"/>
    <w:rsid w:val="055718A1"/>
    <w:rsid w:val="05690C8A"/>
    <w:rsid w:val="05A422C1"/>
    <w:rsid w:val="05F03177"/>
    <w:rsid w:val="060F7572"/>
    <w:rsid w:val="065501E7"/>
    <w:rsid w:val="06837FE2"/>
    <w:rsid w:val="069C032A"/>
    <w:rsid w:val="06FA7082"/>
    <w:rsid w:val="07597097"/>
    <w:rsid w:val="076273B2"/>
    <w:rsid w:val="077D455B"/>
    <w:rsid w:val="07C70134"/>
    <w:rsid w:val="07E601D2"/>
    <w:rsid w:val="080379E7"/>
    <w:rsid w:val="0805775B"/>
    <w:rsid w:val="08526B82"/>
    <w:rsid w:val="086B033A"/>
    <w:rsid w:val="08D461FA"/>
    <w:rsid w:val="092205E6"/>
    <w:rsid w:val="09255549"/>
    <w:rsid w:val="099916AC"/>
    <w:rsid w:val="0AD75F96"/>
    <w:rsid w:val="0B0569FA"/>
    <w:rsid w:val="0B5E598F"/>
    <w:rsid w:val="0B656F9D"/>
    <w:rsid w:val="0BCD1775"/>
    <w:rsid w:val="0BE43DCF"/>
    <w:rsid w:val="0C67112E"/>
    <w:rsid w:val="0C7A5849"/>
    <w:rsid w:val="0C944BAD"/>
    <w:rsid w:val="0CA74F6C"/>
    <w:rsid w:val="0CB42801"/>
    <w:rsid w:val="0CC1686B"/>
    <w:rsid w:val="0CFA0C28"/>
    <w:rsid w:val="0D632310"/>
    <w:rsid w:val="0D6835C5"/>
    <w:rsid w:val="0DA16B4C"/>
    <w:rsid w:val="0DC8028F"/>
    <w:rsid w:val="0DCE5048"/>
    <w:rsid w:val="0DD25389"/>
    <w:rsid w:val="0DFC39D4"/>
    <w:rsid w:val="0E0A7680"/>
    <w:rsid w:val="0EB42494"/>
    <w:rsid w:val="0ECB31F6"/>
    <w:rsid w:val="0EEC65EE"/>
    <w:rsid w:val="0F1F21C6"/>
    <w:rsid w:val="0F3B03ED"/>
    <w:rsid w:val="0F403ABC"/>
    <w:rsid w:val="0F762FD4"/>
    <w:rsid w:val="0F8F6E11"/>
    <w:rsid w:val="0F9D17AA"/>
    <w:rsid w:val="0FE537EA"/>
    <w:rsid w:val="0FEF55C1"/>
    <w:rsid w:val="102218DF"/>
    <w:rsid w:val="105B1BA1"/>
    <w:rsid w:val="10A442EC"/>
    <w:rsid w:val="10AF1CFC"/>
    <w:rsid w:val="11092882"/>
    <w:rsid w:val="114336F1"/>
    <w:rsid w:val="11522ED1"/>
    <w:rsid w:val="116970DD"/>
    <w:rsid w:val="116F1A0E"/>
    <w:rsid w:val="11A118CD"/>
    <w:rsid w:val="11AF5643"/>
    <w:rsid w:val="11C31FF4"/>
    <w:rsid w:val="122F6099"/>
    <w:rsid w:val="124A19E2"/>
    <w:rsid w:val="12550820"/>
    <w:rsid w:val="126C7235"/>
    <w:rsid w:val="126E68C6"/>
    <w:rsid w:val="128061E0"/>
    <w:rsid w:val="12C0775B"/>
    <w:rsid w:val="12C538A2"/>
    <w:rsid w:val="13145A89"/>
    <w:rsid w:val="132A204B"/>
    <w:rsid w:val="13B77172"/>
    <w:rsid w:val="13CD6219"/>
    <w:rsid w:val="13F17AD3"/>
    <w:rsid w:val="13FE6B5A"/>
    <w:rsid w:val="14794546"/>
    <w:rsid w:val="14C46F15"/>
    <w:rsid w:val="14DD7BB3"/>
    <w:rsid w:val="15242D0A"/>
    <w:rsid w:val="15374143"/>
    <w:rsid w:val="153C449C"/>
    <w:rsid w:val="15481947"/>
    <w:rsid w:val="156D4053"/>
    <w:rsid w:val="15A2275C"/>
    <w:rsid w:val="15AC57C7"/>
    <w:rsid w:val="15AE097F"/>
    <w:rsid w:val="15D74D99"/>
    <w:rsid w:val="1642136E"/>
    <w:rsid w:val="168B421B"/>
    <w:rsid w:val="16E52BAC"/>
    <w:rsid w:val="175D085F"/>
    <w:rsid w:val="17780B89"/>
    <w:rsid w:val="17896FE8"/>
    <w:rsid w:val="17960362"/>
    <w:rsid w:val="17CE3961"/>
    <w:rsid w:val="17E6120B"/>
    <w:rsid w:val="18093560"/>
    <w:rsid w:val="187C7464"/>
    <w:rsid w:val="18BF467F"/>
    <w:rsid w:val="18F64B3B"/>
    <w:rsid w:val="191439C3"/>
    <w:rsid w:val="195C4CAB"/>
    <w:rsid w:val="1A0E1D9A"/>
    <w:rsid w:val="1A2F2B78"/>
    <w:rsid w:val="1A7860B9"/>
    <w:rsid w:val="1AD9645F"/>
    <w:rsid w:val="1B0E0C7C"/>
    <w:rsid w:val="1B5F4607"/>
    <w:rsid w:val="1BD169F0"/>
    <w:rsid w:val="1BDB51FF"/>
    <w:rsid w:val="1C243E08"/>
    <w:rsid w:val="1C444B2E"/>
    <w:rsid w:val="1CA0138A"/>
    <w:rsid w:val="1CCF181D"/>
    <w:rsid w:val="1CF5253B"/>
    <w:rsid w:val="1D102D34"/>
    <w:rsid w:val="1D3B0D27"/>
    <w:rsid w:val="1D3D55BF"/>
    <w:rsid w:val="1D4A3EF0"/>
    <w:rsid w:val="1D8A24E7"/>
    <w:rsid w:val="1D9A3A14"/>
    <w:rsid w:val="1DA6513E"/>
    <w:rsid w:val="1DCB57BB"/>
    <w:rsid w:val="1E2C618B"/>
    <w:rsid w:val="1E720C4C"/>
    <w:rsid w:val="1EC20316"/>
    <w:rsid w:val="1EF25307"/>
    <w:rsid w:val="1EF42635"/>
    <w:rsid w:val="1F0F7901"/>
    <w:rsid w:val="1F1B07AD"/>
    <w:rsid w:val="1F754C61"/>
    <w:rsid w:val="1F7A24F9"/>
    <w:rsid w:val="2033464C"/>
    <w:rsid w:val="208E6DE1"/>
    <w:rsid w:val="21224FD1"/>
    <w:rsid w:val="212E2E6F"/>
    <w:rsid w:val="21701498"/>
    <w:rsid w:val="219256E3"/>
    <w:rsid w:val="21C75889"/>
    <w:rsid w:val="223C642F"/>
    <w:rsid w:val="23354A79"/>
    <w:rsid w:val="235741B6"/>
    <w:rsid w:val="235978C9"/>
    <w:rsid w:val="23C562AD"/>
    <w:rsid w:val="23F264B0"/>
    <w:rsid w:val="23F95CCD"/>
    <w:rsid w:val="240E7E17"/>
    <w:rsid w:val="24A274CB"/>
    <w:rsid w:val="24E42944"/>
    <w:rsid w:val="2505306F"/>
    <w:rsid w:val="251F1F61"/>
    <w:rsid w:val="252D56A1"/>
    <w:rsid w:val="25980999"/>
    <w:rsid w:val="25F055EC"/>
    <w:rsid w:val="262D3B4C"/>
    <w:rsid w:val="263F0542"/>
    <w:rsid w:val="26492304"/>
    <w:rsid w:val="267B54F3"/>
    <w:rsid w:val="272D275D"/>
    <w:rsid w:val="27546A37"/>
    <w:rsid w:val="279414B6"/>
    <w:rsid w:val="27B40DFA"/>
    <w:rsid w:val="288933E4"/>
    <w:rsid w:val="28DC0046"/>
    <w:rsid w:val="28EE1242"/>
    <w:rsid w:val="291954C7"/>
    <w:rsid w:val="291D36D7"/>
    <w:rsid w:val="293F238D"/>
    <w:rsid w:val="29614001"/>
    <w:rsid w:val="299229B3"/>
    <w:rsid w:val="29CD39DA"/>
    <w:rsid w:val="29D67238"/>
    <w:rsid w:val="2A1C190D"/>
    <w:rsid w:val="2A6E2CEF"/>
    <w:rsid w:val="2A770681"/>
    <w:rsid w:val="2BDF290C"/>
    <w:rsid w:val="2C85126D"/>
    <w:rsid w:val="2C877128"/>
    <w:rsid w:val="2D5B5EDB"/>
    <w:rsid w:val="2D774060"/>
    <w:rsid w:val="2D82430F"/>
    <w:rsid w:val="2DC569FF"/>
    <w:rsid w:val="2E442898"/>
    <w:rsid w:val="2EB53629"/>
    <w:rsid w:val="2F2245E1"/>
    <w:rsid w:val="2FE01725"/>
    <w:rsid w:val="3001104B"/>
    <w:rsid w:val="30067F86"/>
    <w:rsid w:val="305C1DCB"/>
    <w:rsid w:val="305D35D3"/>
    <w:rsid w:val="307E755E"/>
    <w:rsid w:val="30901B74"/>
    <w:rsid w:val="30983F21"/>
    <w:rsid w:val="310B30D3"/>
    <w:rsid w:val="31957678"/>
    <w:rsid w:val="31D70B45"/>
    <w:rsid w:val="32B14DE5"/>
    <w:rsid w:val="336733CF"/>
    <w:rsid w:val="33B86E28"/>
    <w:rsid w:val="33BC3038"/>
    <w:rsid w:val="34A25FF8"/>
    <w:rsid w:val="34A76228"/>
    <w:rsid w:val="34D1525E"/>
    <w:rsid w:val="34DC25B2"/>
    <w:rsid w:val="354F646F"/>
    <w:rsid w:val="355327E6"/>
    <w:rsid w:val="3577273C"/>
    <w:rsid w:val="359B08EC"/>
    <w:rsid w:val="3675417E"/>
    <w:rsid w:val="36F25386"/>
    <w:rsid w:val="37056E12"/>
    <w:rsid w:val="375975CD"/>
    <w:rsid w:val="37F84BDA"/>
    <w:rsid w:val="38496A7A"/>
    <w:rsid w:val="3869150E"/>
    <w:rsid w:val="38D872EB"/>
    <w:rsid w:val="38DA3CE3"/>
    <w:rsid w:val="39141841"/>
    <w:rsid w:val="393033F9"/>
    <w:rsid w:val="39587A27"/>
    <w:rsid w:val="39A06DB2"/>
    <w:rsid w:val="39FA2402"/>
    <w:rsid w:val="3A5643D5"/>
    <w:rsid w:val="3A660E52"/>
    <w:rsid w:val="3A841847"/>
    <w:rsid w:val="3AB92455"/>
    <w:rsid w:val="3ACD7D07"/>
    <w:rsid w:val="3AFE6E64"/>
    <w:rsid w:val="3B0A771D"/>
    <w:rsid w:val="3B2D6C8A"/>
    <w:rsid w:val="3B683C09"/>
    <w:rsid w:val="3B6E5565"/>
    <w:rsid w:val="3BEE4DD4"/>
    <w:rsid w:val="3C6A756F"/>
    <w:rsid w:val="3C844569"/>
    <w:rsid w:val="3C854649"/>
    <w:rsid w:val="3CAD02F0"/>
    <w:rsid w:val="3CD62916"/>
    <w:rsid w:val="3CE818EC"/>
    <w:rsid w:val="3CEA5E4C"/>
    <w:rsid w:val="3D1F413F"/>
    <w:rsid w:val="3D547E82"/>
    <w:rsid w:val="3D5C1BB8"/>
    <w:rsid w:val="3DAA2947"/>
    <w:rsid w:val="3DBF1F06"/>
    <w:rsid w:val="3DC74501"/>
    <w:rsid w:val="3DD428A4"/>
    <w:rsid w:val="3DDD2556"/>
    <w:rsid w:val="3E95065D"/>
    <w:rsid w:val="3F27488C"/>
    <w:rsid w:val="3F76293F"/>
    <w:rsid w:val="3FC93956"/>
    <w:rsid w:val="4076464A"/>
    <w:rsid w:val="409E4E28"/>
    <w:rsid w:val="40A903F9"/>
    <w:rsid w:val="40D04144"/>
    <w:rsid w:val="41440520"/>
    <w:rsid w:val="414A35B8"/>
    <w:rsid w:val="418D0EAB"/>
    <w:rsid w:val="418E7E6E"/>
    <w:rsid w:val="41AD78B4"/>
    <w:rsid w:val="41CE4534"/>
    <w:rsid w:val="41EB7CC4"/>
    <w:rsid w:val="421E36CC"/>
    <w:rsid w:val="42485F9F"/>
    <w:rsid w:val="42686E4C"/>
    <w:rsid w:val="42A12266"/>
    <w:rsid w:val="43056679"/>
    <w:rsid w:val="43582E0C"/>
    <w:rsid w:val="437C752A"/>
    <w:rsid w:val="437E6430"/>
    <w:rsid w:val="438D3946"/>
    <w:rsid w:val="443B77EF"/>
    <w:rsid w:val="4447339B"/>
    <w:rsid w:val="44D63DDF"/>
    <w:rsid w:val="44D81B2C"/>
    <w:rsid w:val="451653B7"/>
    <w:rsid w:val="452C29A6"/>
    <w:rsid w:val="457D0ECD"/>
    <w:rsid w:val="458C4BC6"/>
    <w:rsid w:val="45B352B4"/>
    <w:rsid w:val="45DF6D8C"/>
    <w:rsid w:val="45E35B65"/>
    <w:rsid w:val="46A17530"/>
    <w:rsid w:val="472A23F3"/>
    <w:rsid w:val="48B150DE"/>
    <w:rsid w:val="4A0A328C"/>
    <w:rsid w:val="4A302FF4"/>
    <w:rsid w:val="4A4F1ACE"/>
    <w:rsid w:val="4A4F5085"/>
    <w:rsid w:val="4A79191A"/>
    <w:rsid w:val="4AB57F10"/>
    <w:rsid w:val="4AD9158E"/>
    <w:rsid w:val="4B6B0D76"/>
    <w:rsid w:val="4B772CE0"/>
    <w:rsid w:val="4B8407AF"/>
    <w:rsid w:val="4C1679E6"/>
    <w:rsid w:val="4C8E3B3D"/>
    <w:rsid w:val="4CAC44B3"/>
    <w:rsid w:val="4D33487A"/>
    <w:rsid w:val="4D742094"/>
    <w:rsid w:val="4D7A5AC3"/>
    <w:rsid w:val="4DD60919"/>
    <w:rsid w:val="4E555BFA"/>
    <w:rsid w:val="4E5612DC"/>
    <w:rsid w:val="4E7F1273"/>
    <w:rsid w:val="4EB50588"/>
    <w:rsid w:val="4EF23667"/>
    <w:rsid w:val="4F1B2345"/>
    <w:rsid w:val="4F315925"/>
    <w:rsid w:val="4F557E3F"/>
    <w:rsid w:val="4F780214"/>
    <w:rsid w:val="4FF742AD"/>
    <w:rsid w:val="50141532"/>
    <w:rsid w:val="50AF170B"/>
    <w:rsid w:val="511C5F72"/>
    <w:rsid w:val="51377143"/>
    <w:rsid w:val="51425461"/>
    <w:rsid w:val="51591E51"/>
    <w:rsid w:val="517C7FE9"/>
    <w:rsid w:val="52D8098E"/>
    <w:rsid w:val="52DE5ED6"/>
    <w:rsid w:val="531335FE"/>
    <w:rsid w:val="53870E78"/>
    <w:rsid w:val="53B7724B"/>
    <w:rsid w:val="53B85590"/>
    <w:rsid w:val="5457774F"/>
    <w:rsid w:val="54F77DB1"/>
    <w:rsid w:val="54FC2CBC"/>
    <w:rsid w:val="550139B8"/>
    <w:rsid w:val="55197E2B"/>
    <w:rsid w:val="557E112F"/>
    <w:rsid w:val="55C033A8"/>
    <w:rsid w:val="55D252E9"/>
    <w:rsid w:val="562B4EC2"/>
    <w:rsid w:val="56A22BB9"/>
    <w:rsid w:val="56EC4177"/>
    <w:rsid w:val="5723143E"/>
    <w:rsid w:val="5739208D"/>
    <w:rsid w:val="57640571"/>
    <w:rsid w:val="57BE138E"/>
    <w:rsid w:val="57DF38B2"/>
    <w:rsid w:val="57E62E40"/>
    <w:rsid w:val="57E76087"/>
    <w:rsid w:val="580E6C3F"/>
    <w:rsid w:val="58116161"/>
    <w:rsid w:val="58424DDE"/>
    <w:rsid w:val="59587CED"/>
    <w:rsid w:val="5967230C"/>
    <w:rsid w:val="59D024A1"/>
    <w:rsid w:val="59D75B31"/>
    <w:rsid w:val="5AC867BA"/>
    <w:rsid w:val="5AE15AE7"/>
    <w:rsid w:val="5AE41185"/>
    <w:rsid w:val="5B325785"/>
    <w:rsid w:val="5B581A66"/>
    <w:rsid w:val="5BB61FBD"/>
    <w:rsid w:val="5BC0413D"/>
    <w:rsid w:val="5BF058F3"/>
    <w:rsid w:val="5C19613D"/>
    <w:rsid w:val="5C627DAF"/>
    <w:rsid w:val="5CA604D5"/>
    <w:rsid w:val="5CB20388"/>
    <w:rsid w:val="5CD359E4"/>
    <w:rsid w:val="5D2F04EE"/>
    <w:rsid w:val="5D3B36B3"/>
    <w:rsid w:val="5D7D129D"/>
    <w:rsid w:val="5DAE72E7"/>
    <w:rsid w:val="5DCB392C"/>
    <w:rsid w:val="5DD64394"/>
    <w:rsid w:val="5DFF0089"/>
    <w:rsid w:val="5E81633D"/>
    <w:rsid w:val="5EB027FC"/>
    <w:rsid w:val="5EDA0C90"/>
    <w:rsid w:val="5F2D58C9"/>
    <w:rsid w:val="5F6163BA"/>
    <w:rsid w:val="5F755E04"/>
    <w:rsid w:val="60A65289"/>
    <w:rsid w:val="60C17448"/>
    <w:rsid w:val="60C4353D"/>
    <w:rsid w:val="614D224D"/>
    <w:rsid w:val="614F13F7"/>
    <w:rsid w:val="618F57FF"/>
    <w:rsid w:val="61BF66C3"/>
    <w:rsid w:val="61DA1401"/>
    <w:rsid w:val="627C3DCB"/>
    <w:rsid w:val="629A2193"/>
    <w:rsid w:val="632C3261"/>
    <w:rsid w:val="6391248C"/>
    <w:rsid w:val="63B40AD6"/>
    <w:rsid w:val="63F3792D"/>
    <w:rsid w:val="648174EA"/>
    <w:rsid w:val="65040186"/>
    <w:rsid w:val="65473B71"/>
    <w:rsid w:val="65925EEB"/>
    <w:rsid w:val="659E41AA"/>
    <w:rsid w:val="65F174D2"/>
    <w:rsid w:val="663173BB"/>
    <w:rsid w:val="66CB6BA1"/>
    <w:rsid w:val="67BB614D"/>
    <w:rsid w:val="67FB3889"/>
    <w:rsid w:val="68393645"/>
    <w:rsid w:val="68511B79"/>
    <w:rsid w:val="6860213E"/>
    <w:rsid w:val="6887292C"/>
    <w:rsid w:val="68997733"/>
    <w:rsid w:val="68A72611"/>
    <w:rsid w:val="69226634"/>
    <w:rsid w:val="695E3AB7"/>
    <w:rsid w:val="697764E6"/>
    <w:rsid w:val="697A6758"/>
    <w:rsid w:val="69880EF4"/>
    <w:rsid w:val="69A36EAC"/>
    <w:rsid w:val="69EB4743"/>
    <w:rsid w:val="6A5D26A3"/>
    <w:rsid w:val="6AA83B7C"/>
    <w:rsid w:val="6AAB19B1"/>
    <w:rsid w:val="6B5F091B"/>
    <w:rsid w:val="6BB52AAA"/>
    <w:rsid w:val="6C5A235D"/>
    <w:rsid w:val="6C6964D8"/>
    <w:rsid w:val="6CD20B6C"/>
    <w:rsid w:val="6D006107"/>
    <w:rsid w:val="6D3B37CE"/>
    <w:rsid w:val="6D9417ED"/>
    <w:rsid w:val="6DA77FF8"/>
    <w:rsid w:val="6E41303C"/>
    <w:rsid w:val="6E7D3834"/>
    <w:rsid w:val="6F01061A"/>
    <w:rsid w:val="6F085F03"/>
    <w:rsid w:val="6FC13E64"/>
    <w:rsid w:val="6FC60251"/>
    <w:rsid w:val="6FCB78B9"/>
    <w:rsid w:val="6FD63332"/>
    <w:rsid w:val="702C6FF5"/>
    <w:rsid w:val="70535842"/>
    <w:rsid w:val="70B00CD8"/>
    <w:rsid w:val="70E27A2A"/>
    <w:rsid w:val="711852A5"/>
    <w:rsid w:val="71447AFE"/>
    <w:rsid w:val="718D3E7C"/>
    <w:rsid w:val="71B57B2C"/>
    <w:rsid w:val="71B84B6B"/>
    <w:rsid w:val="71BE6EDF"/>
    <w:rsid w:val="72281C1F"/>
    <w:rsid w:val="72385CC4"/>
    <w:rsid w:val="725E1D42"/>
    <w:rsid w:val="72765BDC"/>
    <w:rsid w:val="728E3913"/>
    <w:rsid w:val="72A73276"/>
    <w:rsid w:val="72C8650C"/>
    <w:rsid w:val="72E825F6"/>
    <w:rsid w:val="73AE380D"/>
    <w:rsid w:val="74183F2A"/>
    <w:rsid w:val="74370A99"/>
    <w:rsid w:val="74644DAF"/>
    <w:rsid w:val="74781FB9"/>
    <w:rsid w:val="74865CD6"/>
    <w:rsid w:val="75E4104E"/>
    <w:rsid w:val="769833B8"/>
    <w:rsid w:val="7702243A"/>
    <w:rsid w:val="773E0C8D"/>
    <w:rsid w:val="77842469"/>
    <w:rsid w:val="778C6FBA"/>
    <w:rsid w:val="77CD00C7"/>
    <w:rsid w:val="77D320D2"/>
    <w:rsid w:val="77DB658F"/>
    <w:rsid w:val="782E5F2A"/>
    <w:rsid w:val="7A1F769A"/>
    <w:rsid w:val="7A28112A"/>
    <w:rsid w:val="7A8A2500"/>
    <w:rsid w:val="7AA00BFA"/>
    <w:rsid w:val="7ABA07F4"/>
    <w:rsid w:val="7AE15942"/>
    <w:rsid w:val="7AF155FD"/>
    <w:rsid w:val="7B17101F"/>
    <w:rsid w:val="7B887A64"/>
    <w:rsid w:val="7B9B167E"/>
    <w:rsid w:val="7B9B63DD"/>
    <w:rsid w:val="7BB168BA"/>
    <w:rsid w:val="7C116A43"/>
    <w:rsid w:val="7C18123A"/>
    <w:rsid w:val="7C705E34"/>
    <w:rsid w:val="7C7B0861"/>
    <w:rsid w:val="7CC5694B"/>
    <w:rsid w:val="7D021685"/>
    <w:rsid w:val="7E3B3DD8"/>
    <w:rsid w:val="7E3E0E0A"/>
    <w:rsid w:val="7E982A89"/>
    <w:rsid w:val="7EE15585"/>
    <w:rsid w:val="7F062548"/>
    <w:rsid w:val="7F951BA2"/>
    <w:rsid w:val="7FB35811"/>
    <w:rsid w:val="7FC86915"/>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14:docId w14:val="41187696"/>
  <w15:docId w15:val="{8E3C4EAA-0507-4E99-888F-9C4977564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paragraph" w:styleId="Heading1">
    <w:name w:val="heading 1"/>
    <w:basedOn w:val="Normal"/>
    <w:next w:val="Normal"/>
    <w:link w:val="10"/>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a1"/>
    <w:uiPriority w:val="99"/>
    <w:unhideWhenUsed/>
    <w:qFormat/>
    <w:pPr>
      <w:jc w:val="left"/>
    </w:pPr>
  </w:style>
  <w:style w:type="paragraph" w:styleId="BodyTextIndent">
    <w:name w:val="Body Text Indent"/>
    <w:basedOn w:val="Normal"/>
    <w:qFormat/>
    <w:pPr>
      <w:spacing w:line="400" w:lineRule="exact"/>
      <w:ind w:left="1020"/>
    </w:pPr>
    <w:rPr>
      <w:rFonts w:ascii="宋体" w:hAnsi="宋体"/>
      <w:sz w:val="24"/>
      <w:u w:val="single"/>
    </w:rPr>
  </w:style>
  <w:style w:type="paragraph" w:styleId="Date">
    <w:name w:val="Date"/>
    <w:basedOn w:val="Normal"/>
    <w:next w:val="Normal"/>
    <w:link w:val="a4"/>
    <w:uiPriority w:val="99"/>
    <w:semiHidden/>
    <w:unhideWhenUsed/>
    <w:qFormat/>
    <w:pPr>
      <w:ind w:left="100" w:leftChars="2500"/>
    </w:pPr>
  </w:style>
  <w:style w:type="paragraph" w:styleId="BodyTextIndent2">
    <w:name w:val="Body Text Indent 2"/>
    <w:basedOn w:val="Normal"/>
    <w:link w:val="2"/>
    <w:qFormat/>
    <w:pPr>
      <w:snapToGrid w:val="0"/>
      <w:spacing w:line="360" w:lineRule="atLeast"/>
      <w:ind w:left="360"/>
    </w:pPr>
    <w:rPr>
      <w:rFonts w:ascii="宋体"/>
      <w:sz w:val="24"/>
    </w:rPr>
  </w:style>
  <w:style w:type="paragraph" w:styleId="BalloonText">
    <w:name w:val="Balloon Text"/>
    <w:basedOn w:val="Normal"/>
    <w:link w:val="a3"/>
    <w:uiPriority w:val="99"/>
    <w:semiHidden/>
    <w:unhideWhenUsed/>
    <w:qFormat/>
    <w:rPr>
      <w:sz w:val="18"/>
      <w:szCs w:val="18"/>
    </w:rPr>
  </w:style>
  <w:style w:type="paragraph" w:styleId="Footer">
    <w:name w:val="footer"/>
    <w:basedOn w:val="Normal"/>
    <w:link w:val="a0"/>
    <w:qFormat/>
    <w:pPr>
      <w:tabs>
        <w:tab w:val="center" w:pos="4153"/>
        <w:tab w:val="right" w:pos="8306"/>
      </w:tabs>
      <w:snapToGrid w:val="0"/>
      <w:jc w:val="left"/>
    </w:pPr>
    <w:rPr>
      <w:sz w:val="18"/>
    </w:rPr>
  </w:style>
  <w:style w:type="paragraph" w:styleId="Header">
    <w:name w:val="header"/>
    <w:basedOn w:val="Normal"/>
    <w:link w:val="a"/>
    <w:uiPriority w:val="99"/>
    <w:qFormat/>
    <w:pPr>
      <w:pBdr>
        <w:bottom w:val="single" w:sz="6" w:space="1" w:color="auto"/>
      </w:pBdr>
      <w:tabs>
        <w:tab w:val="center" w:pos="4153"/>
        <w:tab w:val="right" w:pos="8306"/>
      </w:tabs>
      <w:snapToGrid w:val="0"/>
      <w:jc w:val="center"/>
    </w:pPr>
    <w:rPr>
      <w:sz w:val="18"/>
    </w:rPr>
  </w:style>
  <w:style w:type="paragraph" w:styleId="TOC1">
    <w:name w:val="toc 1"/>
    <w:basedOn w:val="Normal"/>
    <w:next w:val="Normal"/>
    <w:uiPriority w:val="39"/>
    <w:unhideWhenUsed/>
    <w:qFormat/>
    <w:pPr>
      <w:tabs>
        <w:tab w:val="right" w:leader="dot" w:pos="8890"/>
      </w:tabs>
      <w:spacing w:line="400" w:lineRule="exact"/>
    </w:pPr>
  </w:style>
  <w:style w:type="paragraph" w:styleId="BodyTextIndent3">
    <w:name w:val="Body Text Indent 3"/>
    <w:basedOn w:val="Normal"/>
    <w:link w:val="3"/>
    <w:qFormat/>
    <w:pPr>
      <w:snapToGrid w:val="0"/>
      <w:spacing w:line="320" w:lineRule="exact"/>
      <w:ind w:left="567"/>
    </w:pPr>
    <w:rPr>
      <w:rFonts w:ascii="宋体"/>
      <w:spacing w:val="10"/>
      <w:sz w:val="24"/>
    </w:rPr>
  </w:style>
  <w:style w:type="paragraph" w:styleId="TOC2">
    <w:name w:val="toc 2"/>
    <w:basedOn w:val="Normal"/>
    <w:next w:val="Normal"/>
    <w:uiPriority w:val="39"/>
    <w:unhideWhenUsed/>
    <w:qFormat/>
    <w:pPr>
      <w:tabs>
        <w:tab w:val="right" w:leader="dot" w:pos="8890"/>
      </w:tabs>
    </w:pPr>
  </w:style>
  <w:style w:type="paragraph" w:styleId="CommentSubject">
    <w:name w:val="annotation subject"/>
    <w:basedOn w:val="CommentText"/>
    <w:next w:val="CommentText"/>
    <w:link w:val="a2"/>
    <w:uiPriority w:val="99"/>
    <w:semiHidden/>
    <w:unhideWhenUsed/>
    <w:qFormat/>
    <w:rPr>
      <w:b/>
      <w:bCs/>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PageNumber">
    <w:name w:val="page number"/>
    <w:basedOn w:val="DefaultParagraphFont"/>
    <w:qFormat/>
  </w:style>
  <w:style w:type="character" w:styleId="Hyperlink">
    <w:name w:val="Hyperlink"/>
    <w:basedOn w:val="DefaultParagraphFont"/>
    <w:uiPriority w:val="99"/>
    <w:unhideWhenUsed/>
    <w:qFormat/>
    <w:rPr>
      <w:color w:val="0000FF" w:themeColor="hyperlink"/>
      <w:u w:val="single"/>
    </w:rPr>
  </w:style>
  <w:style w:type="character" w:styleId="CommentReference">
    <w:name w:val="annotation reference"/>
    <w:basedOn w:val="DefaultParagraphFont"/>
    <w:uiPriority w:val="99"/>
    <w:semiHidden/>
    <w:unhideWhenUsed/>
    <w:qFormat/>
    <w:rPr>
      <w:sz w:val="21"/>
      <w:szCs w:val="21"/>
    </w:rPr>
  </w:style>
  <w:style w:type="character" w:customStyle="1" w:styleId="2">
    <w:name w:val="正文文本缩进 2 字符"/>
    <w:basedOn w:val="DefaultParagraphFont"/>
    <w:link w:val="BodyTextIndent2"/>
    <w:qFormat/>
    <w:rPr>
      <w:rFonts w:ascii="宋体" w:eastAsia="宋体" w:hAnsi="Times New Roman" w:cs="Times New Roman"/>
      <w:sz w:val="24"/>
      <w:szCs w:val="20"/>
    </w:rPr>
  </w:style>
  <w:style w:type="character" w:customStyle="1" w:styleId="a">
    <w:name w:val="页眉 字符"/>
    <w:basedOn w:val="DefaultParagraphFont"/>
    <w:link w:val="Header"/>
    <w:uiPriority w:val="99"/>
    <w:qFormat/>
    <w:rPr>
      <w:rFonts w:ascii="Times New Roman" w:eastAsia="宋体" w:hAnsi="Times New Roman" w:cs="Times New Roman"/>
      <w:sz w:val="18"/>
      <w:szCs w:val="20"/>
    </w:rPr>
  </w:style>
  <w:style w:type="character" w:customStyle="1" w:styleId="a0">
    <w:name w:val="页脚 字符"/>
    <w:basedOn w:val="DefaultParagraphFont"/>
    <w:link w:val="Footer"/>
    <w:qFormat/>
    <w:rPr>
      <w:rFonts w:ascii="Times New Roman" w:eastAsia="宋体" w:hAnsi="Times New Roman" w:cs="Times New Roman"/>
      <w:sz w:val="18"/>
      <w:szCs w:val="20"/>
    </w:rPr>
  </w:style>
  <w:style w:type="character" w:customStyle="1" w:styleId="3">
    <w:name w:val="正文文本缩进 3 字符"/>
    <w:basedOn w:val="DefaultParagraphFont"/>
    <w:link w:val="BodyTextIndent3"/>
    <w:qFormat/>
    <w:rPr>
      <w:rFonts w:ascii="宋体" w:eastAsia="宋体" w:hAnsi="Times New Roman" w:cs="Times New Roman"/>
      <w:spacing w:val="10"/>
      <w:sz w:val="24"/>
      <w:szCs w:val="20"/>
    </w:rPr>
  </w:style>
  <w:style w:type="character" w:customStyle="1" w:styleId="a1">
    <w:name w:val="批注文字 字符"/>
    <w:basedOn w:val="DefaultParagraphFont"/>
    <w:link w:val="CommentText"/>
    <w:uiPriority w:val="99"/>
    <w:qFormat/>
    <w:rPr>
      <w:rFonts w:ascii="Times New Roman" w:eastAsia="宋体" w:hAnsi="Times New Roman" w:cs="Times New Roman"/>
      <w:szCs w:val="20"/>
    </w:rPr>
  </w:style>
  <w:style w:type="character" w:customStyle="1" w:styleId="a2">
    <w:name w:val="批注主题 字符"/>
    <w:basedOn w:val="a1"/>
    <w:link w:val="CommentSubject"/>
    <w:uiPriority w:val="99"/>
    <w:semiHidden/>
    <w:qFormat/>
    <w:rPr>
      <w:rFonts w:ascii="Times New Roman" w:eastAsia="宋体" w:hAnsi="Times New Roman" w:cs="Times New Roman"/>
      <w:b/>
      <w:bCs/>
      <w:szCs w:val="20"/>
    </w:rPr>
  </w:style>
  <w:style w:type="character" w:customStyle="1" w:styleId="a3">
    <w:name w:val="批注框文本 字符"/>
    <w:basedOn w:val="DefaultParagraphFont"/>
    <w:link w:val="BalloonText"/>
    <w:uiPriority w:val="99"/>
    <w:semiHidden/>
    <w:qFormat/>
    <w:rPr>
      <w:rFonts w:ascii="Times New Roman" w:eastAsia="宋体" w:hAnsi="Times New Roman" w:cs="Times New Roman"/>
      <w:sz w:val="18"/>
      <w:szCs w:val="18"/>
    </w:rPr>
  </w:style>
  <w:style w:type="character" w:customStyle="1" w:styleId="a4">
    <w:name w:val="日期 字符"/>
    <w:basedOn w:val="DefaultParagraphFont"/>
    <w:link w:val="Date"/>
    <w:uiPriority w:val="99"/>
    <w:semiHidden/>
    <w:qFormat/>
    <w:rPr>
      <w:rFonts w:ascii="Times New Roman" w:eastAsia="宋体" w:hAnsi="Times New Roman" w:cs="Times New Roman"/>
      <w:szCs w:val="20"/>
    </w:rPr>
  </w:style>
  <w:style w:type="paragraph" w:styleId="ListParagraph">
    <w:name w:val="List Paragraph"/>
    <w:basedOn w:val="Normal"/>
    <w:uiPriority w:val="34"/>
    <w:qFormat/>
    <w:pPr>
      <w:ind w:firstLine="420" w:firstLineChars="200"/>
    </w:pPr>
  </w:style>
  <w:style w:type="paragraph" w:customStyle="1" w:styleId="1">
    <w:name w:val="修订1"/>
    <w:hidden/>
    <w:uiPriority w:val="99"/>
    <w:semiHidden/>
    <w:qFormat/>
    <w:rPr>
      <w:kern w:val="2"/>
      <w:sz w:val="21"/>
    </w:rPr>
  </w:style>
  <w:style w:type="character" w:customStyle="1" w:styleId="10">
    <w:name w:val="标题 1 字符"/>
    <w:basedOn w:val="DefaultParagraphFont"/>
    <w:link w:val="Heading1"/>
    <w:uiPriority w:val="9"/>
    <w:qFormat/>
    <w:rPr>
      <w:rFonts w:ascii="Times New Roman" w:eastAsia="宋体" w:hAnsi="Times New Roman" w:cs="Times New Roman"/>
      <w:b/>
      <w:bCs/>
      <w:kern w:val="44"/>
      <w:sz w:val="44"/>
      <w:szCs w:val="44"/>
    </w:rPr>
  </w:style>
  <w:style w:type="character" w:customStyle="1" w:styleId="20">
    <w:name w:val="标题 2 字符"/>
    <w:basedOn w:val="DefaultParagraphFont"/>
    <w:link w:val="Heading2"/>
    <w:uiPriority w:val="9"/>
    <w:semiHidden/>
    <w:qFormat/>
    <w:rPr>
      <w:rFonts w:asciiTheme="majorHAnsi" w:eastAsiaTheme="majorEastAsia" w:hAnsiTheme="majorHAnsi" w:cstheme="majorBidi"/>
      <w:b/>
      <w:bCs/>
      <w:sz w:val="32"/>
      <w:szCs w:val="32"/>
    </w:rPr>
  </w:style>
  <w:style w:type="paragraph" w:customStyle="1" w:styleId="TOC10">
    <w:name w:val="TOC 标题1"/>
    <w:basedOn w:val="Heading1"/>
    <w:next w:val="Normal"/>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00">
    <w:name w:val="标题 2_0"/>
    <w:basedOn w:val="0"/>
    <w:qFormat/>
    <w:pPr>
      <w:spacing w:before="260" w:after="260"/>
      <w:jc w:val="center"/>
      <w:outlineLvl w:val="1"/>
    </w:pPr>
    <w:rPr>
      <w:rFonts w:ascii="华文细黑" w:hAnsi="Arial"/>
      <w:b/>
      <w:bCs/>
      <w:kern w:val="0"/>
      <w:sz w:val="44"/>
      <w:szCs w:val="32"/>
    </w:rPr>
  </w:style>
  <w:style w:type="paragraph" w:customStyle="1" w:styleId="0">
    <w:name w:val="正文_0"/>
    <w:next w:val="30"/>
    <w:qFormat/>
    <w:pPr>
      <w:widowControl w:val="0"/>
      <w:jc w:val="both"/>
    </w:pPr>
    <w:rPr>
      <w:rFonts w:ascii="Calibri" w:hAnsi="Calibri"/>
      <w:kern w:val="2"/>
      <w:sz w:val="21"/>
      <w:szCs w:val="24"/>
    </w:rPr>
  </w:style>
  <w:style w:type="paragraph" w:customStyle="1" w:styleId="30">
    <w:name w:val="标题 3_0"/>
    <w:basedOn w:val="0"/>
    <w:next w:val="0"/>
    <w:qFormat/>
    <w:pPr>
      <w:keepNext/>
      <w:keepLines/>
      <w:widowControl/>
      <w:spacing w:before="260" w:after="260" w:line="416" w:lineRule="auto"/>
      <w:jc w:val="left"/>
      <w:outlineLvl w:val="2"/>
    </w:pPr>
    <w:rPr>
      <w:rFonts w:ascii="Times New Roman" w:eastAsia="华文细黑" w:hAnsi="Times New Roman"/>
      <w:bCs/>
      <w:kern w:val="0"/>
      <w:sz w:val="36"/>
      <w:szCs w:val="32"/>
    </w:rPr>
  </w:style>
  <w:style w:type="paragraph" w:customStyle="1" w:styleId="21">
    <w:name w:val="样式2"/>
    <w:basedOn w:val="Normal4"/>
    <w:qFormat/>
    <w:pPr>
      <w:numPr>
        <w:ilvl w:val="2"/>
        <w:numId w:val="1"/>
      </w:numPr>
      <w:wordWrap w:val="0"/>
      <w:topLinePunct/>
      <w:adjustRightInd w:val="0"/>
      <w:snapToGrid w:val="0"/>
      <w:spacing w:before="156" w:beforeLines="50" w:line="240" w:lineRule="atLeast"/>
      <w:jc w:val="left"/>
      <w:textAlignment w:val="center"/>
      <w:outlineLvl w:val="1"/>
    </w:pPr>
    <w:rPr>
      <w:rFonts w:ascii="宋体" w:hAnsi="宋体"/>
      <w:b/>
      <w:sz w:val="24"/>
      <w:lang w:val="zh-CN"/>
    </w:rPr>
  </w:style>
  <w:style w:type="paragraph" w:customStyle="1" w:styleId="Normal4">
    <w:name w:val="Normal_4"/>
    <w:qFormat/>
    <w:pPr>
      <w:widowControl w:val="0"/>
      <w:jc w:val="both"/>
    </w:pPr>
    <w:rPr>
      <w:kern w:val="2"/>
      <w:sz w:val="21"/>
      <w:szCs w:val="24"/>
    </w:rPr>
  </w:style>
  <w:style w:type="paragraph" w:customStyle="1" w:styleId="Blockquote">
    <w:name w:val="Blockquote"/>
    <w:basedOn w:val="Normal"/>
    <w:qFormat/>
    <w:pPr>
      <w:autoSpaceDE w:val="0"/>
      <w:autoSpaceDN w:val="0"/>
      <w:adjustRightInd w:val="0"/>
      <w:spacing w:before="100" w:after="100"/>
      <w:ind w:left="360" w:right="360"/>
      <w:jc w:val="left"/>
    </w:pPr>
    <w:rPr>
      <w:kern w:val="0"/>
      <w:sz w:val="24"/>
      <w:szCs w:val="24"/>
    </w:rPr>
  </w:style>
  <w:style w:type="paragraph" w:customStyle="1" w:styleId="Heading30">
    <w:name w:val="Heading 3_0"/>
    <w:basedOn w:val="Normal2"/>
    <w:next w:val="Normal2"/>
    <w:qFormat/>
    <w:pPr>
      <w:keepNext/>
      <w:keepLines/>
      <w:widowControl/>
      <w:spacing w:before="260" w:after="260" w:line="416" w:lineRule="auto"/>
      <w:jc w:val="left"/>
      <w:outlineLvl w:val="2"/>
    </w:pPr>
    <w:rPr>
      <w:rFonts w:eastAsia="华文细黑"/>
      <w:bCs/>
      <w:kern w:val="0"/>
      <w:sz w:val="36"/>
      <w:szCs w:val="32"/>
      <w:lang w:val="zh-CN"/>
    </w:rPr>
  </w:style>
  <w:style w:type="paragraph" w:customStyle="1" w:styleId="Normal2">
    <w:name w:val="Normal_2"/>
    <w:qFormat/>
    <w:pPr>
      <w:widowControl w:val="0"/>
      <w:jc w:val="both"/>
    </w:pPr>
    <w:rPr>
      <w:kern w:val="2"/>
      <w:sz w:val="21"/>
      <w:szCs w:val="24"/>
    </w:rPr>
  </w:style>
  <w:style w:type="paragraph" w:customStyle="1" w:styleId="20505">
    <w:name w:val="样式 标题 2 + 段前: 0.5 行 段后: 0.5 行"/>
    <w:basedOn w:val="Heading2"/>
    <w:qFormat/>
    <w:pPr>
      <w:spacing w:before="0" w:after="0"/>
    </w:pPr>
    <w:rPr>
      <w:rFonts w:cs="宋体"/>
      <w:szCs w:val="20"/>
    </w:rPr>
  </w:style>
  <w:style w:type="paragraph" w:customStyle="1" w:styleId="ReportText">
    <w:name w:val="Report Text"/>
    <w:basedOn w:val="Normal"/>
    <w:qFormat/>
    <w:pPr>
      <w:widowControl/>
      <w:ind w:left="1080"/>
    </w:pPr>
    <w:rPr>
      <w:kern w:val="0"/>
      <w:sz w:val="24"/>
      <w:lang w:val="en-GB" w:eastAsia="en-US"/>
    </w:rPr>
  </w:style>
  <w:style w:type="paragraph" w:customStyle="1" w:styleId="Normal1">
    <w:name w:val="Normal_1"/>
    <w:next w:val="Heading31"/>
    <w:qFormat/>
    <w:pPr>
      <w:widowControl w:val="0"/>
      <w:jc w:val="both"/>
    </w:pPr>
    <w:rPr>
      <w:rFonts w:ascii="Calibri" w:hAnsi="Calibri"/>
      <w:kern w:val="2"/>
      <w:sz w:val="21"/>
      <w:szCs w:val="22"/>
    </w:rPr>
  </w:style>
  <w:style w:type="paragraph" w:customStyle="1" w:styleId="Heading31">
    <w:name w:val="Heading 3_1"/>
    <w:basedOn w:val="Normal1"/>
    <w:next w:val="Normal1"/>
    <w:qFormat/>
    <w:pPr>
      <w:keepNext/>
      <w:keepLines/>
      <w:widowControl/>
      <w:spacing w:before="260" w:after="260" w:line="416" w:lineRule="auto"/>
      <w:jc w:val="left"/>
      <w:outlineLvl w:val="2"/>
    </w:pPr>
    <w:rPr>
      <w:rFonts w:eastAsia="华文细黑"/>
      <w:bCs/>
      <w:kern w:val="0"/>
      <w:sz w:val="36"/>
      <w:szCs w:val="32"/>
    </w:rPr>
  </w:style>
  <w:style w:type="paragraph" w:customStyle="1" w:styleId="22">
    <w:name w:val="修订2"/>
    <w:hidden/>
    <w:uiPriority w:val="99"/>
    <w:semiHidden/>
    <w:qFormat/>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header" Target="header9.xml" /><Relationship Id="rId15" Type="http://schemas.openxmlformats.org/officeDocument/2006/relationships/hyperlink" Target="https://d.book118.com/988027071002006043" TargetMode="External" /><Relationship Id="rId16" Type="http://schemas.openxmlformats.org/officeDocument/2006/relationships/header" Target="header10.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AFC2D5-2D75-40B5-8D11-4B7A0F632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10</Pages>
  <Words>2542</Words>
  <Characters>14496</Characters>
  <Application>Microsoft Office Word</Application>
  <DocSecurity>0</DocSecurity>
  <Lines>120</Lines>
  <Paragraphs>34</Paragraphs>
  <ScaleCrop>false</ScaleCrop>
  <Company>微软中国</Company>
  <LinksUpToDate>false</LinksUpToDate>
  <CharactersWithSpaces>17004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黄丽娟</dc:creator>
  <cp:lastModifiedBy>windows</cp:lastModifiedBy>
  <cp:revision>6</cp:revision>
  <cp:lastPrinted>2022-02-25T09:03:00Z</cp:lastPrinted>
  <dcterms:created xsi:type="dcterms:W3CDTF">2022-02-28T06:31:00Z</dcterms:created>
  <dcterms:modified xsi:type="dcterms:W3CDTF">2024-03-06T07:48:00Z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EFAE3163935E4C88A7C5A3A5529AD0C1</vt:lpwstr>
  </property>
  <property fmtid="{D5CDD505-2E9C-101B-9397-08002B2CF9AE}" pid="3" name="KSOProductBuildVer">
    <vt:lpwstr>2052-11.1.0.11365</vt:lpwstr>
  </property>
</Properties>
</file>