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楷体_GB2312" w:eastAsia="楷体_GB2312"/>
          <w:b/>
          <w:sz w:val="96"/>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华文行楷" w:eastAsia="华文行楷" w:hAnsi="华文细黑"/>
          <w:sz w:val="96"/>
          <w:u w:val="single"/>
        </w:rPr>
      </w:pPr>
      <w:r>
        <w:rPr>
          <w:rFonts w:ascii="楷体_GB2312" w:eastAsia="楷体_GB2312" w:hint="eastAsia"/>
          <w:b/>
          <w:sz w:val="96"/>
        </w:rPr>
        <w:drawing>
          <wp:inline distT="0" distB="0" distL="114300" distR="114300">
            <wp:extent cx="3561080" cy="620395"/>
            <wp:effectExtent l="0" t="0" r="1270" b="8255"/>
            <wp:docPr id="1" name="图片 1"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2"/>
                    <pic:cNvPicPr>
                      <a:picLocks noChangeAspect="1"/>
                    </pic:cNvPicPr>
                  </pic:nvPicPr>
                  <pic:blipFill>
                    <a:blip xmlns:r="http://schemas.openxmlformats.org/officeDocument/2006/relationships" r:embed="rId7" cstate="print">
                      <a:biLevel thresh="50000"/>
                      <a:grayscl/>
                    </a:blip>
                    <a:stretch>
                      <a:fillRect/>
                    </a:stretch>
                  </pic:blipFill>
                  <pic:spPr>
                    <a:xfrm>
                      <a:off x="0" y="0"/>
                      <a:ext cx="3561080" cy="6203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ascii="Tunga" w:eastAsia="华文彩云" w:hAnsi="Tunga"/>
          <w:sz w:val="44"/>
        </w:rPr>
      </w:pPr>
      <w:bookmarkStart w:id="0" w:name="_Toc28416"/>
      <w:bookmarkStart w:id="1" w:name="_Toc7107"/>
      <w:bookmarkStart w:id="2" w:name="_Toc10311"/>
      <w:r>
        <w:rPr>
          <w:rFonts w:ascii="Tunga" w:eastAsia="华文彩云" w:hAnsi="Tunga"/>
          <w:sz w:val="44"/>
        </w:rPr>
        <w:t>JIUJIANG UNIVERSITY</w:t>
      </w:r>
      <w:bookmarkEnd w:id="0"/>
      <w:bookmarkEnd w:id="1"/>
      <w:bookmarkEnd w:id="2"/>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eastAsia="仿宋_GB2312"/>
          <w:b/>
          <w:sz w:val="52"/>
        </w:rPr>
      </w:pPr>
      <w:r>
        <w:rPr>
          <w:rFonts w:ascii="黑体" w:eastAsia="黑体" w:hint="eastAsia"/>
          <w:b/>
          <w:sz w:val="72"/>
        </w:rPr>
        <w:t xml:space="preserve">毕 业 论 </w:t>
      </w:r>
      <w:r>
        <w:rPr>
          <w:rFonts w:ascii="黑体" w:eastAsia="黑体" w:hint="eastAsia"/>
          <w:b/>
          <w:spacing w:val="-26"/>
          <w:sz w:val="72"/>
        </w:rPr>
        <w:t xml:space="preserve">文 </w:t>
      </w:r>
    </w:p>
    <w:p>
      <w:pPr>
        <w:ind w:firstLine="480" w:firstLineChars="200"/>
      </w:pPr>
    </w:p>
    <w:p>
      <w:pPr>
        <w:ind w:firstLine="480" w:firstLineChars="200"/>
      </w:pPr>
    </w:p>
    <w:p>
      <w:pPr>
        <w:jc w:val="center"/>
        <w:rPr>
          <w:rFonts w:ascii="楷体_GB2312" w:eastAsia="楷体_GB2312"/>
          <w:sz w:val="36"/>
          <w:u w:val="single"/>
        </w:rPr>
      </w:pPr>
      <w:r>
        <w:rPr>
          <w:rFonts w:ascii="楷体_GB2312" w:eastAsia="楷体_GB2312" w:hint="eastAsia"/>
          <w:sz w:val="36"/>
        </w:rPr>
        <w:t xml:space="preserve">题    目 </w:t>
      </w:r>
      <w:r>
        <w:rPr>
          <w:rFonts w:ascii="宋体" w:hAnsi="宋体" w:hint="eastAsia"/>
          <w:sz w:val="24"/>
          <w:u w:val="single"/>
        </w:rPr>
        <w:t xml:space="preserve">    </w:t>
      </w:r>
      <w:bookmarkStart w:id="3" w:name="_GoBack"/>
      <w:bookmarkEnd w:id="3"/>
      <w:r>
        <w:rPr>
          <w:rFonts w:ascii="楷体_GB2312" w:eastAsia="楷体_GB2312" w:hAnsi="宋体" w:hint="eastAsia"/>
          <w:sz w:val="32"/>
          <w:szCs w:val="32"/>
          <w:u w:val="single"/>
        </w:rPr>
        <w:t>余秀华诗歌中的“酒”意象探析</w:t>
      </w:r>
      <w:r>
        <w:rPr>
          <w:rFonts w:ascii="宋体" w:hAnsi="宋体" w:hint="eastAsia"/>
          <w:sz w:val="24"/>
          <w:u w:val="single"/>
        </w:rPr>
        <w:t xml:space="preserve">     </w:t>
      </w:r>
    </w:p>
    <w:p>
      <w:pPr>
        <w:ind w:left="3600" w:right="493" w:hanging="2160" w:leftChars="600" w:hangingChars="600"/>
        <w:rPr>
          <w:rFonts w:hint="eastAsia"/>
          <w:sz w:val="28"/>
          <w:szCs w:val="28"/>
          <w:u w:val="single"/>
        </w:rPr>
      </w:pPr>
      <w:r>
        <w:rPr>
          <w:rFonts w:ascii="楷体_GB2312" w:eastAsia="楷体_GB2312" w:hint="eastAsia"/>
          <w:sz w:val="36"/>
        </w:rPr>
        <w:t xml:space="preserve">英文题目 </w:t>
      </w:r>
      <w:r>
        <w:rPr>
          <w:rFonts w:ascii="楷体_GB2312" w:eastAsia="楷体_GB2312" w:hint="eastAsia"/>
          <w:sz w:val="36"/>
          <w:u w:val="single"/>
        </w:rPr>
        <w:t xml:space="preserve">  </w:t>
      </w:r>
      <w:r>
        <w:rPr>
          <w:rFonts w:hint="eastAsia"/>
          <w:sz w:val="28"/>
          <w:szCs w:val="28"/>
          <w:u w:val="single"/>
        </w:rPr>
        <w:t>An Analysis of the "wine" image in Yu Xiuhua's poetry</w:t>
      </w:r>
    </w:p>
    <w:p>
      <w:pPr>
        <w:ind w:right="493"/>
        <w:rPr>
          <w:rFonts w:ascii="宋体" w:hAnsi="宋体"/>
          <w:b/>
          <w:sz w:val="36"/>
        </w:rPr>
      </w:pPr>
    </w:p>
    <w:p>
      <w:pPr>
        <w:ind w:firstLine="1440" w:firstLineChars="400"/>
        <w:rPr>
          <w:rFonts w:ascii="楷体_GB2312" w:hint="default"/>
          <w:sz w:val="36"/>
        </w:rPr>
      </w:pPr>
      <w:r>
        <w:rPr>
          <w:rFonts w:ascii="楷体_GB2312" w:eastAsia="楷体_GB2312" w:hint="eastAsia"/>
          <w:sz w:val="36"/>
        </w:rPr>
        <w:t xml:space="preserve">院    系 </w:t>
      </w:r>
      <w:r>
        <w:rPr>
          <w:rFonts w:ascii="楷体_GB2312" w:eastAsia="楷体_GB2312" w:hint="eastAsia"/>
          <w:sz w:val="36"/>
          <w:u w:val="single"/>
        </w:rPr>
        <w:t xml:space="preserve">      </w:t>
      </w:r>
      <w:r>
        <w:rPr>
          <w:rFonts w:ascii="楷体_GB2312" w:eastAsia="楷体_GB2312" w:hint="eastAsia"/>
          <w:sz w:val="36"/>
          <w:u w:val="single"/>
          <w:lang w:val="en-US" w:eastAsia="zh-CN"/>
        </w:rPr>
        <w:t>继续教育学院</w:t>
      </w:r>
      <w:r>
        <w:rPr>
          <w:rFonts w:ascii="楷体_GB2312" w:eastAsia="楷体_GB2312" w:hint="eastAsia"/>
          <w:sz w:val="36"/>
          <w:u w:val="single"/>
        </w:rPr>
        <w:t xml:space="preserve"> </w:t>
      </w:r>
      <w:r>
        <w:rPr>
          <w:rFonts w:ascii="楷体_GB2312" w:eastAsia="楷体_GB2312" w:hint="eastAsia"/>
          <w:sz w:val="32"/>
          <w:szCs w:val="32"/>
          <w:u w:val="single"/>
        </w:rPr>
        <w:t xml:space="preserve"> </w:t>
      </w:r>
      <w:r>
        <w:rPr>
          <w:rFonts w:hint="eastAsia"/>
          <w:sz w:val="24"/>
          <w:u w:val="single"/>
        </w:rPr>
        <w:t xml:space="preserve">  </w:t>
      </w:r>
      <w:r>
        <w:rPr>
          <w:rFonts w:hint="eastAsia"/>
          <w:sz w:val="24"/>
          <w:u w:val="single"/>
          <w:lang w:val="en-US" w:eastAsia="zh-CN"/>
        </w:rPr>
        <w:t xml:space="preserve">        </w:t>
      </w:r>
    </w:p>
    <w:p>
      <w:pPr>
        <w:ind w:firstLine="1440" w:firstLineChars="400"/>
        <w:rPr>
          <w:rFonts w:ascii="楷体_GB2312" w:eastAsia="楷体_GB2312"/>
          <w:u w:val="single"/>
        </w:rPr>
      </w:pPr>
      <w:r>
        <w:rPr>
          <w:rFonts w:ascii="楷体_GB2312" w:eastAsia="楷体_GB2312" w:hint="eastAsia"/>
          <w:sz w:val="36"/>
        </w:rPr>
        <w:t xml:space="preserve">专    业 </w:t>
      </w:r>
      <w:r>
        <w:rPr>
          <w:rFonts w:ascii="楷体_GB2312" w:eastAsia="楷体_GB2312" w:hint="eastAsia"/>
          <w:sz w:val="36"/>
          <w:u w:val="single"/>
        </w:rPr>
        <w:t xml:space="preserve">        </w:t>
      </w:r>
      <w:r>
        <w:rPr>
          <w:rFonts w:ascii="楷体_GB2312" w:eastAsia="楷体_GB2312" w:hint="eastAsia"/>
          <w:sz w:val="36"/>
          <w:u w:val="single"/>
          <w:lang w:val="en-US" w:eastAsia="zh-CN"/>
        </w:rPr>
        <w:t>汉语言文学</w:t>
      </w:r>
      <w:r>
        <w:rPr>
          <w:rFonts w:ascii="楷体_GB2312" w:eastAsia="楷体_GB2312" w:hint="eastAsia"/>
          <w:sz w:val="36"/>
          <w:u w:val="single"/>
        </w:rPr>
        <w:t xml:space="preserve"> </w:t>
      </w:r>
      <w:r>
        <w:rPr>
          <w:rFonts w:ascii="楷体_GB2312" w:eastAsia="楷体_GB2312" w:hint="eastAsia"/>
          <w:sz w:val="32"/>
          <w:szCs w:val="32"/>
          <w:u w:val="single"/>
        </w:rPr>
        <w:t xml:space="preserve"> </w:t>
      </w:r>
      <w:r>
        <w:rPr>
          <w:rFonts w:hint="eastAsia"/>
          <w:sz w:val="24"/>
          <w:u w:val="single"/>
        </w:rPr>
        <w:t xml:space="preserve">          </w:t>
      </w:r>
    </w:p>
    <w:p>
      <w:pPr>
        <w:ind w:firstLine="1440" w:firstLineChars="400"/>
        <w:rPr>
          <w:rFonts w:ascii="楷体_GB2312" w:eastAsia="楷体_GB2312" w:hint="default"/>
          <w:u w:val="single"/>
        </w:rPr>
      </w:pPr>
      <w:r>
        <w:rPr>
          <w:rFonts w:ascii="楷体_GB2312" w:eastAsia="楷体_GB2312" w:hint="eastAsia"/>
          <w:sz w:val="36"/>
        </w:rPr>
        <w:t xml:space="preserve">姓    名 </w:t>
      </w:r>
      <w:r>
        <w:rPr>
          <w:rFonts w:hint="eastAsia"/>
          <w:sz w:val="30"/>
          <w:u w:val="single"/>
        </w:rPr>
        <w:t xml:space="preserve">           </w:t>
      </w:r>
      <w:r>
        <w:rPr>
          <w:rFonts w:ascii="楷体_GB2312" w:eastAsia="楷体_GB2312" w:hint="eastAsia"/>
          <w:sz w:val="36"/>
          <w:u w:val="single"/>
        </w:rPr>
        <w:t xml:space="preserve"> 朱芳仪 </w:t>
      </w:r>
      <w:r>
        <w:rPr>
          <w:rFonts w:hint="eastAsia"/>
          <w:sz w:val="24"/>
          <w:u w:val="single"/>
        </w:rPr>
        <w:t xml:space="preserve"> </w:t>
      </w:r>
      <w:r>
        <w:rPr>
          <w:rFonts w:ascii="楷体_GB2312" w:eastAsia="楷体_GB2312" w:hint="eastAsia"/>
          <w:sz w:val="24"/>
          <w:u w:val="single"/>
        </w:rPr>
        <w:t xml:space="preserve">  </w:t>
      </w:r>
      <w:r>
        <w:rPr>
          <w:rFonts w:ascii="楷体_GB2312" w:eastAsia="楷体_GB2312" w:hint="eastAsia"/>
          <w:sz w:val="24"/>
          <w:u w:val="single"/>
          <w:lang w:val="en-US" w:eastAsia="zh-CN"/>
        </w:rPr>
        <w:t xml:space="preserve">              </w:t>
      </w:r>
    </w:p>
    <w:p>
      <w:pPr>
        <w:ind w:firstLine="1440" w:firstLineChars="400"/>
        <w:rPr>
          <w:rFonts w:ascii="楷体_GB2312" w:eastAsia="楷体_GB2312" w:hint="default"/>
          <w:sz w:val="36"/>
          <w:u w:val="single"/>
        </w:rPr>
      </w:pPr>
      <w:r>
        <w:rPr>
          <w:rFonts w:ascii="楷体_GB2312" w:eastAsia="楷体_GB2312" w:hint="eastAsia"/>
          <w:sz w:val="36"/>
        </w:rPr>
        <w:t xml:space="preserve">年    级 </w:t>
      </w:r>
      <w:r>
        <w:rPr>
          <w:rFonts w:ascii="楷体_GB2312" w:eastAsia="楷体_GB2312" w:hint="eastAsia"/>
          <w:sz w:val="36"/>
          <w:u w:val="single"/>
        </w:rPr>
        <w:t xml:space="preserve">         </w:t>
      </w:r>
      <w:r>
        <w:rPr>
          <w:rFonts w:ascii="楷体_GB2312" w:eastAsia="楷体_GB2312" w:hint="eastAsia"/>
          <w:sz w:val="32"/>
          <w:szCs w:val="32"/>
          <w:u w:val="single"/>
        </w:rPr>
        <w:t xml:space="preserve"> </w:t>
      </w:r>
      <w:r>
        <w:rPr>
          <w:rFonts w:ascii="楷体_GB2312" w:eastAsia="楷体_GB2312" w:hint="eastAsia"/>
          <w:sz w:val="32"/>
          <w:szCs w:val="32"/>
          <w:u w:val="single"/>
          <w:lang w:val="en-US" w:eastAsia="zh-CN"/>
        </w:rPr>
        <w:t>2021级</w:t>
      </w:r>
      <w:r>
        <w:rPr>
          <w:rFonts w:ascii="楷体_GB2312" w:eastAsia="楷体_GB2312" w:hint="eastAsia"/>
          <w:sz w:val="24"/>
          <w:u w:val="single"/>
        </w:rPr>
        <w:t xml:space="preserve">        </w:t>
      </w:r>
      <w:r>
        <w:rPr>
          <w:rFonts w:ascii="楷体_GB2312" w:eastAsia="楷体_GB2312" w:hint="eastAsia"/>
          <w:sz w:val="24"/>
          <w:u w:val="single"/>
          <w:lang w:val="en-US" w:eastAsia="zh-CN"/>
        </w:rPr>
        <w:t xml:space="preserve">        </w:t>
      </w:r>
    </w:p>
    <w:p>
      <w:pPr>
        <w:ind w:firstLine="1440" w:firstLineChars="400"/>
        <w:rPr>
          <w:rFonts w:hint="default"/>
          <w:sz w:val="28"/>
        </w:rPr>
      </w:pPr>
      <w:r>
        <w:rPr>
          <w:rFonts w:ascii="楷体_GB2312" w:eastAsia="楷体_GB2312" w:hint="eastAsia"/>
          <w:sz w:val="36"/>
        </w:rPr>
        <w:t xml:space="preserve">指导教师 </w:t>
      </w:r>
      <w:r>
        <w:rPr>
          <w:rFonts w:ascii="楷体_GB2312" w:eastAsia="楷体_GB2312" w:hint="eastAsia"/>
          <w:sz w:val="36"/>
          <w:u w:val="single"/>
        </w:rPr>
        <w:t xml:space="preserve">         </w:t>
      </w:r>
      <w:r>
        <w:rPr>
          <w:rFonts w:ascii="楷体_GB2312" w:eastAsia="楷体_GB2312" w:hint="eastAsia"/>
          <w:sz w:val="32"/>
          <w:szCs w:val="32"/>
          <w:u w:val="single"/>
          <w:lang w:val="en-US" w:eastAsia="zh-CN"/>
        </w:rPr>
        <w:t xml:space="preserve">      </w:t>
      </w:r>
      <w:r>
        <w:rPr>
          <w:rFonts w:ascii="楷体_GB2312" w:eastAsia="楷体_GB2312" w:hint="eastAsia"/>
          <w:sz w:val="32"/>
          <w:szCs w:val="32"/>
          <w:u w:val="single"/>
        </w:rPr>
        <w:t xml:space="preserve"> </w:t>
      </w:r>
      <w:r>
        <w:rPr>
          <w:rFonts w:hint="eastAsia"/>
          <w:sz w:val="24"/>
          <w:u w:val="single"/>
        </w:rPr>
        <w:t xml:space="preserve">             </w:t>
      </w:r>
      <w:r>
        <w:rPr>
          <w:rFonts w:hint="eastAsia"/>
          <w:sz w:val="24"/>
          <w:u w:val="single"/>
          <w:lang w:val="en-US" w:eastAsia="zh-CN"/>
        </w:rPr>
        <w:t xml:space="preserve">    </w:t>
      </w:r>
    </w:p>
    <w:p>
      <w:pPr>
        <w:pStyle w:val="Date"/>
        <w:ind w:left="2400" w:firstLine="220" w:leftChars="1000" w:firstLineChars="50"/>
        <w:rPr>
          <w:rFonts w:ascii="楷体_GB2312" w:eastAsia="楷体_GB2312" w:hint="eastAsia"/>
          <w:sz w:val="44"/>
        </w:rPr>
      </w:pPr>
    </w:p>
    <w:p>
      <w:pPr>
        <w:pStyle w:val="Date"/>
        <w:ind w:left="2400" w:firstLine="220" w:leftChars="1000" w:firstLineChars="50"/>
        <w:rPr>
          <w:rFonts w:ascii="楷体_GB2312" w:eastAsia="楷体_GB2312" w:hint="eastAsia"/>
          <w:sz w:val="44"/>
        </w:rPr>
      </w:pPr>
    </w:p>
    <w:p>
      <w:pPr>
        <w:pStyle w:val="Date"/>
        <w:ind w:left="2400" w:firstLine="220" w:leftChars="1000" w:firstLineChars="50"/>
        <w:rPr>
          <w:rFonts w:ascii="楷体_GB2312" w:eastAsia="楷体_GB2312"/>
          <w:sz w:val="44"/>
        </w:rPr>
      </w:pPr>
      <w:r>
        <w:rPr>
          <w:rFonts w:ascii="楷体_GB2312" w:eastAsia="楷体_GB2312" w:hint="eastAsia"/>
          <w:sz w:val="44"/>
        </w:rPr>
        <w:t>二零二</w:t>
      </w:r>
      <w:r>
        <w:rPr>
          <w:rFonts w:ascii="楷体_GB2312" w:eastAsia="楷体_GB2312" w:hint="eastAsia"/>
          <w:sz w:val="44"/>
          <w:lang w:val="en-US" w:eastAsia="zh-CN"/>
        </w:rPr>
        <w:t>三</w:t>
      </w:r>
      <w:r>
        <w:rPr>
          <w:rFonts w:ascii="楷体_GB2312" w:eastAsia="楷体_GB2312" w:hint="eastAsia"/>
          <w:sz w:val="44"/>
        </w:rPr>
        <w:t>年</w:t>
      </w:r>
      <w:r>
        <w:rPr>
          <w:rFonts w:ascii="楷体_GB2312" w:eastAsia="楷体_GB2312" w:hint="eastAsia"/>
          <w:sz w:val="44"/>
          <w:lang w:val="en-US" w:eastAsia="zh-CN"/>
        </w:rPr>
        <w:t>二</w:t>
      </w:r>
      <w:r>
        <w:rPr>
          <w:rFonts w:ascii="楷体_GB2312" w:eastAsia="楷体_GB2312" w:hint="eastAsia"/>
          <w:sz w:val="44"/>
        </w:rPr>
        <w:t>月</w:t>
      </w:r>
    </w:p>
    <w:p>
      <w:pPr>
        <w:widowControl/>
        <w:rPr>
          <w:rFonts w:ascii="黑体" w:eastAsia="黑体" w:hAnsi="黑体"/>
          <w:kern w:val="0"/>
          <w:sz w:val="28"/>
        </w:rPr>
      </w:pPr>
    </w:p>
    <w:p>
      <w:pPr>
        <w:widowControl/>
        <w:rPr>
          <w:rFonts w:ascii="黑体" w:eastAsia="黑体" w:hAnsi="黑体"/>
          <w:kern w:val="0"/>
          <w:sz w:val="28"/>
        </w:rPr>
        <w:sectPr>
          <w:headerReference w:type="default" r:id="rId8"/>
          <w:footerReference w:type="even" r:id="rId9"/>
          <w:footerReference w:type="default" r:id="rId10"/>
          <w:pgSz w:w="11906" w:h="16838"/>
          <w:pgMar w:top="1440" w:right="1797" w:bottom="1440" w:left="1797" w:header="851" w:footer="992" w:gutter="0"/>
          <w:pgNumType w:start="0"/>
          <w:cols w:num="1" w:space="720"/>
          <w:titlePg/>
          <w:docGrid w:type="lines" w:linePitch="312" w:charSpace="0"/>
        </w:sectPr>
      </w:pPr>
    </w:p>
    <w:p>
      <w:pPr>
        <w:pStyle w:val="Heading1"/>
        <w:bidi w:val="0"/>
        <w:rPr>
          <w:rFonts w:hint="default"/>
          <w:szCs w:val="32"/>
        </w:rPr>
      </w:pPr>
      <w:bookmarkStart w:id="4" w:name="_Toc11631"/>
      <w:bookmarkStart w:id="5" w:name="_Toc26192"/>
      <w:bookmarkStart w:id="6" w:name="_Toc199645882"/>
      <w:bookmarkStart w:id="7" w:name="_Toc2400"/>
      <w:r>
        <w:t>摘</w:t>
      </w:r>
      <w:r>
        <w:rPr>
          <w:rFonts w:hint="eastAsia"/>
          <w:lang w:val="en-US" w:eastAsia="zh-CN"/>
        </w:rPr>
        <w:t xml:space="preserve">  </w:t>
      </w:r>
      <w:r>
        <w:t>要</w:t>
      </w:r>
      <w:bookmarkEnd w:id="4"/>
      <w:bookmarkEnd w:id="5"/>
      <w:bookmarkEnd w:id="6"/>
      <w:bookmarkEnd w:id="7"/>
    </w:p>
    <w:p>
      <w:pPr>
        <w:spacing w:line="360" w:lineRule="auto"/>
        <w:ind w:firstLine="480" w:firstLineChars="200"/>
        <w:rPr>
          <w:rFonts w:ascii="宋体" w:hAnsi="宋体"/>
        </w:rPr>
      </w:pPr>
    </w:p>
    <w:p>
      <w:pPr>
        <w:spacing w:line="360" w:lineRule="auto"/>
        <w:ind w:firstLine="480" w:firstLineChars="200"/>
        <w:rPr>
          <w:rFonts w:ascii="宋体" w:hAnsi="宋体" w:hint="eastAsia"/>
        </w:rPr>
      </w:pPr>
      <w:r>
        <w:rPr>
          <w:rFonts w:ascii="宋体" w:hAnsi="宋体" w:hint="eastAsia"/>
          <w:sz w:val="24"/>
        </w:rPr>
        <w:t>　余秀华的诗歌中，出现了大量的“酒”意象，研究其诗歌的“酒”意象，可以加深对余秀华意象塑造的把握，发掘她诗歌中“酒”意象的艺术价值。余秀华诗歌中“酒”意象意蕴丰富，蕴含着爱情欲望、生命思考、悲剧性陶醉生活的精神文化内涵。其“酒”意象既有对中国古代诗歌的继承与发展，如魏晋与唐宋时期对思考生命哲学和追求美好浪漫生活的继承与生命苦难嚎叫和乡村束缚反抗的发展；也具有西方现代主义诗歌特质，如用尼采酒神精神的悲剧性陶醉特质来真诚书写自己的生命、用西方象征主义文学的暗示、多义性与不确定性的特征，来微妙地抒发自己的精神世界。同时，余秀华诗中的“酒”意象也存在着过于媚俗化、缺乏宏大意蕴、形象单薄等问题。但是由于余秀华对“酒”的反复使用并不断寻找最佳的表达方式，她的“酒”意象逐渐被赋予了独特的意义。</w:t>
      </w:r>
    </w:p>
    <w:p>
      <w:pPr>
        <w:spacing w:line="360" w:lineRule="auto"/>
        <w:ind w:left="0" w:firstLine="0" w:leftChars="0" w:firstLineChars="0"/>
        <w:textAlignment w:val="baseline"/>
        <w:rPr>
          <w:rFonts w:ascii="宋体" w:hAnsi="宋体" w:hint="eastAsia"/>
          <w:b/>
        </w:rPr>
      </w:pPr>
    </w:p>
    <w:p>
      <w:pPr>
        <w:spacing w:line="360" w:lineRule="auto"/>
        <w:ind w:left="0" w:firstLine="0" w:leftChars="0" w:firstLineChars="0"/>
        <w:textAlignment w:val="baseline"/>
        <w:sectPr>
          <w:headerReference w:type="default" r:id="rId11"/>
          <w:footerReference w:type="even" r:id="rId12"/>
          <w:footerReference w:type="default" r:id="rId13"/>
          <w:pgSz w:w="11906" w:h="16838"/>
          <w:pgMar w:top="1440" w:right="1797" w:bottom="1440" w:left="1797" w:header="851" w:footer="992" w:gutter="0"/>
          <w:pgNumType w:fmt="decimal" w:start="1"/>
          <w:cols w:num="1" w:space="720"/>
          <w:docGrid w:type="lines" w:linePitch="312" w:charSpace="0"/>
        </w:sectPr>
      </w:pPr>
      <w:r>
        <w:rPr>
          <w:rFonts w:ascii="宋体" w:hAnsi="宋体" w:hint="eastAsia"/>
          <w:b/>
          <w:sz w:val="24"/>
        </w:rPr>
        <w:t>关键词：</w:t>
      </w:r>
      <w:r>
        <w:rPr>
          <w:rFonts w:ascii="宋体" w:hAnsi="宋体" w:hint="eastAsia"/>
          <w:sz w:val="24"/>
        </w:rPr>
        <w:t>余秀华；诗歌；酒；意象</w:t>
      </w:r>
    </w:p>
    <w:p>
      <w:pPr>
        <w:pStyle w:val="Heading1"/>
        <w:jc w:val="center"/>
        <w:rPr>
          <w:rFonts w:hint="default"/>
          <w:szCs w:val="32"/>
        </w:rPr>
      </w:pPr>
      <w:bookmarkStart w:id="8" w:name="_Toc199645883"/>
      <w:bookmarkStart w:id="9" w:name="_Toc7934"/>
      <w:bookmarkStart w:id="10" w:name="_Toc10974"/>
      <w:bookmarkStart w:id="11" w:name="_Toc3414"/>
      <w:r>
        <w:rPr>
          <w:sz w:val="32"/>
          <w:szCs w:val="32"/>
        </w:rPr>
        <w:t>Abstract</w:t>
      </w:r>
      <w:bookmarkEnd w:id="8"/>
      <w:bookmarkEnd w:id="9"/>
      <w:bookmarkEnd w:id="10"/>
      <w:bookmarkEnd w:id="11"/>
    </w:p>
    <w:p>
      <w:pPr>
        <w:spacing w:line="360" w:lineRule="auto"/>
        <w:ind w:firstLine="480" w:firstLineChars="200"/>
        <w:textAlignment w:val="baseline"/>
        <w:rPr>
          <w:rFonts w:eastAsia="楷体_GB2312"/>
        </w:rPr>
      </w:pPr>
    </w:p>
    <w:p>
      <w:pPr>
        <w:spacing w:line="360" w:lineRule="auto"/>
        <w:ind w:firstLine="480" w:firstLineChars="200"/>
        <w:textAlignment w:val="baseline"/>
        <w:rPr>
          <w:rFonts w:eastAsia="楷体_GB2312"/>
        </w:rPr>
      </w:pPr>
      <w:r>
        <w:rPr>
          <w:rFonts w:eastAsia="楷体_GB2312" w:hint="eastAsia"/>
          <w:sz w:val="24"/>
        </w:rPr>
        <w:t xml:space="preserve"> In Yu Xiuhua's poetry, a large number of "wine" images appear, and studying the "wine" imagery of her poetry can deepen the grasp of Yu Xiuhua's imagery and explore the artistic value of the "wine" imagery in her poetry. The imagery of "wine" in Yu Xiuhua's poems is rich in meaning, containing the spiritual and cultural connotations of love desire, life thinking, and tragic intoxication of life. Its "wine" imagery has both the inheritance and development of ancient Chinese poetry, such as the inheritance of thinking about the philosophy of life and the pursuit of a beautiful romantic life during the Wei and Jin dynasties and the tang and Song dynasties, and the development of howling of life suffering and rural bondage. It also has the characteristics of Western modernist poetry, such as writing one's life sincerely with the tragic intoxication of Nietzsche's dionysian spirit, and subtly expressing one's spiritual world with the characteristics of western symbolist literature's hints, ambiguity and uncertainty. At the same time, the image of "wine" also has problems such as being too kitsch, lacking grand meaning, and thin image. However, due to Yu Xiuhua's repeated use of "wine" and constantly looking for the best way to express it, her "wine" imagery has gradually been given a unique meaning.</w:t>
      </w:r>
    </w:p>
    <w:p>
      <w:pPr>
        <w:spacing w:line="240" w:lineRule="atLeast"/>
        <w:textAlignment w:val="baseline"/>
        <w:rPr>
          <w:rFonts w:eastAsia="黑体" w:hint="eastAsia"/>
        </w:rPr>
      </w:pPr>
      <w:r>
        <w:rPr>
          <w:rFonts w:eastAsia="黑体"/>
          <w:b/>
          <w:sz w:val="24"/>
        </w:rPr>
        <w:t>Key</w:t>
      </w:r>
      <w:r>
        <w:rPr>
          <w:rFonts w:eastAsia="黑体" w:hint="eastAsia"/>
          <w:b/>
          <w:sz w:val="24"/>
        </w:rPr>
        <w:t xml:space="preserve"> </w:t>
      </w:r>
      <w:r>
        <w:rPr>
          <w:rFonts w:eastAsia="黑体"/>
          <w:b/>
          <w:sz w:val="24"/>
        </w:rPr>
        <w:t>words</w:t>
      </w:r>
      <w:r>
        <w:rPr>
          <w:rFonts w:eastAsia="黑体" w:hint="eastAsia"/>
          <w:b/>
          <w:sz w:val="24"/>
        </w:rPr>
        <w:t>：</w:t>
      </w:r>
      <w:r>
        <w:rPr>
          <w:rFonts w:eastAsia="黑体" w:hint="eastAsia"/>
          <w:sz w:val="24"/>
        </w:rPr>
        <w:t>Yu Xiuhua；wine image；ancient inheritance；Western characteristics；deficiency</w:t>
      </w:r>
    </w:p>
    <w:p>
      <w:r>
        <w:rPr>
          <w:rFonts w:eastAsia="黑体" w:hint="eastAsia"/>
          <w:sz w:val="24"/>
        </w:rPr>
        <w:br w:type="page"/>
      </w:r>
    </w:p>
    <w:p>
      <w:pPr>
        <w:spacing w:line="240" w:lineRule="atLeast"/>
        <w:jc w:val="center"/>
        <w:rPr>
          <w:rFonts w:ascii="黑体" w:eastAsia="黑体" w:hAnsi="黑体"/>
          <w:b/>
          <w:sz w:val="28"/>
        </w:rPr>
        <w:sectPr>
          <w:headerReference w:type="default" r:id="rId14"/>
          <w:footerReference w:type="even" r:id="rId15"/>
          <w:footerReference w:type="default" r:id="rId16"/>
          <w:pgSz w:w="11906" w:h="16838"/>
          <w:pgMar w:top="1440" w:right="1800" w:bottom="1440" w:left="1800" w:header="851" w:footer="992" w:gutter="0"/>
          <w:pgNumType w:fmt="decimal" w:start="2"/>
          <w:cols w:num="1" w:space="720"/>
          <w:docGrid w:type="lines" w:linePitch="312" w:charSpace="0"/>
        </w:sectPr>
      </w:pPr>
    </w:p>
    <w:sdt>
      <w:sdtPr>
        <w:rPr>
          <w:sz w:val="32"/>
          <w:szCs w:val="32"/>
          <w:lang w:val="en-US" w:eastAsia="zh-CN"/>
        </w:rPr>
        <w:id w:val="147478234"/>
        <w:docPartObj>
          <w:docPartGallery w:val="Table of Contents"/>
          <w:docPartUnique/>
        </w:docPartObj>
        <w15:color w:val="DBDBDB"/>
      </w:sdtPr>
      <w:sdtEndPr>
        <w:rPr>
          <w:rFonts w:hint="eastAsia"/>
          <w:sz w:val="32"/>
          <w:szCs w:val="32"/>
          <w:lang w:val="en-US" w:eastAsia="zh-CN"/>
        </w:rPr>
      </w:sdtEndPr>
      <w:sdtContent>
        <w:p>
          <w:pPr>
            <w:pStyle w:val="Heading1"/>
            <w:spacing w:line="360" w:lineRule="auto"/>
            <w:ind w:firstLine="0"/>
            <w:jc w:val="center"/>
            <w:rPr>
              <w:szCs w:val="32"/>
            </w:rPr>
          </w:pPr>
          <w:bookmarkStart w:id="12" w:name="_Toc29091"/>
          <w:bookmarkStart w:id="13" w:name="_Toc22374"/>
          <w:r>
            <w:rPr>
              <w:sz w:val="32"/>
              <w:szCs w:val="32"/>
            </w:rPr>
            <w:t>目</w:t>
          </w:r>
          <w:r>
            <w:rPr>
              <w:rFonts w:hint="eastAsia"/>
              <w:sz w:val="32"/>
              <w:szCs w:val="32"/>
              <w:lang w:val="en-US" w:eastAsia="zh-CN"/>
            </w:rPr>
            <w:t xml:space="preserve">  </w:t>
          </w:r>
          <w:r>
            <w:rPr>
              <w:sz w:val="32"/>
              <w:szCs w:val="32"/>
            </w:rPr>
            <w:t>录</w:t>
          </w:r>
          <w:bookmarkEnd w:id="12"/>
          <w:bookmarkEnd w:id="13"/>
        </w:p>
        <w:p>
          <w:pPr>
            <w:pStyle w:val="TOC1"/>
            <w:tabs>
              <w:tab w:val="clear" w:pos="8296"/>
              <w:tab w:val="right" w:leader="dot" w:pos="8306"/>
            </w:tabs>
          </w:pPr>
          <w:r>
            <w:rPr>
              <w:rFonts w:hint="eastAsia"/>
              <w:b w:val="0"/>
              <w:bCs/>
            </w:rPr>
            <w:fldChar w:fldCharType="begin"/>
          </w:r>
          <w:r>
            <w:rPr>
              <w:rFonts w:hint="eastAsia"/>
              <w:b w:val="0"/>
              <w:bCs/>
            </w:rPr>
            <w:instrText xml:space="preserve">TOC \o "1-2" \h \u </w:instrText>
          </w:r>
          <w:r>
            <w:rPr>
              <w:rFonts w:hint="eastAsia"/>
              <w:b w:val="0"/>
              <w:bCs/>
            </w:rPr>
            <w:fldChar w:fldCharType="separate"/>
          </w:r>
          <w:hyperlink w:anchor="_Toc6187" w:history="1">
            <w:r>
              <w:t>引</w:t>
            </w:r>
            <w:r>
              <w:rPr>
                <w:rFonts w:hint="eastAsia"/>
              </w:rPr>
              <w:t xml:space="preserve">    </w:t>
            </w:r>
            <w:r>
              <w:t>言</w:t>
            </w:r>
            <w:r>
              <w:tab/>
            </w:r>
            <w:r>
              <w:fldChar w:fldCharType="begin"/>
            </w:r>
            <w:r>
              <w:instrText xml:space="preserve"> PAGEREF _Toc6187 \h </w:instrText>
            </w:r>
            <w:r>
              <w:fldChar w:fldCharType="separate"/>
            </w:r>
            <w:r>
              <w:t>1</w:t>
            </w:r>
            <w:r>
              <w:fldChar w:fldCharType="end"/>
            </w:r>
          </w:hyperlink>
        </w:p>
        <w:p>
          <w:pPr>
            <w:pStyle w:val="TOC1"/>
            <w:tabs>
              <w:tab w:val="clear" w:pos="8296"/>
              <w:tab w:val="right" w:leader="dot" w:pos="8306"/>
            </w:tabs>
          </w:pPr>
          <w:hyperlink w:anchor="_Toc22464" w:history="1">
            <w:r>
              <w:rPr>
                <w:rFonts w:hint="eastAsia"/>
                <w:lang w:val="en-US" w:eastAsia="zh-CN"/>
              </w:rPr>
              <w:t>一、余秀华“酒”意象的丰富意蕴</w:t>
            </w:r>
            <w:r>
              <w:tab/>
            </w:r>
            <w:r>
              <w:fldChar w:fldCharType="begin"/>
            </w:r>
            <w:r>
              <w:instrText xml:space="preserve"> PAGEREF _Toc22464 \h </w:instrText>
            </w:r>
            <w:r>
              <w:fldChar w:fldCharType="separate"/>
            </w:r>
            <w:r>
              <w:t>3</w:t>
            </w:r>
            <w:r>
              <w:fldChar w:fldCharType="end"/>
            </w:r>
          </w:hyperlink>
        </w:p>
        <w:p>
          <w:pPr>
            <w:pStyle w:val="TOC2"/>
            <w:tabs>
              <w:tab w:val="right" w:leader="dot" w:pos="8306"/>
            </w:tabs>
          </w:pPr>
          <w:hyperlink w:anchor="_Toc3960" w:history="1">
            <w:r>
              <w:rPr>
                <w:rFonts w:hint="eastAsia"/>
                <w:lang w:val="en-US" w:eastAsia="zh-CN"/>
              </w:rPr>
              <w:t>（一）爱情的苦闷与性的欲望</w:t>
            </w:r>
            <w:r>
              <w:tab/>
            </w:r>
            <w:r>
              <w:fldChar w:fldCharType="begin"/>
            </w:r>
            <w:r>
              <w:instrText xml:space="preserve"> PAGEREF _Toc3960 \h </w:instrText>
            </w:r>
            <w:r>
              <w:fldChar w:fldCharType="separate"/>
            </w:r>
            <w:r>
              <w:t>3</w:t>
            </w:r>
            <w:r>
              <w:fldChar w:fldCharType="end"/>
            </w:r>
          </w:hyperlink>
        </w:p>
        <w:p>
          <w:pPr>
            <w:pStyle w:val="TOC2"/>
            <w:tabs>
              <w:tab w:val="right" w:leader="dot" w:pos="8306"/>
            </w:tabs>
          </w:pPr>
          <w:hyperlink w:anchor="_Toc19802" w:history="1">
            <w:r>
              <w:rPr>
                <w:rFonts w:hint="eastAsia"/>
                <w:lang w:val="en-US" w:eastAsia="zh-CN"/>
              </w:rPr>
              <w:t>（二）反抗中新生与女性意识</w:t>
            </w:r>
            <w:r>
              <w:tab/>
            </w:r>
            <w:r>
              <w:fldChar w:fldCharType="begin"/>
            </w:r>
            <w:r>
              <w:instrText xml:space="preserve"> PAGEREF _Toc19802 \h </w:instrText>
            </w:r>
            <w:r>
              <w:fldChar w:fldCharType="separate"/>
            </w:r>
            <w:r>
              <w:t>4</w:t>
            </w:r>
            <w:r>
              <w:fldChar w:fldCharType="end"/>
            </w:r>
          </w:hyperlink>
        </w:p>
        <w:p>
          <w:pPr>
            <w:pStyle w:val="TOC2"/>
            <w:tabs>
              <w:tab w:val="right" w:leader="dot" w:pos="8306"/>
            </w:tabs>
          </w:pPr>
          <w:hyperlink w:anchor="_Toc19270" w:history="1">
            <w:r>
              <w:rPr>
                <w:rFonts w:hint="eastAsia"/>
                <w:lang w:val="en-US" w:eastAsia="zh-CN"/>
              </w:rPr>
              <w:t>（三）生命孤独中孕育光明</w:t>
            </w:r>
            <w:r>
              <w:tab/>
            </w:r>
            <w:r>
              <w:fldChar w:fldCharType="begin"/>
            </w:r>
            <w:r>
              <w:instrText xml:space="preserve"> PAGEREF _Toc19270 \h </w:instrText>
            </w:r>
            <w:r>
              <w:fldChar w:fldCharType="separate"/>
            </w:r>
            <w:r>
              <w:t>5</w:t>
            </w:r>
            <w:r>
              <w:fldChar w:fldCharType="end"/>
            </w:r>
          </w:hyperlink>
        </w:p>
        <w:p>
          <w:pPr>
            <w:pStyle w:val="TOC1"/>
            <w:tabs>
              <w:tab w:val="clear" w:pos="8296"/>
              <w:tab w:val="right" w:leader="dot" w:pos="8306"/>
            </w:tabs>
          </w:pPr>
          <w:hyperlink w:anchor="_Toc14010" w:history="1">
            <w:r>
              <w:rPr>
                <w:rFonts w:hint="eastAsia"/>
                <w:lang w:val="en-US" w:eastAsia="zh-CN"/>
              </w:rPr>
              <w:t>二、余秀华“酒”意象对古代的继承与发展</w:t>
            </w:r>
            <w:r>
              <w:tab/>
            </w:r>
            <w:r>
              <w:fldChar w:fldCharType="begin"/>
            </w:r>
            <w:r>
              <w:instrText xml:space="preserve"> PAGEREF _Toc14010 \h </w:instrText>
            </w:r>
            <w:r>
              <w:fldChar w:fldCharType="separate"/>
            </w:r>
            <w:r>
              <w:t>7</w:t>
            </w:r>
            <w:r>
              <w:fldChar w:fldCharType="end"/>
            </w:r>
          </w:hyperlink>
        </w:p>
        <w:p>
          <w:pPr>
            <w:pStyle w:val="TOC2"/>
            <w:tabs>
              <w:tab w:val="right" w:leader="dot" w:pos="8306"/>
            </w:tabs>
          </w:pPr>
          <w:hyperlink w:anchor="_Toc24803" w:history="1">
            <w:r>
              <w:rPr>
                <w:rFonts w:hint="eastAsia"/>
                <w:lang w:val="en-US" w:eastAsia="zh-CN"/>
              </w:rPr>
              <w:t>（一）魏晋：生命之思与人性自由</w:t>
            </w:r>
            <w:r>
              <w:tab/>
            </w:r>
            <w:r>
              <w:fldChar w:fldCharType="begin"/>
            </w:r>
            <w:r>
              <w:instrText xml:space="preserve"> PAGEREF _Toc24803 \h </w:instrText>
            </w:r>
            <w:r>
              <w:fldChar w:fldCharType="separate"/>
            </w:r>
            <w:r>
              <w:t>7</w:t>
            </w:r>
            <w:r>
              <w:fldChar w:fldCharType="end"/>
            </w:r>
          </w:hyperlink>
        </w:p>
        <w:p>
          <w:pPr>
            <w:pStyle w:val="TOC2"/>
            <w:tabs>
              <w:tab w:val="right" w:leader="dot" w:pos="8306"/>
            </w:tabs>
          </w:pPr>
          <w:hyperlink w:anchor="_Toc2124" w:history="1">
            <w:r>
              <w:rPr>
                <w:rFonts w:hint="eastAsia"/>
                <w:lang w:val="en-US" w:eastAsia="zh-CN"/>
              </w:rPr>
              <w:t>（二）唐宋：美好人生与悲剧情怀</w:t>
            </w:r>
            <w:r>
              <w:tab/>
            </w:r>
            <w:r>
              <w:fldChar w:fldCharType="begin"/>
            </w:r>
            <w:r>
              <w:instrText xml:space="preserve"> PAGEREF _Toc2124 \h </w:instrText>
            </w:r>
            <w:r>
              <w:fldChar w:fldCharType="separate"/>
            </w:r>
            <w:r>
              <w:t>8</w:t>
            </w:r>
            <w:r>
              <w:fldChar w:fldCharType="end"/>
            </w:r>
          </w:hyperlink>
        </w:p>
        <w:p>
          <w:pPr>
            <w:pStyle w:val="TOC1"/>
            <w:tabs>
              <w:tab w:val="clear" w:pos="8296"/>
              <w:tab w:val="right" w:leader="dot" w:pos="8306"/>
            </w:tabs>
          </w:pPr>
          <w:hyperlink w:anchor="_Toc7702" w:history="1">
            <w:r>
              <w:rPr>
                <w:rFonts w:hint="eastAsia"/>
                <w:lang w:val="en-US" w:eastAsia="zh-CN"/>
              </w:rPr>
              <w:t>三、余秀华“酒”意象的西方现代主义特质</w:t>
            </w:r>
            <w:r>
              <w:tab/>
            </w:r>
            <w:r>
              <w:fldChar w:fldCharType="begin"/>
            </w:r>
            <w:r>
              <w:instrText xml:space="preserve"> PAGEREF _Toc7702 \h </w:instrText>
            </w:r>
            <w:r>
              <w:fldChar w:fldCharType="separate"/>
            </w:r>
            <w:r>
              <w:t>10</w:t>
            </w:r>
            <w:r>
              <w:fldChar w:fldCharType="end"/>
            </w:r>
          </w:hyperlink>
        </w:p>
        <w:p>
          <w:pPr>
            <w:pStyle w:val="TOC2"/>
            <w:tabs>
              <w:tab w:val="right" w:leader="dot" w:pos="8306"/>
            </w:tabs>
          </w:pPr>
          <w:hyperlink w:anchor="_Toc32664" w:history="1">
            <w:r>
              <w:rPr>
                <w:rFonts w:hint="eastAsia"/>
                <w:lang w:val="en-US" w:eastAsia="zh-CN"/>
              </w:rPr>
              <w:t>（一）尼采酒神精神中的悲剧性陶醉</w:t>
            </w:r>
            <w:r>
              <w:tab/>
            </w:r>
            <w:r>
              <w:fldChar w:fldCharType="begin"/>
            </w:r>
            <w:r>
              <w:instrText xml:space="preserve"> PAGEREF _Toc32664 \h </w:instrText>
            </w:r>
            <w:r>
              <w:fldChar w:fldCharType="separate"/>
            </w:r>
            <w:r>
              <w:t>10</w:t>
            </w:r>
            <w:r>
              <w:fldChar w:fldCharType="end"/>
            </w:r>
          </w:hyperlink>
        </w:p>
        <w:p>
          <w:pPr>
            <w:pStyle w:val="TOC2"/>
            <w:tabs>
              <w:tab w:val="right" w:leader="dot" w:pos="8306"/>
            </w:tabs>
          </w:pPr>
          <w:hyperlink w:anchor="_Toc23967" w:history="1">
            <w:r>
              <w:rPr>
                <w:rFonts w:hint="eastAsia"/>
                <w:lang w:val="en-US" w:eastAsia="zh-CN"/>
              </w:rPr>
              <w:t>（二）象征主义：暗示、多义性与不确定性</w:t>
            </w:r>
            <w:r>
              <w:tab/>
            </w:r>
            <w:r>
              <w:fldChar w:fldCharType="begin"/>
            </w:r>
            <w:r>
              <w:instrText xml:space="preserve"> PAGEREF _Toc23967 \h </w:instrText>
            </w:r>
            <w:r>
              <w:fldChar w:fldCharType="separate"/>
            </w:r>
            <w:r>
              <w:t>10</w:t>
            </w:r>
            <w:r>
              <w:fldChar w:fldCharType="end"/>
            </w:r>
          </w:hyperlink>
        </w:p>
        <w:p>
          <w:pPr>
            <w:pStyle w:val="TOC1"/>
            <w:tabs>
              <w:tab w:val="clear" w:pos="8296"/>
              <w:tab w:val="right" w:leader="dot" w:pos="8306"/>
            </w:tabs>
          </w:pPr>
          <w:hyperlink w:anchor="_Toc14933" w:history="1">
            <w:r>
              <w:rPr>
                <w:rFonts w:hint="eastAsia"/>
                <w:lang w:val="en-US" w:eastAsia="zh-CN"/>
              </w:rPr>
              <w:t>四、余秀华“酒”意象运用的不足</w:t>
            </w:r>
            <w:r>
              <w:tab/>
            </w:r>
            <w:r>
              <w:fldChar w:fldCharType="begin"/>
            </w:r>
            <w:r>
              <w:instrText xml:space="preserve"> PAGEREF _Toc14933 \h </w:instrText>
            </w:r>
            <w:r>
              <w:fldChar w:fldCharType="separate"/>
            </w:r>
            <w:r>
              <w:t>13</w:t>
            </w:r>
            <w:r>
              <w:fldChar w:fldCharType="end"/>
            </w:r>
          </w:hyperlink>
        </w:p>
        <w:p>
          <w:pPr>
            <w:pStyle w:val="TOC2"/>
            <w:tabs>
              <w:tab w:val="right" w:leader="dot" w:pos="8306"/>
            </w:tabs>
          </w:pPr>
          <w:hyperlink w:anchor="_Toc1158" w:history="1">
            <w:r>
              <w:rPr>
                <w:rFonts w:hint="eastAsia"/>
                <w:lang w:val="en-US" w:eastAsia="zh-CN"/>
              </w:rPr>
              <w:t>（一）媚俗化倾向</w:t>
            </w:r>
            <w:r>
              <w:tab/>
            </w:r>
            <w:r>
              <w:fldChar w:fldCharType="begin"/>
            </w:r>
            <w:r>
              <w:instrText xml:space="preserve"> PAGEREF _Toc1158 \h </w:instrText>
            </w:r>
            <w:r>
              <w:fldChar w:fldCharType="separate"/>
            </w:r>
            <w:r>
              <w:t>13</w:t>
            </w:r>
            <w:r>
              <w:fldChar w:fldCharType="end"/>
            </w:r>
          </w:hyperlink>
        </w:p>
        <w:p>
          <w:pPr>
            <w:pStyle w:val="TOC2"/>
            <w:tabs>
              <w:tab w:val="right" w:leader="dot" w:pos="8306"/>
            </w:tabs>
          </w:pPr>
          <w:hyperlink w:anchor="_Toc30439" w:history="1">
            <w:r>
              <w:rPr>
                <w:rFonts w:hint="eastAsia"/>
                <w:lang w:val="en-US" w:eastAsia="zh-CN"/>
              </w:rPr>
              <w:t>（二）小我意识，缺乏宏大意蕴</w:t>
            </w:r>
            <w:r>
              <w:tab/>
            </w:r>
            <w:r>
              <w:fldChar w:fldCharType="begin"/>
            </w:r>
            <w:r>
              <w:instrText xml:space="preserve"> PAGEREF _Toc30439 \h </w:instrText>
            </w:r>
            <w:r>
              <w:fldChar w:fldCharType="separate"/>
            </w:r>
            <w:r>
              <w:t>13</w:t>
            </w:r>
            <w:r>
              <w:fldChar w:fldCharType="end"/>
            </w:r>
          </w:hyperlink>
        </w:p>
        <w:p>
          <w:pPr>
            <w:pStyle w:val="TOC2"/>
            <w:tabs>
              <w:tab w:val="right" w:leader="dot" w:pos="8306"/>
            </w:tabs>
          </w:pPr>
          <w:hyperlink w:anchor="_Toc5910" w:history="1">
            <w:r>
              <w:rPr>
                <w:rFonts w:hint="eastAsia"/>
                <w:lang w:val="en-US" w:eastAsia="zh-CN"/>
              </w:rPr>
              <w:t>（三）形象单薄，想象力不足</w:t>
            </w:r>
            <w:r>
              <w:tab/>
            </w:r>
            <w:r>
              <w:fldChar w:fldCharType="begin"/>
            </w:r>
            <w:r>
              <w:instrText xml:space="preserve"> PAGEREF _Toc5910 \h </w:instrText>
            </w:r>
            <w:r>
              <w:fldChar w:fldCharType="separate"/>
            </w:r>
            <w:r>
              <w:t>14</w:t>
            </w:r>
            <w:r>
              <w:fldChar w:fldCharType="end"/>
            </w:r>
          </w:hyperlink>
        </w:p>
        <w:p>
          <w:pPr>
            <w:pStyle w:val="TOC1"/>
            <w:tabs>
              <w:tab w:val="clear" w:pos="8296"/>
              <w:tab w:val="right" w:leader="dot" w:pos="8306"/>
            </w:tabs>
          </w:pPr>
          <w:hyperlink w:anchor="_Toc20997" w:history="1">
            <w:r>
              <w:rPr>
                <w:rFonts w:hint="eastAsia"/>
                <w:lang w:val="en-US" w:eastAsia="zh-CN"/>
              </w:rPr>
              <w:t>结    论</w:t>
            </w:r>
            <w:r>
              <w:tab/>
            </w:r>
            <w:r>
              <w:fldChar w:fldCharType="begin"/>
            </w:r>
            <w:r>
              <w:instrText xml:space="preserve"> PAGEREF _Toc20997 \h </w:instrText>
            </w:r>
            <w:r>
              <w:fldChar w:fldCharType="separate"/>
            </w:r>
            <w:r>
              <w:t>15</w:t>
            </w:r>
            <w:r>
              <w:fldChar w:fldCharType="end"/>
            </w:r>
          </w:hyperlink>
        </w:p>
        <w:p>
          <w:pPr>
            <w:pStyle w:val="TOC1"/>
            <w:tabs>
              <w:tab w:val="clear" w:pos="8296"/>
              <w:tab w:val="right" w:leader="dot" w:pos="8306"/>
            </w:tabs>
          </w:pPr>
          <w:hyperlink w:anchor="_Toc2676" w:history="1">
            <w:r>
              <w:t>参考文献</w:t>
            </w:r>
            <w:r>
              <w:tab/>
            </w:r>
            <w:r>
              <w:fldChar w:fldCharType="begin"/>
            </w:r>
            <w:r>
              <w:instrText xml:space="preserve"> PAGEREF _Toc2676 \h </w:instrText>
            </w:r>
            <w:r>
              <w:fldChar w:fldCharType="separate"/>
            </w:r>
            <w:r>
              <w:t>16</w:t>
            </w:r>
            <w:r>
              <w:fldChar w:fldCharType="end"/>
            </w:r>
          </w:hyperlink>
        </w:p>
        <w:p>
          <w:pPr>
            <w:pStyle w:val="TOC1"/>
            <w:bidi w:val="0"/>
            <w:rPr>
              <w:rFonts w:hint="eastAsia"/>
            </w:rPr>
          </w:pPr>
          <w:r>
            <w:rPr>
              <w:rFonts w:hint="eastAsia"/>
              <w:bCs/>
            </w:rPr>
            <w:fldChar w:fldCharType="end"/>
          </w:r>
        </w:p>
      </w:sdtContent>
    </w:sdt>
    <w:p>
      <w:pPr>
        <w:spacing w:line="360" w:lineRule="auto"/>
        <w:rPr>
          <w:rFonts w:ascii="宋体" w:hAnsi="宋体" w:cs="宋体"/>
        </w:rPr>
      </w:pPr>
    </w:p>
    <w:p>
      <w:pPr>
        <w:spacing w:line="360" w:lineRule="auto"/>
        <w:rPr>
          <w:rFonts w:ascii="宋体" w:hAnsi="宋体" w:cs="宋体"/>
        </w:rPr>
      </w:pPr>
    </w:p>
    <w:p>
      <w:pPr>
        <w:spacing w:line="240" w:lineRule="atLeast"/>
      </w:pPr>
    </w:p>
    <w:p>
      <w:pPr>
        <w:spacing w:line="240" w:lineRule="atLeast"/>
        <w:rPr>
          <w:rFonts w:ascii="黑体" w:eastAsia="黑体" w:hAnsi="宋体"/>
          <w:b/>
          <w:sz w:val="28"/>
        </w:rPr>
        <w:sectPr>
          <w:headerReference w:type="default" r:id="rId17"/>
          <w:footerReference w:type="even" r:id="rId18"/>
          <w:footerReference w:type="default" r:id="rId19"/>
          <w:pgSz w:w="11906" w:h="16838"/>
          <w:pgMar w:top="1440" w:right="1800" w:bottom="1440" w:left="1800" w:header="851" w:footer="992" w:gutter="0"/>
          <w:pgNumType w:fmt="decimal" w:start="3"/>
          <w:cols w:num="1" w:space="720"/>
          <w:docGrid w:type="lines" w:linePitch="312" w:charSpace="0"/>
        </w:sectPr>
      </w:pPr>
    </w:p>
    <w:p>
      <w:pPr>
        <w:spacing w:line="360" w:lineRule="auto"/>
        <w:ind w:left="0" w:firstLine="0" w:leftChars="0" w:firstLineChars="0"/>
      </w:pPr>
      <w:bookmarkStart w:id="14" w:name="_Toc199645885"/>
      <w:r>
        <w:rPr>
          <w:rFonts w:hint="eastAsia"/>
        </w:rPr>
        <w:t xml:space="preserve">                                       </w:t>
      </w:r>
    </w:p>
    <w:bookmarkEnd w:id="14"/>
    <w:p>
      <w:pPr>
        <w:pStyle w:val="Heading1"/>
        <w:bidi w:val="0"/>
        <w:jc w:val="center"/>
      </w:pPr>
      <w:bookmarkStart w:id="15" w:name="_Toc611"/>
      <w:bookmarkStart w:id="16" w:name="_Toc28880"/>
      <w:bookmarkStart w:id="17" w:name="_Toc514846034"/>
      <w:bookmarkStart w:id="18" w:name="_Toc514839957"/>
      <w:bookmarkStart w:id="19" w:name="_Toc515721991"/>
      <w:bookmarkStart w:id="20" w:name="_Toc6689_WPSOffice_Level1"/>
      <w:bookmarkStart w:id="21" w:name="_Toc514839312"/>
      <w:bookmarkStart w:id="22" w:name="_Toc514847318"/>
      <w:r>
        <w:rPr>
          <w:rFonts w:hint="eastAsia"/>
        </w:rPr>
        <w:t>余秀华诗歌中的“酒”意象探析</w:t>
      </w:r>
      <w:bookmarkEnd w:id="15"/>
    </w:p>
    <w:p>
      <w:pPr>
        <w:pStyle w:val="Heading1"/>
        <w:bidi w:val="0"/>
        <w:jc w:val="center"/>
        <w:rPr>
          <w:sz w:val="24"/>
          <w:szCs w:val="24"/>
          <w:lang w:val="en-US" w:eastAsia="zh-CN"/>
        </w:rPr>
      </w:pPr>
      <w:bookmarkStart w:id="23" w:name="_Toc11421"/>
      <w:r>
        <w:rPr>
          <w:rFonts w:hint="eastAsia"/>
          <w:sz w:val="24"/>
          <w:szCs w:val="24"/>
          <w:lang w:val="en-US" w:eastAsia="zh-CN"/>
        </w:rPr>
        <w:t>汉语言文学  朱芳仪</w:t>
      </w:r>
      <w:bookmarkEnd w:id="23"/>
    </w:p>
    <w:p>
      <w:pPr>
        <w:pStyle w:val="Heading1"/>
        <w:bidi w:val="0"/>
        <w:jc w:val="center"/>
      </w:pPr>
      <w:bookmarkStart w:id="24" w:name="_Toc6187"/>
      <w:r>
        <w:t>引</w:t>
      </w:r>
      <w:r>
        <w:rPr>
          <w:rFonts w:hint="eastAsia"/>
        </w:rPr>
        <w:t xml:space="preserve">    </w:t>
      </w:r>
      <w:r>
        <w:t>言</w:t>
      </w:r>
      <w:bookmarkEnd w:id="16"/>
      <w:bookmarkEnd w:id="17"/>
      <w:bookmarkEnd w:id="18"/>
      <w:bookmarkEnd w:id="19"/>
      <w:bookmarkEnd w:id="20"/>
      <w:bookmarkEnd w:id="21"/>
      <w:bookmarkEnd w:id="22"/>
      <w:bookmarkEnd w:id="24"/>
    </w:p>
    <w:p>
      <w:pPr>
        <w:bidi w:val="0"/>
        <w:rPr>
          <w:rFonts w:hint="eastAsia"/>
        </w:rPr>
      </w:pPr>
      <w:r>
        <w:rPr>
          <w:rFonts w:hint="eastAsia"/>
        </w:rPr>
        <w:t>要探究诗人的“酒”意象，首先我们就要追溯其根源，对其有历史的把握。中国酒的起源一般有三种说法。其一，仪狄造酒说。这一说法始载于西汉刘向编辑的《战国策》“昔者，帝女令仪狄作酒而美，进之禹，禹饮而甘之，遂疏仪狄，绝旨酒”；其二，即杜康造酒说。曹操《短歌行》中曾言：“何以解忧？唯有杜康”以及西晋张华《博物志》中也曾曰：“杜康造酒”；其三便是来自于古人神话传说中的说法，即酒星造酒说。认为酒是上天的酒星所做，《酒谱》中就有“（酒乃）酒星之作”的记载。[1]而西方酒的起源，则与古希腊神话有着千丝万缕的联系，希腊神话的酒神是狄奥尼索斯，他发明酿酒技术，带给人们饮酒欢乐,造福了人类，推动了社会文明。[2]追溯“酒”的起源，可见酒的历史甚为古老，文化内蕴也极为深厚。酒文化历经几千年，在无数诗人的使用之下得到了尽致的体现，拥有极其广泛的内涵，古往今来多少诗人在醉酒中造出了无数的流芳千古名句。</w:t>
      </w:r>
    </w:p>
    <w:p>
      <w:pPr>
        <w:bidi w:val="0"/>
        <w:rPr>
          <w:rFonts w:hint="eastAsia"/>
        </w:rPr>
      </w:pPr>
      <w:r>
        <w:rPr>
          <w:rFonts w:hint="eastAsia"/>
        </w:rPr>
        <w:t>那么酒的魅力究竟在何处呢？对于我国古今诗人来说，“樽酒家贫只旧醅”“隔篱呼取尽馀杯”（杜甫《客至》），饮酒能够享受短暂人生；“宽心应是酒，遣兴莫过诗”(杜甫《可惜》)，饮酒能够慰藉苦涩心灵；“呼儿将出换美酒，与尔同销万古愁”（李白《将进酒》），饮酒能够解除烦闷愁绪；饮酒更能够让诗人在情感与心灵撞击之时，触发盎然诗兴做出绝妙之笔，比如余光中就诗仙痴酒入手唱出了《寻李白》。而对于西方人来说，酒涵盖着丰富的宗教意义，他们将酒作为上帝的意志，《圣经》中耶稣给他的门徒之酒即为赦罪之酒，可见西方的酒携带着西方传统文化的强大因子。[3]中国与西方的酒文化是如此古老深厚，这也逐渐融于后来诗人酒性的血液里，他们汲取前人的精华，诗人本身或许有意为之，或许自身也并未意识到，但这并不影响酒文化对他们的潜意识渗透，也并不会影响后来评论家们对他们诗歌中“酒”意象继承的解读。</w:t>
      </w:r>
    </w:p>
    <w:p>
      <w:pPr>
        <w:bidi w:val="0"/>
        <w:rPr>
          <w:rFonts w:hint="eastAsia"/>
        </w:rPr>
        <w:sectPr>
          <w:headerReference w:type="default" r:id="rId20"/>
          <w:footerReference w:type="even" r:id="rId21"/>
          <w:footerReference w:type="default" r:id="rId22"/>
          <w:pgSz w:w="11910" w:h="16840"/>
          <w:pgMar w:top="1160" w:right="980" w:bottom="1620" w:left="1680" w:header="880" w:footer="1433" w:gutter="0"/>
          <w:pgNumType w:fmt="decimal" w:start="1"/>
          <w:cols w:num="1" w:space="720"/>
        </w:sectPr>
      </w:pPr>
    </w:p>
    <w:p>
      <w:pPr>
        <w:bidi w:val="0"/>
        <w:rPr>
          <w:rFonts w:hint="eastAsia"/>
        </w:rPr>
      </w:pPr>
      <w:r>
        <w:rPr>
          <w:rFonts w:hint="eastAsia"/>
        </w:rPr>
        <w:t>在当代诗坛，余秀华可谓是最爱写酒的一位诗人了，她爱好酒也便爱写酒。在她出版的三本诗集《我们爱过又忘记》、《摇摇晃晃的人间》、《月光落在左手上》中就有大量关于酒的诗句，此外她在微博上发表的诗歌中“酒”的出现也不在少数。可见“酒”是余秀华诗歌中一个重要的意象。“酒”意象的频繁出现或许与她的人生遭遇的不平与苦闷有关，所以她经常嗜酒，拿着半满的酒瓶摇摇晃晃地走在横店村的街上，酒对她来说意义不凡。</w:t>
      </w:r>
    </w:p>
    <w:p>
      <w:pPr>
        <w:bidi w:val="0"/>
        <w:rPr>
          <w:rFonts w:hint="eastAsia"/>
        </w:rPr>
      </w:pPr>
      <w:r>
        <w:rPr>
          <w:rFonts w:hint="eastAsia"/>
        </w:rPr>
        <w:t>余秀华诗歌中的“酒”以及与“酒”相关的意象大致包括“酒”“酒杯”“空酒瓶”“小酒馆”“酒杯”“烈酒”“酒壶”等，因此本文中所讨论的“酒”意象所涵盖的并非仅仅是“酒”这个客观事物，而是包含了更加广泛的内容。</w:t>
      </w:r>
    </w:p>
    <w:p>
      <w:pPr>
        <w:bidi w:val="0"/>
        <w:rPr>
          <w:rFonts w:hint="eastAsia"/>
        </w:rPr>
        <w:sectPr>
          <w:headerReference w:type="default" r:id="rId23"/>
          <w:footerReference w:type="even" r:id="rId24"/>
          <w:footerReference w:type="default" r:id="rId25"/>
          <w:type w:val="nextPage"/>
          <w:pgSz w:w="11910" w:h="16840"/>
          <w:pgMar w:top="1160" w:right="980" w:bottom="1620" w:left="1680" w:header="880" w:footer="1433" w:gutter="0"/>
          <w:pgNumType w:fmt="decimal" w:start="2"/>
          <w:cols w:num="1" w:space="720"/>
          <w:titlePg w:val="0"/>
        </w:sectPr>
      </w:pPr>
    </w:p>
    <w:p>
      <w:pPr>
        <w:pStyle w:val="Heading1"/>
        <w:bidi w:val="0"/>
        <w:rPr>
          <w:lang w:val="en-US" w:eastAsia="zh-CN"/>
        </w:rPr>
      </w:pPr>
      <w:bookmarkStart w:id="25" w:name="_Toc22464"/>
      <w:r>
        <w:rPr>
          <w:rFonts w:hint="eastAsia"/>
          <w:lang w:val="en-US" w:eastAsia="zh-CN"/>
        </w:rPr>
        <w:t>一、余秀华“酒”意象的丰富意蕴</w:t>
      </w:r>
      <w:bookmarkEnd w:id="25"/>
    </w:p>
    <w:p>
      <w:pPr>
        <w:bidi w:val="0"/>
        <w:rPr>
          <w:rFonts w:hint="eastAsia"/>
        </w:rPr>
      </w:pPr>
      <w:r>
        <w:rPr>
          <w:rFonts w:hint="eastAsia"/>
          <w:lang w:val="en-US" w:eastAsia="zh-CN"/>
        </w:rPr>
        <w:t>“酒”自古以来都是承载着诗人的万千思绪，在阅读他们的诗歌时，“酒”似乎成为了能够反映万物的魔镜，透视出了诗人丰富的内心情感，余秀华当然也不例外。但是不同于古代诗人的借酒消愁、享受生命，余秀华在一定程度的继承古人之外也开拓了独属于自我“酒”的灵魂。余秀华诗歌中的“酒”往往总是象征和隐喻的，“酒”是余秀华抒发自我精神世界的客观对应物。余秀华在凝神观念中，把自己的生命送到没有生命的“酒”中，给客观存在的“酒”生命和灵魂，达到物我两忘、物我同一。当赋予“酒”生命意义之后，不同的生命状态恰能反映余秀华不同的自我书写，也便有了更加丰富的意蕴。余秀华的“酒”意象呈现了三种意蕴：爱情的苦闷与性的欲望；反抗中的新生与女性意识；生命孤独中孕育光明。这之中存在着因果联系，并且层次递深，即简单的爱情与肉体欲望的不能满足，让她有了更加深刻的反抗意识与女性意识，并逐渐在生命的孤独中探寻独立的人格。</w:t>
      </w:r>
    </w:p>
    <w:p>
      <w:pPr>
        <w:pStyle w:val="Heading2"/>
        <w:bidi w:val="0"/>
        <w:rPr>
          <w:rFonts w:hint="eastAsia"/>
          <w:lang w:val="en-US" w:eastAsia="zh-CN"/>
        </w:rPr>
      </w:pPr>
      <w:bookmarkStart w:id="26" w:name="_Toc3960"/>
      <w:r>
        <w:rPr>
          <w:rFonts w:hint="eastAsia"/>
          <w:lang w:val="en-US" w:eastAsia="zh-CN"/>
        </w:rPr>
        <w:t>（一）爱情的苦闷与性的欲望</w:t>
      </w:r>
      <w:bookmarkEnd w:id="26"/>
    </w:p>
    <w:p>
      <w:pPr>
        <w:bidi w:val="0"/>
        <w:rPr>
          <w:rFonts w:hint="eastAsia"/>
        </w:rPr>
      </w:pPr>
      <w:r>
        <w:rPr>
          <w:rFonts w:hint="eastAsia"/>
          <w:lang w:val="en-US" w:eastAsia="zh-CN"/>
        </w:rPr>
        <w:t>余秀华因一首《穿过大半个中国去睡你》火遍中国，“其实，睡你和被你睡是差不多的，无非是两具肉体碰撞的力，无非是这力催开的花朵”</w:t>
      </w:r>
      <w:r>
        <w:rPr>
          <w:rFonts w:hint="eastAsia"/>
          <w:vertAlign w:val="superscript"/>
          <w:lang w:val="en-US" w:eastAsia="zh-CN"/>
        </w:rPr>
        <w:t>[4]</w:t>
      </w:r>
      <w:r>
        <w:rPr>
          <w:rFonts w:hint="eastAsia"/>
          <w:lang w:val="en-US" w:eastAsia="zh-CN"/>
        </w:rPr>
        <w:t>。余秀华性的描写突破了他人的眼光和思想，她极其大胆、高调地暴露自己的性欲望，这在女性诗人中是比较少见的，甚至这种描写给余秀华的诗歌扣了一顶“荡妇体”的帽子。余秀华本身的身体残疾、家庭暴力，让她渴望爱情、渴望性，同时也可以窥探出爱情苦闷造成了余秀华身体与心灵的不和谐，这种不和谐促使她通过诗歌满足自己的精神愿望。在这个写作诗歌的过程中，通过一个物象——“酒”的书写，便能窥探出她所追求的灵与肉的和谐。</w:t>
      </w:r>
    </w:p>
    <w:p>
      <w:pPr>
        <w:bidi w:val="0"/>
        <w:rPr>
          <w:rFonts w:hint="eastAsia"/>
        </w:rPr>
        <w:sectPr>
          <w:headerReference w:type="default" r:id="rId26"/>
          <w:footerReference w:type="even" r:id="rId27"/>
          <w:footerReference w:type="default" r:id="rId28"/>
          <w:pgSz w:w="11906" w:h="16838"/>
          <w:pgMar w:top="1440" w:right="1797" w:bottom="1440" w:left="1797" w:header="851" w:footer="992" w:gutter="0"/>
          <w:pgNumType w:fmt="decimal" w:start="3"/>
          <w:cols w:num="1" w:space="425"/>
          <w:docGrid w:type="linesAndChars" w:linePitch="312" w:charSpace="0"/>
        </w:sectPr>
      </w:pPr>
      <w:r>
        <w:rPr>
          <w:rFonts w:hint="eastAsia"/>
          <w:lang w:val="en-US" w:eastAsia="zh-CN"/>
        </w:rPr>
        <w:t>“那么容易就消逝，如同谎言，也如同流言/今天我记得的是消逝的部分，如同一个啤酒瓶”</w:t>
      </w:r>
      <w:r>
        <w:rPr>
          <w:rFonts w:hint="eastAsia"/>
          <w:vertAlign w:val="superscript"/>
          <w:lang w:val="en-US" w:eastAsia="zh-CN"/>
        </w:rPr>
        <w:t>[5]</w:t>
      </w:r>
      <w:r>
        <w:rPr>
          <w:rFonts w:hint="eastAsia"/>
          <w:lang w:val="en-US" w:eastAsia="zh-CN"/>
        </w:rPr>
        <w:t>（《那么容易就消逝》），“啤酒瓶”是诗人消逝了的爱情，代表消逝的部分是空的，是易碎的，是谎言，是流言，王安忆在《长恨歌》中说“流言是哈了气的窗玻璃，也是蒙了灰尘的窗玻璃”</w:t>
      </w:r>
      <w:r>
        <w:rPr>
          <w:rFonts w:hint="eastAsia"/>
          <w:vertAlign w:val="superscript"/>
          <w:lang w:val="en-US" w:eastAsia="zh-CN"/>
        </w:rPr>
        <w:t>[6]</w:t>
      </w:r>
    </w:p>
    <w:p>
      <w:pPr>
        <w:bidi w:val="0"/>
        <w:rPr>
          <w:rFonts w:hint="eastAsia"/>
        </w:rPr>
      </w:pPr>
      <w:r>
        <w:rPr>
          <w:rFonts w:hint="eastAsia"/>
          <w:lang w:val="en-US" w:eastAsia="zh-CN"/>
        </w:rPr>
        <w:t>，同样用手轻轻一弗便消散了，这里诗人的爱情就是如此容易消逝。而且就算把它重新拿起来，没有酒的空酒瓶，就是没有灌注心血的爱意或是爱意已空，结果不过仍旧是“贱卖”或是“摔碎”罢了。再如“你喜欢麦子，稻子，月光这些能养活人的东西/我不过贪喝了稗子酿的酒/就被你贬到这一轮的人世，这陌生的窑子里”</w:t>
      </w:r>
      <w:r>
        <w:rPr>
          <w:rFonts w:hint="eastAsia"/>
          <w:vertAlign w:val="superscript"/>
          <w:lang w:val="en-US" w:eastAsia="zh-CN"/>
        </w:rPr>
        <w:t>[7]</w:t>
      </w:r>
      <w:r>
        <w:rPr>
          <w:rFonts w:hint="eastAsia"/>
          <w:lang w:val="en-US" w:eastAsia="zh-CN"/>
        </w:rPr>
        <w:t>（《或许不关于爱情的》），诗人自认自己不是美好的事物，身上因残疾而带着“死”气，自己是淫欲的、死亡的、破败的，贪喝了带着罪恶与欲望的“稗子酿的酒”，却被爱人贬到了“陌生的窑子”，成为荡妇。诗人抱着残缺的身子，像一条咸鱼，摆尾挣扎，求援不得，欲望是罪恶的吗？只因满足了自己的欲望，就要被贬入深渊之地吗？“总有酿不完的劣质酒，总有饮不完的千古愁/唉，说到愁啊，在没有成人玩具卖的星光村，下降为失去肉欲的爱情”</w:t>
      </w:r>
      <w:r>
        <w:rPr>
          <w:rFonts w:hint="eastAsia"/>
          <w:vertAlign w:val="superscript"/>
          <w:lang w:val="en-US" w:eastAsia="zh-CN"/>
        </w:rPr>
        <w:t>[8]</w:t>
      </w:r>
      <w:r>
        <w:rPr>
          <w:rFonts w:hint="eastAsia"/>
          <w:lang w:val="en-US" w:eastAsia="zh-CN"/>
        </w:rPr>
        <w:t>（《星光村告别》），“劣质酒”对应“千古愁”，“愁”在没有“肉欲的爱情”，可见诗人要的并非柏拉图式的爱情，但诗中又隐隐暗示了诗人并无爱人的生命状态，即不能够满足诗人追求的灵与肉的和谐，因此能够窥探出其爱情的苦闷。</w:t>
      </w:r>
    </w:p>
    <w:p>
      <w:pPr>
        <w:bidi w:val="0"/>
        <w:rPr>
          <w:rFonts w:hint="eastAsia"/>
        </w:rPr>
      </w:pPr>
      <w:r>
        <w:rPr>
          <w:rFonts w:hint="eastAsia"/>
          <w:lang w:val="en-US" w:eastAsia="zh-CN"/>
        </w:rPr>
        <w:t>鲁迅在《我们现在怎样做父亲》对性欲有所谈及，“欲是保存自己，保存现在生命的事；性欲是保存后裔，保存永久生命的事。饮食并非罪恶，并非不净；性交也就并非罪恶，并非不净”</w:t>
      </w:r>
      <w:r>
        <w:rPr>
          <w:rFonts w:hint="eastAsia"/>
          <w:vertAlign w:val="superscript"/>
          <w:lang w:val="en-US" w:eastAsia="zh-CN"/>
        </w:rPr>
        <w:t>[9]</w:t>
      </w:r>
      <w:r>
        <w:rPr>
          <w:rFonts w:hint="eastAsia"/>
          <w:lang w:val="en-US" w:eastAsia="zh-CN"/>
        </w:rPr>
        <w:t>，可见性欲并没有那么不耻。所以评论家们不必过于苛责余秀华对性的大胆描写，而更应重视她通过“酒”意象所传递的个人欲望质素，即背后所蕴藏的一个女性极为真诚地、坦率地表达自己苦与痛的艺术价值。20世纪90年代贾平凹的《废都》也曾因性的描写受到蜕变为“趣味低级的通俗作家”的批判，但其性欲描写实则更深的写出世纪末知识分子的颓废精神世界。同样余秀华借用“酒”意象抒发的对爱情的、性欲的渴求，是自我宣泄，也是追求精神和谐，追求灵与肉的同一。</w:t>
      </w:r>
    </w:p>
    <w:p>
      <w:pPr>
        <w:pStyle w:val="Heading2"/>
        <w:bidi w:val="0"/>
        <w:rPr>
          <w:rFonts w:hint="eastAsia"/>
          <w:lang w:val="en-US" w:eastAsia="zh-CN"/>
        </w:rPr>
      </w:pPr>
      <w:bookmarkStart w:id="27" w:name="_Toc19802"/>
      <w:r>
        <w:rPr>
          <w:rFonts w:hint="eastAsia"/>
          <w:lang w:val="en-US" w:eastAsia="zh-CN"/>
        </w:rPr>
        <w:t>（二）反抗中新生与女性意识</w:t>
      </w:r>
      <w:bookmarkEnd w:id="27"/>
    </w:p>
    <w:p>
      <w:pPr>
        <w:bidi w:val="0"/>
        <w:rPr>
          <w:rFonts w:hint="eastAsia"/>
        </w:rPr>
      </w:pPr>
      <w:r>
        <w:rPr>
          <w:rFonts w:hint="eastAsia"/>
          <w:lang w:val="en-US" w:eastAsia="zh-CN"/>
        </w:rPr>
        <w:t>余秀华的婚姻是被迫的，对象也十分糟糕。她在《我养的狗，叫小巫》中写道“他揪着我的头发，把我往墙上磕的时候，小巫不停地摇着尾巴，对于一个不怕疼的人，他无能为力” [10]4，家庭暴力暴露的是男女地位的不平等，余秀华与她的丈夫不能像舒婷《致橡树》中“我必须是你近旁的一株木棉，作为树的形象和你站在一起”的“木棉”与“树”一样平等，但是余秀华本人却有着舒婷一样的追求自我价值、追求自由的女性意识。</w:t>
      </w:r>
    </w:p>
    <w:p>
      <w:pPr>
        <w:bidi w:val="0"/>
        <w:rPr>
          <w:rFonts w:hint="eastAsia"/>
        </w:rPr>
        <w:sectPr>
          <w:headerReference w:type="default" r:id="rId29"/>
          <w:footerReference w:type="even" r:id="rId30"/>
          <w:footerReference w:type="default" r:id="rId31"/>
          <w:type w:val="nextPage"/>
          <w:pgSz w:w="11906" w:h="16838"/>
          <w:pgMar w:top="1440" w:right="1797" w:bottom="1440" w:left="1797" w:header="851" w:footer="992" w:gutter="0"/>
          <w:pgNumType w:fmt="decimal" w:start="4"/>
          <w:cols w:num="1" w:space="425"/>
          <w:titlePg w:val="0"/>
          <w:docGrid w:type="linesAndChars" w:linePitch="312" w:charSpace="0"/>
        </w:sectPr>
      </w:pPr>
    </w:p>
    <w:p>
      <w:pPr>
        <w:bidi w:val="0"/>
        <w:rPr>
          <w:rFonts w:hint="eastAsia"/>
        </w:rPr>
      </w:pPr>
      <w:r>
        <w:rPr>
          <w:rFonts w:hint="eastAsia"/>
          <w:lang w:val="en-US" w:eastAsia="zh-CN"/>
        </w:rPr>
        <w:t>余秀华与他的丈夫之间并无爱情可言。2013年的诗作《岔路镇》中，“我们走了多少岔路，于这晚秋的凄清里，才巧遇/我已准备好了炭火，酒，简单的日子，和你想要的一儿半女”</w:t>
      </w:r>
      <w:r>
        <w:rPr>
          <w:rFonts w:hint="eastAsia"/>
          <w:lang w:val="en-US" w:eastAsia="zh-CN"/>
        </w:rPr>
        <w:t xml:space="preserve"> [10]103，</w:t>
      </w:r>
      <w:r>
        <w:rPr>
          <w:rFonts w:hint="eastAsia"/>
          <w:lang w:val="en-US" w:eastAsia="zh-CN"/>
        </w:rPr>
        <w:t xml:space="preserve"> “酒”“炭火”都是简单日子、美好生活的象征，幻想着与真正爱的人的幸福生活正是对不幸婚姻的一种反抗，比起挥舞着拳头高喊“我要离婚”与对方进行各种碰撞，这种无声反抗实则更强悍、更深刻，是对现存状态绝望之余仍对未来充满向往。余秀华真正拿到离婚证是在2015年12月14日，为此她专门写了一首《离婚证》，把“一叠新翠”（指离婚证）和残疾证放在一起，“合成一扇等待开启的门”，这是离婚之后的新生。“我备了酒备了背叛背了不死的决心/能让我在你身上找死吗？”[7]（《或许不关于爱情的》），“酒”为“背叛”、为“不死的决心”，为寻求反抗的一道强烈的催化剂。</w:t>
      </w:r>
      <w:r>
        <w:rPr>
          <w:rFonts w:hint="eastAsia"/>
          <w:lang w:val="en-US" w:eastAsia="zh-CN"/>
        </w:rPr>
        <w:t xml:space="preserve"> </w:t>
      </w:r>
      <w:r>
        <w:rPr>
          <w:rFonts w:hint="eastAsia"/>
          <w:lang w:val="en-US" w:eastAsia="zh-CN"/>
        </w:rPr>
        <w:t xml:space="preserve"> </w:t>
      </w:r>
    </w:p>
    <w:p>
      <w:pPr>
        <w:bidi w:val="0"/>
        <w:rPr>
          <w:rFonts w:hint="eastAsia"/>
        </w:rPr>
      </w:pPr>
      <w:r>
        <w:rPr>
          <w:rFonts w:hint="eastAsia"/>
          <w:lang w:val="en-US" w:eastAsia="zh-CN"/>
        </w:rPr>
        <w:t>“人不应该是插在花瓶里供人欣赏的静物，而是蔓延在草原上随风起舞的旋律”</w:t>
      </w:r>
      <w:r>
        <w:rPr>
          <w:rFonts w:hint="eastAsia"/>
          <w:vertAlign w:val="superscript"/>
          <w:lang w:val="en-US" w:eastAsia="zh-CN"/>
        </w:rPr>
        <w:t>[11]</w:t>
      </w:r>
      <w:r>
        <w:rPr>
          <w:rFonts w:hint="eastAsia"/>
          <w:lang w:val="en-US" w:eastAsia="zh-CN"/>
        </w:rPr>
        <w:t>,反抗静物，随着旋律新生，这便是余秀华“酒”深刻意义。余秀华有意无意地对“菲勒斯中心主义”充满警觉，反抗男性掌控家庭生活，“酒”中蕴含着背叛反抗，暗含了她对不平等婚姻的不满，张扬着自己的离经叛道。</w:t>
      </w:r>
    </w:p>
    <w:p>
      <w:pPr>
        <w:pStyle w:val="Heading2"/>
        <w:bidi w:val="0"/>
        <w:rPr>
          <w:rFonts w:hint="eastAsia"/>
          <w:lang w:val="en-US" w:eastAsia="zh-CN"/>
        </w:rPr>
      </w:pPr>
      <w:bookmarkStart w:id="28" w:name="_Toc19270"/>
      <w:r>
        <w:rPr>
          <w:rFonts w:hint="eastAsia"/>
          <w:lang w:val="en-US" w:eastAsia="zh-CN"/>
        </w:rPr>
        <w:t>（三）生命孤独中孕育光明</w:t>
      </w:r>
      <w:bookmarkEnd w:id="28"/>
    </w:p>
    <w:p>
      <w:pPr>
        <w:bidi w:val="0"/>
        <w:rPr>
          <w:rFonts w:hint="eastAsia"/>
        </w:rPr>
      </w:pPr>
      <w:r>
        <w:rPr>
          <w:rFonts w:hint="eastAsia"/>
          <w:lang w:val="en-US" w:eastAsia="zh-CN"/>
        </w:rPr>
        <w:t>余秀华诗歌中，携带着残体因子的“酒”意象总是能够表现出一种欲望意识。残疾的缺口填补不了欲望的满足，生活的各种境况让她愈感到生命的孤独，孤独让她慢慢地体味自我意识，背后也便逐渐生出了余秀华对生命追求的纯净与光明。</w:t>
      </w:r>
    </w:p>
    <w:p>
      <w:pPr>
        <w:bidi w:val="0"/>
        <w:rPr>
          <w:rFonts w:hint="eastAsia"/>
        </w:rPr>
      </w:pPr>
      <w:r>
        <w:rPr>
          <w:rFonts w:hint="eastAsia"/>
          <w:lang w:val="en-US" w:eastAsia="zh-CN"/>
        </w:rPr>
        <w:t>从孤独的体验到自我的认识，这是一个循序渐进的过程。2014年，余秀华对“酒”的描写（如《在湖边散步的女人》），还只是停留在对孤独的体验和对生命迷茫的窠臼中，</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https://d.book118.com/988030054035006042</w:t>
        </w:r>
      </w:hyperlink>
    </w:p>
    <w:p>
      <w:pPr>
        <w:bidi w:val="0"/>
        <w:rPr>
          <w:rFonts w:hint="eastAsia"/>
        </w:rPr>
      </w:pPr>
    </w:p>
    <w:sectPr>
      <w:headerReference w:type="default" r:id="rId33"/>
      <w:footerReference w:type="even" r:id="rId34"/>
      <w:footerReference w:type="default" r:id="rId35"/>
      <w:type w:val="nextPage"/>
      <w:pgSz w:w="11906" w:h="16838"/>
      <w:pgMar w:top="1440" w:right="1797" w:bottom="1440" w:left="1797" w:header="851" w:footer="992" w:gutter="0"/>
      <w:pgNumType w:fmt="decimal" w:start="5"/>
      <w:cols w:num="1" w:space="425"/>
      <w:titlePg w:val="0"/>
      <w:docGrid w:type="linesAndChar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Tunga">
    <w:altName w:val="Segoe UI Symbol"/>
    <w:panose1 w:val="020B0502040204020203"/>
    <w:charset w:val="00"/>
    <w:family w:val="swiss"/>
    <w:pitch w:val="default"/>
    <w:sig w:usb0="00000000" w:usb1="00000000" w:usb2="00000000" w:usb3="00000000" w:csb0="00000001" w:csb1="00000000"/>
  </w:font>
  <w:font w:name="华文彩云">
    <w:altName w:val="微软雅黑"/>
    <w:panose1 w:val="0201080004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auto"/>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Pr>
    <w:r>
      <w:fldChar w:fldCharType="begin"/>
    </w:r>
    <w:r>
      <w:instrText xml:space="preserve"> PAGE  </w:instrText>
    </w:r>
    <w:r>
      <w:fldChar w:fldCharType="separate"/>
    </w:r>
    <w:r>
      <w:t>1</w:t>
    </w:r>
    <w:r>
      <w:fldChar w:fldCharType="end"/>
    </w:r>
  </w:p>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rPr>
        <w:rFonts w:eastAsia="楷体_GB2312" w:hint="eastAsia"/>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rPr>
        <w:rFonts w:eastAsia="楷体_GB2312" w:hint="eastAsia"/>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9458182"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rPr>
        <w:rFonts w:eastAsia="楷体_GB2312" w:hint="eastAsia"/>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956051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rPr>
        <w:rFonts w:eastAsia="楷体_GB2312" w:hint="eastAsia"/>
      </w:rP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3715584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rPr>
        <w:rFonts w:eastAsia="楷体_GB2312" w:hint="eastAsia"/>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475352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目  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7DA"/>
    <w:rsid w:val="001062EB"/>
    <w:rsid w:val="00144524"/>
    <w:rsid w:val="00152BE2"/>
    <w:rsid w:val="00215759"/>
    <w:rsid w:val="00232067"/>
    <w:rsid w:val="002442C5"/>
    <w:rsid w:val="00323840"/>
    <w:rsid w:val="00335F05"/>
    <w:rsid w:val="003752B9"/>
    <w:rsid w:val="00386ED6"/>
    <w:rsid w:val="003E4FE0"/>
    <w:rsid w:val="00440D27"/>
    <w:rsid w:val="004E4D8E"/>
    <w:rsid w:val="005164B2"/>
    <w:rsid w:val="005527DA"/>
    <w:rsid w:val="007262BE"/>
    <w:rsid w:val="007A0134"/>
    <w:rsid w:val="008664D4"/>
    <w:rsid w:val="008C4336"/>
    <w:rsid w:val="00931C74"/>
    <w:rsid w:val="00A94ADA"/>
    <w:rsid w:val="00AC6732"/>
    <w:rsid w:val="00AD6884"/>
    <w:rsid w:val="00B2103C"/>
    <w:rsid w:val="00B672DC"/>
    <w:rsid w:val="00BF6675"/>
    <w:rsid w:val="00C02309"/>
    <w:rsid w:val="00C064A0"/>
    <w:rsid w:val="00C627C4"/>
    <w:rsid w:val="00D26EB8"/>
    <w:rsid w:val="00E47A3D"/>
    <w:rsid w:val="00E579C9"/>
    <w:rsid w:val="00E9622D"/>
    <w:rsid w:val="00EE72A8"/>
    <w:rsid w:val="00FA5AFB"/>
    <w:rsid w:val="00FD1746"/>
    <w:rsid w:val="00FD3F2D"/>
    <w:rsid w:val="05E62385"/>
    <w:rsid w:val="0ACA0B50"/>
    <w:rsid w:val="0BF72128"/>
    <w:rsid w:val="0FBE2C73"/>
    <w:rsid w:val="18351B7F"/>
    <w:rsid w:val="19AF15A2"/>
    <w:rsid w:val="1AF21C23"/>
    <w:rsid w:val="1B505983"/>
    <w:rsid w:val="1FD72918"/>
    <w:rsid w:val="20617B62"/>
    <w:rsid w:val="22AD6CF3"/>
    <w:rsid w:val="23A916B3"/>
    <w:rsid w:val="25BA7C7E"/>
    <w:rsid w:val="26682940"/>
    <w:rsid w:val="26890768"/>
    <w:rsid w:val="2D1A3669"/>
    <w:rsid w:val="2E2613D5"/>
    <w:rsid w:val="36635EC1"/>
    <w:rsid w:val="3A4E6454"/>
    <w:rsid w:val="3AD07B81"/>
    <w:rsid w:val="3D1526C6"/>
    <w:rsid w:val="41E57F14"/>
    <w:rsid w:val="44F01232"/>
    <w:rsid w:val="4D224E33"/>
    <w:rsid w:val="52FF2C23"/>
    <w:rsid w:val="560D60EB"/>
    <w:rsid w:val="58032A20"/>
    <w:rsid w:val="5A580279"/>
    <w:rsid w:val="5B461FC4"/>
    <w:rsid w:val="5DA85A48"/>
    <w:rsid w:val="605E4A75"/>
    <w:rsid w:val="694F3B77"/>
    <w:rsid w:val="712F0B1A"/>
    <w:rsid w:val="71866E21"/>
    <w:rsid w:val="71A768D5"/>
    <w:rsid w:val="72DB2CF2"/>
    <w:rsid w:val="760F618D"/>
    <w:rsid w:val="77887365"/>
    <w:rsid w:val="7C24761F"/>
    <w:rsid w:val="7E9103AB"/>
  </w:rsids>
  <w:docVars>
    <w:docVar w:name="commondata" w:val="eyJoZGlkIjoiYmZmMGVhMDY3YmMxNWYxM2QxZDA1OWRhMjM0OWZhO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CommentText"/>
    <w:qFormat/>
    <w:pPr>
      <w:widowControl w:val="0"/>
      <w:spacing w:line="360" w:lineRule="auto"/>
      <w:ind w:firstLine="1928" w:firstLineChars="200"/>
      <w:jc w:val="both"/>
    </w:pPr>
    <w:rPr>
      <w:rFonts w:eastAsia="宋体" w:asciiTheme="minorAscii" w:hAnsiTheme="minorAscii" w:cstheme="minorBidi"/>
      <w:kern w:val="2"/>
      <w:sz w:val="24"/>
      <w:szCs w:val="22"/>
      <w:lang w:val="en-US" w:eastAsia="zh-CN" w:bidi="ar-SA"/>
    </w:rPr>
  </w:style>
  <w:style w:type="paragraph" w:styleId="Heading1">
    <w:name w:val="heading 1"/>
    <w:basedOn w:val="Normal"/>
    <w:next w:val="Normal"/>
    <w:link w:val="1Char"/>
    <w:uiPriority w:val="9"/>
    <w:qFormat/>
    <w:pPr>
      <w:spacing w:before="100" w:beforeLines="100" w:beforeAutospacing="0" w:after="100" w:afterLines="100" w:afterAutospacing="0"/>
      <w:ind w:firstLine="0" w:firstLineChars="0"/>
      <w:jc w:val="center"/>
      <w:outlineLvl w:val="0"/>
    </w:pPr>
    <w:rPr>
      <w:rFonts w:ascii="宋体" w:eastAsia="宋体" w:hAnsi="宋体" w:cs="Times New Roman" w:hint="eastAsia"/>
      <w:b/>
      <w:kern w:val="44"/>
      <w:sz w:val="32"/>
      <w:szCs w:val="48"/>
    </w:rPr>
  </w:style>
  <w:style w:type="paragraph" w:styleId="Heading2">
    <w:name w:val="heading 2"/>
    <w:basedOn w:val="Normal"/>
    <w:next w:val="Normal"/>
    <w:link w:val="2Char0"/>
    <w:qFormat/>
    <w:pPr>
      <w:keepNext/>
      <w:spacing w:line="360" w:lineRule="auto"/>
      <w:ind w:firstLine="0" w:firstLineChars="0"/>
      <w:textAlignment w:val="baseline"/>
      <w:outlineLvl w:val="1"/>
    </w:pPr>
    <w:rPr>
      <w:rFonts w:eastAsia="宋体"/>
      <w:b/>
    </w:rPr>
  </w:style>
  <w:style w:type="paragraph" w:styleId="Heading3">
    <w:name w:val="heading 3"/>
    <w:basedOn w:val="Normal"/>
    <w:next w:val="Normal"/>
    <w:qFormat/>
    <w:pPr>
      <w:spacing w:line="360" w:lineRule="auto"/>
      <w:ind w:firstLine="1928" w:firstLineChars="200"/>
      <w:outlineLvl w:val="2"/>
    </w:pPr>
    <w:rPr>
      <w:rFonts w:ascii="宋体" w:eastAsia="宋体" w:hAnsi="宋体"/>
      <w:b/>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semiHidden/>
    <w:qFormat/>
    <w:pPr>
      <w:jc w:val="left"/>
    </w:pPr>
  </w:style>
  <w:style w:type="paragraph" w:styleId="Date">
    <w:name w:val="Date"/>
    <w:basedOn w:val="Normal"/>
    <w:next w:val="Normal"/>
    <w:qFormat/>
    <w:pPr>
      <w:ind w:left="100" w:leftChars="2500"/>
    </w:p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pPr>
      <w:tabs>
        <w:tab w:val="right" w:leader="dot" w:pos="8296"/>
      </w:tabs>
      <w:spacing w:line="360" w:lineRule="auto"/>
    </w:pPr>
    <w:rPr>
      <w:b/>
      <w:sz w:val="24"/>
    </w:rPr>
  </w:style>
  <w:style w:type="paragraph" w:styleId="TOC2">
    <w:name w:val="toc 2"/>
    <w:basedOn w:val="Normal"/>
    <w:next w:val="Normal"/>
    <w:uiPriority w:val="39"/>
    <w:unhideWhenUsed/>
    <w:qFormat/>
    <w:pPr>
      <w:ind w:left="420" w:leftChars="200"/>
    </w:pPr>
  </w:style>
  <w:style w:type="paragraph" w:styleId="NormalWeb">
    <w:name w:val="Normal (Web)"/>
    <w:basedOn w:val="Normal"/>
    <w:uiPriority w:val="99"/>
    <w:semiHidden/>
    <w:unhideWhenUsed/>
    <w:qFormat/>
    <w:pPr>
      <w:spacing w:beforeAutospacing="1" w:afterAutospacing="1"/>
      <w:jc w:val="left"/>
    </w:pPr>
    <w:rPr>
      <w:rFonts w:cs="Times New Roman"/>
      <w:kern w:val="0"/>
      <w:sz w:val="24"/>
    </w:rPr>
  </w:style>
  <w:style w:type="character" w:styleId="PageNumber">
    <w:name w:val="page number"/>
    <w:basedOn w:val="DefaultParagraphFont"/>
    <w:qFormat/>
  </w:style>
  <w:style w:type="character" w:styleId="Hyperlink">
    <w:name w:val="Hyperlink"/>
    <w:basedOn w:val="DefaultParagraphFont"/>
    <w:uiPriority w:val="99"/>
    <w:semiHidden/>
    <w:unhideWhenUsed/>
    <w:qFormat/>
    <w:rPr>
      <w:color w:val="0000FF"/>
      <w:u w:val="single"/>
    </w:rPr>
  </w:style>
  <w:style w:type="character" w:styleId="CommentReference">
    <w:name w:val="annotation reference"/>
    <w:basedOn w:val="DefaultParagraphFont"/>
    <w:semiHidden/>
    <w:qFormat/>
    <w:rPr>
      <w:sz w:val="21"/>
      <w:szCs w:val="21"/>
    </w:rPr>
  </w:style>
  <w:style w:type="character" w:customStyle="1" w:styleId="Char">
    <w:name w:val="页眉 Char"/>
    <w:basedOn w:val="DefaultParagraphFont"/>
    <w:link w:val="Header"/>
    <w:uiPriority w:val="99"/>
    <w:semiHidden/>
    <w:qFormat/>
    <w:rPr>
      <w:sz w:val="18"/>
      <w:szCs w:val="18"/>
    </w:rPr>
  </w:style>
  <w:style w:type="character" w:customStyle="1" w:styleId="Char0">
    <w:name w:val="页脚 Char"/>
    <w:basedOn w:val="DefaultParagraphFont"/>
    <w:link w:val="Footer"/>
    <w:uiPriority w:val="99"/>
    <w:semiHidden/>
    <w:qFormat/>
    <w:rPr>
      <w:sz w:val="18"/>
      <w:szCs w:val="18"/>
    </w:rPr>
  </w:style>
  <w:style w:type="paragraph" w:styleId="ListParagraph">
    <w:name w:val="List Paragraph"/>
    <w:basedOn w:val="Normal"/>
    <w:uiPriority w:val="34"/>
    <w:qFormat/>
    <w:pPr>
      <w:ind w:firstLine="420" w:firstLineChars="200"/>
    </w:pPr>
  </w:style>
  <w:style w:type="character" w:customStyle="1" w:styleId="content">
    <w:name w:val="content"/>
    <w:basedOn w:val="DefaultParagraphFont"/>
    <w:qFormat/>
  </w:style>
  <w:style w:type="character" w:customStyle="1" w:styleId="2Char">
    <w:name w:val="样式 标题 2 + 四号 Char"/>
    <w:basedOn w:val="DefaultParagraphFont"/>
    <w:qFormat/>
    <w:rPr>
      <w:rFonts w:eastAsia="黑体"/>
      <w:kern w:val="2"/>
      <w:sz w:val="24"/>
      <w:szCs w:val="24"/>
      <w:lang w:val="en-US" w:eastAsia="zh-CN" w:bidi="ar-SA"/>
    </w:rPr>
  </w:style>
  <w:style w:type="character" w:customStyle="1" w:styleId="Char1">
    <w:name w:val="批注框文本 Char"/>
    <w:basedOn w:val="DefaultParagraphFont"/>
    <w:link w:val="BalloonText"/>
    <w:uiPriority w:val="99"/>
    <w:semiHidden/>
    <w:qFormat/>
    <w:rPr>
      <w:rFonts w:asciiTheme="minorHAnsi" w:eastAsiaTheme="minorEastAsia" w:hAnsiTheme="minorHAnsi" w:cstheme="minorBidi"/>
      <w:kern w:val="2"/>
      <w:sz w:val="18"/>
      <w:szCs w:val="18"/>
    </w:rPr>
  </w:style>
  <w:style w:type="character" w:customStyle="1" w:styleId="1Char">
    <w:name w:val="标题 1 Char"/>
    <w:link w:val="Heading1"/>
    <w:uiPriority w:val="9"/>
    <w:qFormat/>
    <w:rPr>
      <w:rFonts w:ascii="宋体" w:eastAsia="宋体" w:hAnsi="宋体" w:cs="Times New Roman" w:hint="eastAsia"/>
      <w:b/>
      <w:kern w:val="44"/>
      <w:sz w:val="32"/>
      <w:szCs w:val="48"/>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character" w:customStyle="1" w:styleId="2Char0">
    <w:name w:val="标题 2 Char"/>
    <w:link w:val="Heading2"/>
    <w:qFormat/>
    <w:rPr>
      <w:rFonts w:eastAsia="宋体"/>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2.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header" Target="header3.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4.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endnotes" Target="endnotes.xml" /><Relationship Id="rId20" Type="http://schemas.openxmlformats.org/officeDocument/2006/relationships/header" Target="header5.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header" Target="header6.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header" Target="header7.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header" Target="header8.xml" /><Relationship Id="rId3" Type="http://schemas.openxmlformats.org/officeDocument/2006/relationships/settings" Target="settings.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hyperlink" Target="https://d.book118.com/988030054035006042" TargetMode="External" /><Relationship Id="rId33" Type="http://schemas.openxmlformats.org/officeDocument/2006/relationships/header" Target="header9.xml" /><Relationship Id="rId34" Type="http://schemas.openxmlformats.org/officeDocument/2006/relationships/footer" Target="footer17.xml" /><Relationship Id="rId35" Type="http://schemas.openxmlformats.org/officeDocument/2006/relationships/footer" Target="footer18.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image" Target="media/image1.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10405</Words>
  <Characters>11905</Characters>
  <Application>Microsoft Office Word</Application>
  <DocSecurity>0</DocSecurity>
  <Lines>66</Lines>
  <Paragraphs>18</Paragraphs>
  <ScaleCrop>false</ScaleCrop>
  <Company>HP</Company>
  <LinksUpToDate>false</LinksUpToDate>
  <CharactersWithSpaces>13292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乐乐乐。</cp:lastModifiedBy>
  <cp:revision>17</cp:revision>
  <cp:lastPrinted>2021-10-19T02:48:00Z</cp:lastPrinted>
  <dcterms:created xsi:type="dcterms:W3CDTF">2022-05-11T07:05:00Z</dcterms:created>
  <dcterms:modified xsi:type="dcterms:W3CDTF">2023-02-25T11:21:26Z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310D209383344758813C648532959387</vt:lpwstr>
  </property>
  <property fmtid="{D5CDD505-2E9C-101B-9397-08002B2CF9AE}" pid="3" name="KSOProductBuildVer">
    <vt:lpwstr>2052-11.1.0.13703</vt:lpwstr>
  </property>
</Properties>
</file>