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转基因抗虫树木新品种项目规划设计方案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54" w:history="1">
        <w:r>
          <w:rPr>
            <w:rFonts w:ascii="仿宋" w:eastAsia="仿宋" w:hAnsi="仿宋" w:cs="仿宋" w:hint="eastAsia"/>
            <w:lang w:eastAsia="zh-CN"/>
          </w:rPr>
          <w:t>序言</w:t>
        </w:r>
        <w:r>
          <w:tab/>
        </w:r>
        <w:r>
          <w:fldChar w:fldCharType="begin"/>
        </w:r>
        <w:r>
          <w:instrText xml:space="preserve"> PAGEREF _Toc13554 \h </w:instrText>
        </w:r>
        <w:r>
          <w:fldChar w:fldCharType="separate"/>
        </w:r>
        <w:r>
          <w:t>3</w:t>
        </w:r>
        <w:r>
          <w:fldChar w:fldCharType="end"/>
        </w:r>
      </w:hyperlink>
    </w:p>
    <w:p>
      <w:pPr>
        <w:pStyle w:val="TOC1"/>
        <w:tabs>
          <w:tab w:val="right" w:leader="dot" w:pos="8306"/>
        </w:tabs>
      </w:pPr>
      <w:hyperlink w:anchor="_Toc26457" w:history="1">
        <w:r>
          <w:rPr>
            <w:rFonts w:ascii="仿宋" w:eastAsia="仿宋" w:hAnsi="仿宋" w:cs="仿宋" w:hint="eastAsia"/>
            <w:lang w:eastAsia="zh-CN"/>
          </w:rPr>
          <w:t>一、转基因抗虫树木新品种项目文档管理</w:t>
        </w:r>
        <w:r>
          <w:tab/>
        </w:r>
        <w:r>
          <w:fldChar w:fldCharType="begin"/>
        </w:r>
        <w:r>
          <w:instrText xml:space="preserve"> PAGEREF _Toc26457 \h </w:instrText>
        </w:r>
        <w:r>
          <w:fldChar w:fldCharType="separate"/>
        </w:r>
        <w:r>
          <w:t>3</w:t>
        </w:r>
        <w:r>
          <w:fldChar w:fldCharType="end"/>
        </w:r>
      </w:hyperlink>
    </w:p>
    <w:p>
      <w:pPr>
        <w:pStyle w:val="TOC2"/>
        <w:tabs>
          <w:tab w:val="right" w:leader="dot" w:pos="8306"/>
        </w:tabs>
      </w:pPr>
      <w:hyperlink w:anchor="_Toc29723" w:history="1">
        <w:r>
          <w:rPr>
            <w:rFonts w:ascii="仿宋" w:eastAsia="仿宋" w:hAnsi="仿宋" w:cs="仿宋" w:hint="eastAsia"/>
            <w:lang w:eastAsia="zh-CN"/>
          </w:rPr>
          <w:t>(一)、文档编制与审查</w:t>
        </w:r>
        <w:r>
          <w:tab/>
        </w:r>
        <w:r>
          <w:fldChar w:fldCharType="begin"/>
        </w:r>
        <w:r>
          <w:instrText xml:space="preserve"> PAGEREF _Toc29723 \h </w:instrText>
        </w:r>
        <w:r>
          <w:fldChar w:fldCharType="separate"/>
        </w:r>
        <w:r>
          <w:t>3</w:t>
        </w:r>
        <w:r>
          <w:fldChar w:fldCharType="end"/>
        </w:r>
      </w:hyperlink>
    </w:p>
    <w:p>
      <w:pPr>
        <w:pStyle w:val="TOC2"/>
        <w:tabs>
          <w:tab w:val="right" w:leader="dot" w:pos="8306"/>
        </w:tabs>
      </w:pPr>
      <w:hyperlink w:anchor="_Toc5476" w:history="1">
        <w:r>
          <w:rPr>
            <w:rFonts w:ascii="仿宋" w:eastAsia="仿宋" w:hAnsi="仿宋" w:cs="仿宋" w:hint="eastAsia"/>
            <w:lang w:eastAsia="zh-CN"/>
          </w:rPr>
          <w:t>(二)、文档发布与分发</w:t>
        </w:r>
        <w:r>
          <w:tab/>
        </w:r>
        <w:r>
          <w:fldChar w:fldCharType="begin"/>
        </w:r>
        <w:r>
          <w:instrText xml:space="preserve"> PAGEREF _Toc5476 \h </w:instrText>
        </w:r>
        <w:r>
          <w:fldChar w:fldCharType="separate"/>
        </w:r>
        <w:r>
          <w:t>4</w:t>
        </w:r>
        <w:r>
          <w:fldChar w:fldCharType="end"/>
        </w:r>
      </w:hyperlink>
    </w:p>
    <w:p>
      <w:pPr>
        <w:pStyle w:val="TOC2"/>
        <w:tabs>
          <w:tab w:val="right" w:leader="dot" w:pos="8306"/>
        </w:tabs>
      </w:pPr>
      <w:hyperlink w:anchor="_Toc142" w:history="1">
        <w:r>
          <w:rPr>
            <w:rFonts w:ascii="仿宋" w:eastAsia="仿宋" w:hAnsi="仿宋" w:cs="仿宋" w:hint="eastAsia"/>
            <w:lang w:eastAsia="zh-CN"/>
          </w:rPr>
          <w:t>(三)、文档存档与归档</w:t>
        </w:r>
        <w:r>
          <w:tab/>
        </w:r>
        <w:r>
          <w:fldChar w:fldCharType="begin"/>
        </w:r>
        <w:r>
          <w:instrText xml:space="preserve"> PAGEREF _Toc142 \h </w:instrText>
        </w:r>
        <w:r>
          <w:fldChar w:fldCharType="separate"/>
        </w:r>
        <w:r>
          <w:t>5</w:t>
        </w:r>
        <w:r>
          <w:fldChar w:fldCharType="end"/>
        </w:r>
      </w:hyperlink>
    </w:p>
    <w:p>
      <w:pPr>
        <w:pStyle w:val="TOC1"/>
        <w:tabs>
          <w:tab w:val="right" w:leader="dot" w:pos="8306"/>
        </w:tabs>
      </w:pPr>
      <w:hyperlink w:anchor="_Toc8428" w:history="1">
        <w:r>
          <w:rPr>
            <w:rFonts w:ascii="仿宋" w:eastAsia="仿宋" w:hAnsi="仿宋" w:cs="仿宋" w:hint="eastAsia"/>
            <w:lang w:eastAsia="zh-CN"/>
          </w:rPr>
          <w:t>二、转基因抗虫树木新品种项目土建工程</w:t>
        </w:r>
        <w:r>
          <w:tab/>
        </w:r>
        <w:r>
          <w:fldChar w:fldCharType="begin"/>
        </w:r>
        <w:r>
          <w:instrText xml:space="preserve"> PAGEREF _Toc8428 \h </w:instrText>
        </w:r>
        <w:r>
          <w:fldChar w:fldCharType="separate"/>
        </w:r>
        <w:r>
          <w:t>6</w:t>
        </w:r>
        <w:r>
          <w:fldChar w:fldCharType="end"/>
        </w:r>
      </w:hyperlink>
    </w:p>
    <w:p>
      <w:pPr>
        <w:pStyle w:val="TOC2"/>
        <w:tabs>
          <w:tab w:val="right" w:leader="dot" w:pos="8306"/>
        </w:tabs>
      </w:pPr>
      <w:hyperlink w:anchor="_Toc28017" w:history="1">
        <w:r>
          <w:rPr>
            <w:rFonts w:ascii="仿宋" w:eastAsia="仿宋" w:hAnsi="仿宋" w:cs="仿宋" w:hint="eastAsia"/>
            <w:lang w:eastAsia="zh-CN"/>
          </w:rPr>
          <w:t>(一)、建筑工程设计原则</w:t>
        </w:r>
        <w:r>
          <w:tab/>
        </w:r>
        <w:r>
          <w:fldChar w:fldCharType="begin"/>
        </w:r>
        <w:r>
          <w:instrText xml:space="preserve"> PAGEREF _Toc28017 \h </w:instrText>
        </w:r>
        <w:r>
          <w:fldChar w:fldCharType="separate"/>
        </w:r>
        <w:r>
          <w:t>6</w:t>
        </w:r>
        <w:r>
          <w:fldChar w:fldCharType="end"/>
        </w:r>
      </w:hyperlink>
    </w:p>
    <w:p>
      <w:pPr>
        <w:pStyle w:val="TOC2"/>
        <w:tabs>
          <w:tab w:val="right" w:leader="dot" w:pos="8306"/>
        </w:tabs>
      </w:pPr>
      <w:hyperlink w:anchor="_Toc17780" w:history="1">
        <w:r>
          <w:rPr>
            <w:rFonts w:ascii="仿宋" w:eastAsia="仿宋" w:hAnsi="仿宋" w:cs="仿宋" w:hint="eastAsia"/>
            <w:lang w:eastAsia="zh-CN"/>
          </w:rPr>
          <w:t>(二)、土建工程设计年限及安全等级</w:t>
        </w:r>
        <w:r>
          <w:tab/>
        </w:r>
        <w:r>
          <w:fldChar w:fldCharType="begin"/>
        </w:r>
        <w:r>
          <w:instrText xml:space="preserve"> PAGEREF _Toc17780 \h </w:instrText>
        </w:r>
        <w:r>
          <w:fldChar w:fldCharType="separate"/>
        </w:r>
        <w:r>
          <w:t>8</w:t>
        </w:r>
        <w:r>
          <w:fldChar w:fldCharType="end"/>
        </w:r>
      </w:hyperlink>
    </w:p>
    <w:p>
      <w:pPr>
        <w:pStyle w:val="TOC2"/>
        <w:tabs>
          <w:tab w:val="right" w:leader="dot" w:pos="8306"/>
        </w:tabs>
      </w:pPr>
      <w:hyperlink w:anchor="_Toc29026" w:history="1">
        <w:r>
          <w:rPr>
            <w:rFonts w:ascii="仿宋" w:eastAsia="仿宋" w:hAnsi="仿宋" w:cs="仿宋" w:hint="eastAsia"/>
            <w:lang w:eastAsia="zh-CN"/>
          </w:rPr>
          <w:t>(三)、建筑工程设计总体要求</w:t>
        </w:r>
        <w:r>
          <w:tab/>
        </w:r>
        <w:r>
          <w:fldChar w:fldCharType="begin"/>
        </w:r>
        <w:r>
          <w:instrText xml:space="preserve"> PAGEREF _Toc29026 \h </w:instrText>
        </w:r>
        <w:r>
          <w:fldChar w:fldCharType="separate"/>
        </w:r>
        <w:r>
          <w:t>9</w:t>
        </w:r>
        <w:r>
          <w:fldChar w:fldCharType="end"/>
        </w:r>
      </w:hyperlink>
    </w:p>
    <w:p>
      <w:pPr>
        <w:pStyle w:val="TOC2"/>
        <w:tabs>
          <w:tab w:val="right" w:leader="dot" w:pos="8306"/>
        </w:tabs>
      </w:pPr>
      <w:hyperlink w:anchor="_Toc19367" w:history="1">
        <w:r>
          <w:rPr>
            <w:rFonts w:ascii="仿宋" w:eastAsia="仿宋" w:hAnsi="仿宋" w:cs="仿宋" w:hint="eastAsia"/>
            <w:lang w:eastAsia="zh-CN"/>
          </w:rPr>
          <w:t>(四)、土建工程建设指标</w:t>
        </w:r>
        <w:r>
          <w:tab/>
        </w:r>
        <w:r>
          <w:fldChar w:fldCharType="begin"/>
        </w:r>
        <w:r>
          <w:instrText xml:space="preserve"> PAGEREF _Toc19367 \h </w:instrText>
        </w:r>
        <w:r>
          <w:fldChar w:fldCharType="separate"/>
        </w:r>
        <w:r>
          <w:t>10</w:t>
        </w:r>
        <w:r>
          <w:fldChar w:fldCharType="end"/>
        </w:r>
      </w:hyperlink>
    </w:p>
    <w:p>
      <w:pPr>
        <w:pStyle w:val="TOC1"/>
        <w:tabs>
          <w:tab w:val="right" w:leader="dot" w:pos="8306"/>
        </w:tabs>
      </w:pPr>
      <w:hyperlink w:anchor="_Toc29914" w:history="1">
        <w:r>
          <w:rPr>
            <w:rFonts w:ascii="仿宋" w:eastAsia="仿宋" w:hAnsi="仿宋" w:cs="仿宋" w:hint="eastAsia"/>
            <w:lang w:eastAsia="zh-CN"/>
          </w:rPr>
          <w:t>三、转基因抗虫树木新品种项目危机管理</w:t>
        </w:r>
        <w:r>
          <w:tab/>
        </w:r>
        <w:r>
          <w:fldChar w:fldCharType="begin"/>
        </w:r>
        <w:r>
          <w:instrText xml:space="preserve"> PAGEREF _Toc29914 \h </w:instrText>
        </w:r>
        <w:r>
          <w:fldChar w:fldCharType="separate"/>
        </w:r>
        <w:r>
          <w:t>10</w:t>
        </w:r>
        <w:r>
          <w:fldChar w:fldCharType="end"/>
        </w:r>
      </w:hyperlink>
    </w:p>
    <w:p>
      <w:pPr>
        <w:pStyle w:val="TOC2"/>
        <w:tabs>
          <w:tab w:val="right" w:leader="dot" w:pos="8306"/>
        </w:tabs>
      </w:pPr>
      <w:hyperlink w:anchor="_Toc6823" w:history="1">
        <w:r>
          <w:rPr>
            <w:rFonts w:ascii="仿宋" w:eastAsia="仿宋" w:hAnsi="仿宋" w:cs="仿宋" w:hint="eastAsia"/>
            <w:lang w:eastAsia="zh-CN"/>
          </w:rPr>
          <w:t>(一)、危机预警与识别</w:t>
        </w:r>
        <w:r>
          <w:tab/>
        </w:r>
        <w:r>
          <w:fldChar w:fldCharType="begin"/>
        </w:r>
        <w:r>
          <w:instrText xml:space="preserve"> PAGEREF _Toc6823 \h </w:instrText>
        </w:r>
        <w:r>
          <w:fldChar w:fldCharType="separate"/>
        </w:r>
        <w:r>
          <w:t>10</w:t>
        </w:r>
        <w:r>
          <w:fldChar w:fldCharType="end"/>
        </w:r>
      </w:hyperlink>
    </w:p>
    <w:p>
      <w:pPr>
        <w:pStyle w:val="TOC2"/>
        <w:tabs>
          <w:tab w:val="right" w:leader="dot" w:pos="8306"/>
        </w:tabs>
      </w:pPr>
      <w:hyperlink w:anchor="_Toc10434" w:history="1">
        <w:r>
          <w:rPr>
            <w:rFonts w:ascii="仿宋" w:eastAsia="仿宋" w:hAnsi="仿宋" w:cs="仿宋" w:hint="eastAsia"/>
            <w:lang w:eastAsia="zh-CN"/>
          </w:rPr>
          <w:t>(二)、危机应对与恢复</w:t>
        </w:r>
        <w:r>
          <w:tab/>
        </w:r>
        <w:r>
          <w:fldChar w:fldCharType="begin"/>
        </w:r>
        <w:r>
          <w:instrText xml:space="preserve"> PAGEREF _Toc10434 \h </w:instrText>
        </w:r>
        <w:r>
          <w:fldChar w:fldCharType="separate"/>
        </w:r>
        <w:r>
          <w:t>11</w:t>
        </w:r>
        <w:r>
          <w:fldChar w:fldCharType="end"/>
        </w:r>
      </w:hyperlink>
    </w:p>
    <w:p>
      <w:pPr>
        <w:pStyle w:val="TOC1"/>
        <w:tabs>
          <w:tab w:val="right" w:leader="dot" w:pos="8306"/>
        </w:tabs>
      </w:pPr>
      <w:hyperlink w:anchor="_Toc5344" w:history="1">
        <w:r>
          <w:rPr>
            <w:rFonts w:ascii="仿宋" w:eastAsia="仿宋" w:hAnsi="仿宋" w:cs="仿宋" w:hint="eastAsia"/>
            <w:lang w:eastAsia="zh-CN"/>
          </w:rPr>
          <w:t>四、转基因抗虫树木新品种项目建设单位说明</w:t>
        </w:r>
        <w:r>
          <w:tab/>
        </w:r>
        <w:r>
          <w:fldChar w:fldCharType="begin"/>
        </w:r>
        <w:r>
          <w:instrText xml:space="preserve"> PAGEREF _Toc5344 \h </w:instrText>
        </w:r>
        <w:r>
          <w:fldChar w:fldCharType="separate"/>
        </w:r>
        <w:r>
          <w:t>12</w:t>
        </w:r>
        <w:r>
          <w:fldChar w:fldCharType="end"/>
        </w:r>
      </w:hyperlink>
    </w:p>
    <w:p>
      <w:pPr>
        <w:pStyle w:val="TOC2"/>
        <w:tabs>
          <w:tab w:val="right" w:leader="dot" w:pos="8306"/>
        </w:tabs>
      </w:pPr>
      <w:hyperlink w:anchor="_Toc3690" w:history="1">
        <w:r>
          <w:rPr>
            <w:rFonts w:ascii="仿宋" w:eastAsia="仿宋" w:hAnsi="仿宋" w:cs="仿宋" w:hint="eastAsia"/>
            <w:lang w:eastAsia="zh-CN"/>
          </w:rPr>
          <w:t>(一)、转基因抗虫树木新品种项目承办单位基本情况</w:t>
        </w:r>
        <w:r>
          <w:tab/>
        </w:r>
        <w:r>
          <w:fldChar w:fldCharType="begin"/>
        </w:r>
        <w:r>
          <w:instrText xml:space="preserve"> PAGEREF _Toc3690 \h </w:instrText>
        </w:r>
        <w:r>
          <w:fldChar w:fldCharType="separate"/>
        </w:r>
        <w:r>
          <w:t>12</w:t>
        </w:r>
        <w:r>
          <w:fldChar w:fldCharType="end"/>
        </w:r>
      </w:hyperlink>
    </w:p>
    <w:p>
      <w:pPr>
        <w:pStyle w:val="TOC2"/>
        <w:tabs>
          <w:tab w:val="right" w:leader="dot" w:pos="8306"/>
        </w:tabs>
      </w:pPr>
      <w:hyperlink w:anchor="_Toc9358" w:history="1">
        <w:r>
          <w:rPr>
            <w:rFonts w:ascii="仿宋" w:eastAsia="仿宋" w:hAnsi="仿宋" w:cs="仿宋" w:hint="eastAsia"/>
            <w:lang w:eastAsia="zh-CN"/>
          </w:rPr>
          <w:t>(二)、公司经济效益分析</w:t>
        </w:r>
        <w:r>
          <w:tab/>
        </w:r>
        <w:r>
          <w:fldChar w:fldCharType="begin"/>
        </w:r>
        <w:r>
          <w:instrText xml:space="preserve"> PAGEREF _Toc9358 \h </w:instrText>
        </w:r>
        <w:r>
          <w:fldChar w:fldCharType="separate"/>
        </w:r>
        <w:r>
          <w:t>13</w:t>
        </w:r>
        <w:r>
          <w:fldChar w:fldCharType="end"/>
        </w:r>
      </w:hyperlink>
    </w:p>
    <w:p>
      <w:pPr>
        <w:pStyle w:val="TOC1"/>
        <w:tabs>
          <w:tab w:val="right" w:leader="dot" w:pos="8306"/>
        </w:tabs>
      </w:pPr>
      <w:hyperlink w:anchor="_Toc25736" w:history="1">
        <w:r>
          <w:rPr>
            <w:rFonts w:ascii="仿宋" w:eastAsia="仿宋" w:hAnsi="仿宋" w:cs="仿宋" w:hint="eastAsia"/>
            <w:lang w:eastAsia="zh-CN"/>
          </w:rPr>
          <w:t>五、转基因抗虫树木新品种项目绩效评估</w:t>
        </w:r>
        <w:r>
          <w:tab/>
        </w:r>
        <w:r>
          <w:fldChar w:fldCharType="begin"/>
        </w:r>
        <w:r>
          <w:instrText xml:space="preserve"> PAGEREF _Toc25736 \h </w:instrText>
        </w:r>
        <w:r>
          <w:fldChar w:fldCharType="separate"/>
        </w:r>
        <w:r>
          <w:t>14</w:t>
        </w:r>
        <w:r>
          <w:fldChar w:fldCharType="end"/>
        </w:r>
      </w:hyperlink>
    </w:p>
    <w:p>
      <w:pPr>
        <w:pStyle w:val="TOC2"/>
        <w:tabs>
          <w:tab w:val="right" w:leader="dot" w:pos="8306"/>
        </w:tabs>
      </w:pPr>
      <w:hyperlink w:anchor="_Toc15702" w:history="1">
        <w:r>
          <w:rPr>
            <w:rFonts w:ascii="仿宋" w:eastAsia="仿宋" w:hAnsi="仿宋" w:cs="仿宋" w:hint="eastAsia"/>
            <w:lang w:eastAsia="zh-CN"/>
          </w:rPr>
          <w:t>(一)、绩效评估指标</w:t>
        </w:r>
        <w:r>
          <w:tab/>
        </w:r>
        <w:r>
          <w:fldChar w:fldCharType="begin"/>
        </w:r>
        <w:r>
          <w:instrText xml:space="preserve"> PAGEREF _Toc15702 \h </w:instrText>
        </w:r>
        <w:r>
          <w:fldChar w:fldCharType="separate"/>
        </w:r>
        <w:r>
          <w:t>14</w:t>
        </w:r>
        <w:r>
          <w:fldChar w:fldCharType="end"/>
        </w:r>
      </w:hyperlink>
    </w:p>
    <w:p>
      <w:pPr>
        <w:pStyle w:val="TOC2"/>
        <w:tabs>
          <w:tab w:val="right" w:leader="dot" w:pos="8306"/>
        </w:tabs>
      </w:pPr>
      <w:hyperlink w:anchor="_Toc18669" w:history="1">
        <w:r>
          <w:rPr>
            <w:rFonts w:ascii="仿宋" w:eastAsia="仿宋" w:hAnsi="仿宋" w:cs="仿宋" w:hint="eastAsia"/>
            <w:lang w:eastAsia="zh-CN"/>
          </w:rPr>
          <w:t>(二)、绩效评估方法</w:t>
        </w:r>
        <w:r>
          <w:tab/>
        </w:r>
        <w:r>
          <w:fldChar w:fldCharType="begin"/>
        </w:r>
        <w:r>
          <w:instrText xml:space="preserve"> PAGEREF _Toc18669 \h </w:instrText>
        </w:r>
        <w:r>
          <w:fldChar w:fldCharType="separate"/>
        </w:r>
        <w:r>
          <w:t>15</w:t>
        </w:r>
        <w:r>
          <w:fldChar w:fldCharType="end"/>
        </w:r>
      </w:hyperlink>
    </w:p>
    <w:p>
      <w:pPr>
        <w:pStyle w:val="TOC2"/>
        <w:tabs>
          <w:tab w:val="right" w:leader="dot" w:pos="8306"/>
        </w:tabs>
      </w:pPr>
      <w:hyperlink w:anchor="_Toc916" w:history="1">
        <w:r>
          <w:rPr>
            <w:rFonts w:ascii="仿宋" w:eastAsia="仿宋" w:hAnsi="仿宋" w:cs="仿宋" w:hint="eastAsia"/>
            <w:lang w:eastAsia="zh-CN"/>
          </w:rPr>
          <w:t>(三)、绩效评估周期</w:t>
        </w:r>
        <w:r>
          <w:tab/>
        </w:r>
        <w:r>
          <w:fldChar w:fldCharType="begin"/>
        </w:r>
        <w:r>
          <w:instrText xml:space="preserve"> PAGEREF _Toc916 \h </w:instrText>
        </w:r>
        <w:r>
          <w:fldChar w:fldCharType="separate"/>
        </w:r>
        <w:r>
          <w:t>16</w:t>
        </w:r>
        <w:r>
          <w:fldChar w:fldCharType="end"/>
        </w:r>
      </w:hyperlink>
    </w:p>
    <w:p>
      <w:pPr>
        <w:pStyle w:val="TOC1"/>
        <w:tabs>
          <w:tab w:val="right" w:leader="dot" w:pos="8306"/>
        </w:tabs>
      </w:pPr>
      <w:hyperlink w:anchor="_Toc7433" w:history="1">
        <w:r>
          <w:rPr>
            <w:rFonts w:ascii="仿宋" w:eastAsia="仿宋" w:hAnsi="仿宋" w:cs="仿宋" w:hint="eastAsia"/>
            <w:lang w:eastAsia="zh-CN"/>
          </w:rPr>
          <w:t>六、转基因抗虫树木新品种项目建设背景及必要性分析</w:t>
        </w:r>
        <w:r>
          <w:tab/>
        </w:r>
        <w:r>
          <w:fldChar w:fldCharType="begin"/>
        </w:r>
        <w:r>
          <w:instrText xml:space="preserve"> PAGEREF _Toc7433 \h </w:instrText>
        </w:r>
        <w:r>
          <w:fldChar w:fldCharType="separate"/>
        </w:r>
        <w:r>
          <w:t>18</w:t>
        </w:r>
        <w:r>
          <w:fldChar w:fldCharType="end"/>
        </w:r>
      </w:hyperlink>
    </w:p>
    <w:p>
      <w:pPr>
        <w:pStyle w:val="TOC2"/>
        <w:tabs>
          <w:tab w:val="right" w:leader="dot" w:pos="8306"/>
        </w:tabs>
      </w:pPr>
      <w:hyperlink w:anchor="_Toc3932" w:history="1">
        <w:r>
          <w:rPr>
            <w:rFonts w:ascii="仿宋" w:eastAsia="仿宋" w:hAnsi="仿宋" w:cs="仿宋" w:hint="eastAsia"/>
            <w:lang w:eastAsia="zh-CN"/>
          </w:rPr>
          <w:t>(一)、转基因抗虫树木新品种项目背景分析</w:t>
        </w:r>
        <w:r>
          <w:tab/>
        </w:r>
        <w:r>
          <w:fldChar w:fldCharType="begin"/>
        </w:r>
        <w:r>
          <w:instrText xml:space="preserve"> PAGEREF _Toc3932 \h </w:instrText>
        </w:r>
        <w:r>
          <w:fldChar w:fldCharType="separate"/>
        </w:r>
        <w:r>
          <w:t>18</w:t>
        </w:r>
        <w:r>
          <w:fldChar w:fldCharType="end"/>
        </w:r>
      </w:hyperlink>
    </w:p>
    <w:p>
      <w:pPr>
        <w:pStyle w:val="TOC2"/>
        <w:tabs>
          <w:tab w:val="right" w:leader="dot" w:pos="8306"/>
        </w:tabs>
      </w:pPr>
      <w:hyperlink w:anchor="_Toc27517" w:history="1">
        <w:r>
          <w:rPr>
            <w:rFonts w:ascii="仿宋" w:eastAsia="仿宋" w:hAnsi="仿宋" w:cs="仿宋" w:hint="eastAsia"/>
            <w:lang w:eastAsia="zh-CN"/>
          </w:rPr>
          <w:t>(二)、转基因抗虫树木新品种项目建设必要性分析</w:t>
        </w:r>
        <w:r>
          <w:tab/>
        </w:r>
        <w:r>
          <w:fldChar w:fldCharType="begin"/>
        </w:r>
        <w:r>
          <w:instrText xml:space="preserve"> PAGEREF _Toc27517 \h </w:instrText>
        </w:r>
        <w:r>
          <w:fldChar w:fldCharType="separate"/>
        </w:r>
        <w:r>
          <w:t>19</w:t>
        </w:r>
        <w:r>
          <w:fldChar w:fldCharType="end"/>
        </w:r>
      </w:hyperlink>
    </w:p>
    <w:p>
      <w:pPr>
        <w:pStyle w:val="TOC1"/>
        <w:tabs>
          <w:tab w:val="right" w:leader="dot" w:pos="8306"/>
        </w:tabs>
      </w:pPr>
      <w:hyperlink w:anchor="_Toc12348" w:history="1">
        <w:r>
          <w:rPr>
            <w:rFonts w:ascii="仿宋" w:eastAsia="仿宋" w:hAnsi="仿宋" w:cs="仿宋" w:hint="eastAsia"/>
            <w:lang w:eastAsia="zh-CN"/>
          </w:rPr>
          <w:t>七、生产安全保护</w:t>
        </w:r>
        <w:r>
          <w:tab/>
        </w:r>
        <w:r>
          <w:fldChar w:fldCharType="begin"/>
        </w:r>
        <w:r>
          <w:instrText xml:space="preserve"> PAGEREF _Toc12348 \h </w:instrText>
        </w:r>
        <w:r>
          <w:fldChar w:fldCharType="separate"/>
        </w:r>
        <w:r>
          <w:t>21</w:t>
        </w:r>
        <w:r>
          <w:fldChar w:fldCharType="end"/>
        </w:r>
      </w:hyperlink>
    </w:p>
    <w:p>
      <w:pPr>
        <w:pStyle w:val="TOC2"/>
        <w:tabs>
          <w:tab w:val="right" w:leader="dot" w:pos="8306"/>
        </w:tabs>
      </w:pPr>
      <w:hyperlink w:anchor="_Toc16200" w:history="1">
        <w:r>
          <w:rPr>
            <w:rFonts w:ascii="仿宋" w:eastAsia="仿宋" w:hAnsi="仿宋" w:cs="仿宋" w:hint="eastAsia"/>
            <w:lang w:eastAsia="zh-CN"/>
          </w:rPr>
          <w:t>(一)、消防安全</w:t>
        </w:r>
        <w:r>
          <w:tab/>
        </w:r>
        <w:r>
          <w:fldChar w:fldCharType="begin"/>
        </w:r>
        <w:r>
          <w:instrText xml:space="preserve"> PAGEREF _Toc16200 \h </w:instrText>
        </w:r>
        <w:r>
          <w:fldChar w:fldCharType="separate"/>
        </w:r>
        <w:r>
          <w:t>21</w:t>
        </w:r>
        <w:r>
          <w:fldChar w:fldCharType="end"/>
        </w:r>
      </w:hyperlink>
    </w:p>
    <w:p>
      <w:pPr>
        <w:pStyle w:val="TOC2"/>
        <w:tabs>
          <w:tab w:val="right" w:leader="dot" w:pos="8306"/>
        </w:tabs>
      </w:pPr>
      <w:hyperlink w:anchor="_Toc58" w:history="1">
        <w:r>
          <w:rPr>
            <w:rFonts w:ascii="仿宋" w:eastAsia="仿宋" w:hAnsi="仿宋" w:cs="仿宋" w:hint="eastAsia"/>
            <w:lang w:eastAsia="zh-CN"/>
          </w:rPr>
          <w:t>(二)、防火防爆总图布置措施</w:t>
        </w:r>
        <w:r>
          <w:tab/>
        </w:r>
        <w:r>
          <w:fldChar w:fldCharType="begin"/>
        </w:r>
        <w:r>
          <w:instrText xml:space="preserve"> PAGEREF _Toc58 \h </w:instrText>
        </w:r>
        <w:r>
          <w:fldChar w:fldCharType="separate"/>
        </w:r>
        <w:r>
          <w:t>23</w:t>
        </w:r>
        <w:r>
          <w:fldChar w:fldCharType="end"/>
        </w:r>
      </w:hyperlink>
    </w:p>
    <w:p>
      <w:pPr>
        <w:pStyle w:val="TOC2"/>
        <w:tabs>
          <w:tab w:val="right" w:leader="dot" w:pos="8306"/>
        </w:tabs>
      </w:pPr>
      <w:hyperlink w:anchor="_Toc8532" w:history="1">
        <w:r>
          <w:rPr>
            <w:rFonts w:ascii="仿宋" w:eastAsia="仿宋" w:hAnsi="仿宋" w:cs="仿宋" w:hint="eastAsia"/>
            <w:lang w:eastAsia="zh-CN"/>
          </w:rPr>
          <w:t>(三)、自然灾害防范措施</w:t>
        </w:r>
        <w:r>
          <w:tab/>
        </w:r>
        <w:r>
          <w:fldChar w:fldCharType="begin"/>
        </w:r>
        <w:r>
          <w:instrText xml:space="preserve"> PAGEREF _Toc8532 \h </w:instrText>
        </w:r>
        <w:r>
          <w:fldChar w:fldCharType="separate"/>
        </w:r>
        <w:r>
          <w:t>23</w:t>
        </w:r>
        <w:r>
          <w:fldChar w:fldCharType="end"/>
        </w:r>
      </w:hyperlink>
    </w:p>
    <w:p>
      <w:pPr>
        <w:pStyle w:val="TOC2"/>
        <w:tabs>
          <w:tab w:val="right" w:leader="dot" w:pos="8306"/>
        </w:tabs>
      </w:pPr>
      <w:hyperlink w:anchor="_Toc18346" w:history="1">
        <w:r>
          <w:rPr>
            <w:rFonts w:ascii="仿宋" w:eastAsia="仿宋" w:hAnsi="仿宋" w:cs="仿宋" w:hint="eastAsia"/>
            <w:lang w:eastAsia="zh-CN"/>
          </w:rPr>
          <w:t>(四)、安全色及安全标志使用要求</w:t>
        </w:r>
        <w:r>
          <w:tab/>
        </w:r>
        <w:r>
          <w:fldChar w:fldCharType="begin"/>
        </w:r>
        <w:r>
          <w:instrText xml:space="preserve"> PAGEREF _Toc18346 \h </w:instrText>
        </w:r>
        <w:r>
          <w:fldChar w:fldCharType="separate"/>
        </w:r>
        <w:r>
          <w:t>25</w:t>
        </w:r>
        <w:r>
          <w:fldChar w:fldCharType="end"/>
        </w:r>
      </w:hyperlink>
    </w:p>
    <w:p>
      <w:pPr>
        <w:pStyle w:val="TOC2"/>
        <w:tabs>
          <w:tab w:val="right" w:leader="dot" w:pos="8306"/>
        </w:tabs>
      </w:pPr>
      <w:hyperlink w:anchor="_Toc22378" w:history="1">
        <w:r>
          <w:rPr>
            <w:rFonts w:ascii="仿宋" w:eastAsia="仿宋" w:hAnsi="仿宋" w:cs="仿宋" w:hint="eastAsia"/>
            <w:lang w:eastAsia="zh-CN"/>
          </w:rPr>
          <w:t>(五)、防尘防毒措施</w:t>
        </w:r>
        <w:r>
          <w:tab/>
        </w:r>
        <w:r>
          <w:fldChar w:fldCharType="begin"/>
        </w:r>
        <w:r>
          <w:instrText xml:space="preserve"> PAGEREF _Toc22378 \h </w:instrText>
        </w:r>
        <w:r>
          <w:fldChar w:fldCharType="separate"/>
        </w:r>
        <w:r>
          <w:t>26</w:t>
        </w:r>
        <w:r>
          <w:fldChar w:fldCharType="end"/>
        </w:r>
      </w:hyperlink>
    </w:p>
    <w:p>
      <w:pPr>
        <w:pStyle w:val="TOC2"/>
        <w:tabs>
          <w:tab w:val="right" w:leader="dot" w:pos="8306"/>
        </w:tabs>
      </w:pPr>
      <w:hyperlink w:anchor="_Toc208" w:history="1">
        <w:r>
          <w:rPr>
            <w:rFonts w:ascii="仿宋" w:eastAsia="仿宋" w:hAnsi="仿宋" w:cs="仿宋" w:hint="eastAsia"/>
            <w:lang w:eastAsia="zh-CN"/>
          </w:rPr>
          <w:t>(六)、防静电、触电防护及防雷措施</w:t>
        </w:r>
        <w:r>
          <w:tab/>
        </w:r>
        <w:r>
          <w:fldChar w:fldCharType="begin"/>
        </w:r>
        <w:r>
          <w:instrText xml:space="preserve"> PAGEREF _Toc208 \h </w:instrText>
        </w:r>
        <w:r>
          <w:fldChar w:fldCharType="separate"/>
        </w:r>
        <w:r>
          <w:t>27</w:t>
        </w:r>
        <w:r>
          <w:fldChar w:fldCharType="end"/>
        </w:r>
      </w:hyperlink>
    </w:p>
    <w:p>
      <w:pPr>
        <w:pStyle w:val="TOC2"/>
        <w:tabs>
          <w:tab w:val="right" w:leader="dot" w:pos="8306"/>
        </w:tabs>
      </w:pPr>
      <w:hyperlink w:anchor="_Toc6110" w:history="1">
        <w:r>
          <w:rPr>
            <w:rFonts w:ascii="仿宋" w:eastAsia="仿宋" w:hAnsi="仿宋" w:cs="仿宋" w:hint="eastAsia"/>
            <w:lang w:eastAsia="zh-CN"/>
          </w:rPr>
          <w:t>(七)、机械设备安全保障措施</w:t>
        </w:r>
        <w:r>
          <w:tab/>
        </w:r>
        <w:r>
          <w:fldChar w:fldCharType="begin"/>
        </w:r>
        <w:r>
          <w:instrText xml:space="preserve"> PAGEREF _Toc6110 \h </w:instrText>
        </w:r>
        <w:r>
          <w:fldChar w:fldCharType="separate"/>
        </w:r>
        <w:r>
          <w:t>28</w:t>
        </w:r>
        <w:r>
          <w:fldChar w:fldCharType="end"/>
        </w:r>
      </w:hyperlink>
    </w:p>
    <w:p>
      <w:pPr>
        <w:pStyle w:val="TOC1"/>
        <w:tabs>
          <w:tab w:val="right" w:leader="dot" w:pos="8306"/>
        </w:tabs>
      </w:pPr>
      <w:hyperlink w:anchor="_Toc357" w:history="1">
        <w:r>
          <w:rPr>
            <w:rFonts w:ascii="仿宋" w:eastAsia="仿宋" w:hAnsi="仿宋" w:cs="仿宋" w:hint="eastAsia"/>
            <w:lang w:eastAsia="zh-CN"/>
          </w:rPr>
          <w:t>八、转基因抗虫树木新品种项目投资规划</w:t>
        </w:r>
        <w:r>
          <w:tab/>
        </w:r>
        <w:r>
          <w:fldChar w:fldCharType="begin"/>
        </w:r>
        <w:r>
          <w:instrText xml:space="preserve"> PAGEREF _Toc357 \h </w:instrText>
        </w:r>
        <w:r>
          <w:fldChar w:fldCharType="separate"/>
        </w:r>
        <w:r>
          <w:t>30</w:t>
        </w:r>
        <w:r>
          <w:fldChar w:fldCharType="end"/>
        </w:r>
      </w:hyperlink>
    </w:p>
    <w:p>
      <w:pPr>
        <w:pStyle w:val="TOC2"/>
        <w:tabs>
          <w:tab w:val="right" w:leader="dot" w:pos="8306"/>
        </w:tabs>
      </w:pPr>
      <w:hyperlink w:anchor="_Toc16234" w:history="1">
        <w:r>
          <w:rPr>
            <w:rFonts w:ascii="仿宋" w:eastAsia="仿宋" w:hAnsi="仿宋" w:cs="仿宋" w:hint="eastAsia"/>
            <w:lang w:eastAsia="zh-CN"/>
          </w:rPr>
          <w:t>(一)、转基因抗虫树木新品种项目总投资估算</w:t>
        </w:r>
        <w:r>
          <w:tab/>
        </w:r>
        <w:r>
          <w:fldChar w:fldCharType="begin"/>
        </w:r>
        <w:r>
          <w:instrText xml:space="preserve"> PAGEREF _Toc16234 \h </w:instrText>
        </w:r>
        <w:r>
          <w:fldChar w:fldCharType="separate"/>
        </w:r>
        <w:r>
          <w:t>30</w:t>
        </w:r>
        <w:r>
          <w:fldChar w:fldCharType="end"/>
        </w:r>
      </w:hyperlink>
    </w:p>
    <w:p>
      <w:pPr>
        <w:pStyle w:val="TOC2"/>
        <w:tabs>
          <w:tab w:val="right" w:leader="dot" w:pos="8306"/>
        </w:tabs>
      </w:pPr>
      <w:hyperlink w:anchor="_Toc16764" w:history="1">
        <w:r>
          <w:rPr>
            <w:rFonts w:ascii="仿宋" w:eastAsia="仿宋" w:hAnsi="仿宋" w:cs="仿宋" w:hint="eastAsia"/>
            <w:lang w:eastAsia="zh-CN"/>
          </w:rPr>
          <w:t>(二)、资金筹措</w:t>
        </w:r>
        <w:r>
          <w:tab/>
        </w:r>
        <w:r>
          <w:fldChar w:fldCharType="begin"/>
        </w:r>
        <w:r>
          <w:instrText xml:space="preserve"> PAGEREF _Toc16764 \h </w:instrText>
        </w:r>
        <w:r>
          <w:fldChar w:fldCharType="separate"/>
        </w:r>
        <w:r>
          <w:t>31</w:t>
        </w:r>
        <w:r>
          <w:fldChar w:fldCharType="end"/>
        </w:r>
      </w:hyperlink>
    </w:p>
    <w:p>
      <w:pPr>
        <w:pStyle w:val="TOC1"/>
        <w:tabs>
          <w:tab w:val="right" w:leader="dot" w:pos="8306"/>
        </w:tabs>
      </w:pPr>
      <w:hyperlink w:anchor="_Toc17170" w:history="1">
        <w:r>
          <w:rPr>
            <w:rFonts w:ascii="仿宋" w:eastAsia="仿宋" w:hAnsi="仿宋" w:cs="仿宋" w:hint="eastAsia"/>
            <w:lang w:eastAsia="zh-CN"/>
          </w:rPr>
          <w:t>九、转基因抗虫树木新品种项目经营效益</w:t>
        </w:r>
        <w:r>
          <w:tab/>
        </w:r>
        <w:r>
          <w:fldChar w:fldCharType="begin"/>
        </w:r>
        <w:r>
          <w:instrText xml:space="preserve"> PAGEREF _Toc17170 \h </w:instrText>
        </w:r>
        <w:r>
          <w:fldChar w:fldCharType="separate"/>
        </w:r>
        <w:r>
          <w:t>32</w:t>
        </w:r>
        <w:r>
          <w:fldChar w:fldCharType="end"/>
        </w:r>
      </w:hyperlink>
    </w:p>
    <w:p>
      <w:pPr>
        <w:pStyle w:val="TOC2"/>
        <w:tabs>
          <w:tab w:val="right" w:leader="dot" w:pos="8306"/>
        </w:tabs>
      </w:pPr>
      <w:hyperlink w:anchor="_Toc12891" w:history="1">
        <w:r>
          <w:rPr>
            <w:rFonts w:ascii="仿宋" w:eastAsia="仿宋" w:hAnsi="仿宋" w:cs="仿宋" w:hint="eastAsia"/>
            <w:lang w:eastAsia="zh-CN"/>
          </w:rPr>
          <w:t>(一)、经济评价财务测算</w:t>
        </w:r>
        <w:r>
          <w:tab/>
        </w:r>
        <w:r>
          <w:fldChar w:fldCharType="begin"/>
        </w:r>
        <w:r>
          <w:instrText xml:space="preserve"> PAGEREF _Toc12891 \h </w:instrText>
        </w:r>
        <w:r>
          <w:fldChar w:fldCharType="separate"/>
        </w:r>
        <w:r>
          <w:t>32</w:t>
        </w:r>
        <w:r>
          <w:fldChar w:fldCharType="end"/>
        </w:r>
      </w:hyperlink>
    </w:p>
    <w:p>
      <w:pPr>
        <w:pStyle w:val="TOC2"/>
        <w:tabs>
          <w:tab w:val="right" w:leader="dot" w:pos="8306"/>
        </w:tabs>
      </w:pPr>
      <w:hyperlink w:anchor="_Toc9742" w:history="1">
        <w:r>
          <w:rPr>
            <w:rFonts w:ascii="仿宋" w:eastAsia="仿宋" w:hAnsi="仿宋" w:cs="仿宋" w:hint="eastAsia"/>
            <w:lang w:eastAsia="zh-CN"/>
          </w:rPr>
          <w:t>(二)、转基因抗虫树木新品种项目盈利能力分析</w:t>
        </w:r>
        <w:r>
          <w:tab/>
        </w:r>
        <w:r>
          <w:fldChar w:fldCharType="begin"/>
        </w:r>
        <w:r>
          <w:instrText xml:space="preserve"> PAGEREF _Toc9742 \h </w:instrText>
        </w:r>
        <w:r>
          <w:fldChar w:fldCharType="separate"/>
        </w:r>
        <w:r>
          <w:t>33</w:t>
        </w:r>
        <w:r>
          <w:fldChar w:fldCharType="end"/>
        </w:r>
      </w:hyperlink>
    </w:p>
    <w:p>
      <w:pPr>
        <w:pStyle w:val="TOC1"/>
        <w:tabs>
          <w:tab w:val="right" w:leader="dot" w:pos="8306"/>
        </w:tabs>
      </w:pPr>
      <w:hyperlink w:anchor="_Toc27966" w:history="1">
        <w:r>
          <w:rPr>
            <w:rFonts w:ascii="仿宋" w:eastAsia="仿宋" w:hAnsi="仿宋" w:cs="仿宋" w:hint="eastAsia"/>
            <w:lang w:eastAsia="zh-CN"/>
          </w:rPr>
          <w:t>十、转基因抗虫树木新品种项目人力资源管理</w:t>
        </w:r>
        <w:r>
          <w:tab/>
        </w:r>
        <w:r>
          <w:fldChar w:fldCharType="begin"/>
        </w:r>
        <w:r>
          <w:instrText xml:space="preserve"> PAGEREF _Toc27966 \h </w:instrText>
        </w:r>
        <w:r>
          <w:fldChar w:fldCharType="separate"/>
        </w:r>
        <w:r>
          <w:t>34</w:t>
        </w:r>
        <w:r>
          <w:fldChar w:fldCharType="end"/>
        </w:r>
      </w:hyperlink>
    </w:p>
    <w:p>
      <w:pPr>
        <w:pStyle w:val="TOC2"/>
        <w:tabs>
          <w:tab w:val="right" w:leader="dot" w:pos="8306"/>
        </w:tabs>
      </w:pPr>
      <w:hyperlink w:anchor="_Toc15363" w:history="1">
        <w:r>
          <w:rPr>
            <w:rFonts w:ascii="仿宋" w:eastAsia="仿宋" w:hAnsi="仿宋" w:cs="仿宋" w:hint="eastAsia"/>
            <w:lang w:eastAsia="zh-CN"/>
          </w:rPr>
          <w:t>(一)、建立健全的预算管理制度</w:t>
        </w:r>
        <w:r>
          <w:tab/>
        </w:r>
        <w:r>
          <w:fldChar w:fldCharType="begin"/>
        </w:r>
        <w:r>
          <w:instrText xml:space="preserve"> PAGEREF _Toc15363 \h </w:instrText>
        </w:r>
        <w:r>
          <w:fldChar w:fldCharType="separate"/>
        </w:r>
        <w:r>
          <w:t>34</w:t>
        </w:r>
        <w:r>
          <w:fldChar w:fldCharType="end"/>
        </w:r>
      </w:hyperlink>
    </w:p>
    <w:p>
      <w:pPr>
        <w:pStyle w:val="TOC2"/>
        <w:tabs>
          <w:tab w:val="right" w:leader="dot" w:pos="8306"/>
        </w:tabs>
      </w:pPr>
      <w:hyperlink w:anchor="_Toc294" w:history="1">
        <w:r>
          <w:rPr>
            <w:rFonts w:ascii="仿宋" w:eastAsia="仿宋" w:hAnsi="仿宋" w:cs="仿宋" w:hint="eastAsia"/>
            <w:lang w:eastAsia="zh-CN"/>
          </w:rPr>
          <w:t>(二)、加强资金流动监控</w:t>
        </w:r>
        <w:r>
          <w:tab/>
        </w:r>
        <w:r>
          <w:fldChar w:fldCharType="begin"/>
        </w:r>
        <w:r>
          <w:instrText xml:space="preserve"> PAGEREF _Toc294 \h </w:instrText>
        </w:r>
        <w:r>
          <w:fldChar w:fldCharType="separate"/>
        </w:r>
        <w:r>
          <w:t>36</w:t>
        </w:r>
        <w:r>
          <w:fldChar w:fldCharType="end"/>
        </w:r>
      </w:hyperlink>
    </w:p>
    <w:p>
      <w:pPr>
        <w:pStyle w:val="TOC2"/>
        <w:tabs>
          <w:tab w:val="right" w:leader="dot" w:pos="8306"/>
        </w:tabs>
      </w:pPr>
      <w:hyperlink w:anchor="_Toc538" w:history="1">
        <w:r>
          <w:rPr>
            <w:rFonts w:ascii="仿宋" w:eastAsia="仿宋" w:hAnsi="仿宋" w:cs="仿宋" w:hint="eastAsia"/>
            <w:lang w:eastAsia="zh-CN"/>
          </w:rPr>
          <w:t>(三)、制定完善的风险控制机制</w:t>
        </w:r>
        <w:r>
          <w:tab/>
        </w:r>
        <w:r>
          <w:fldChar w:fldCharType="begin"/>
        </w:r>
        <w:r>
          <w:instrText xml:space="preserve"> PAGEREF _Toc538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18" w:history="1">
        <w:r>
          <w:rPr>
            <w:rFonts w:ascii="仿宋" w:eastAsia="仿宋" w:hAnsi="仿宋" w:cs="仿宋" w:hint="eastAsia"/>
            <w:lang w:eastAsia="zh-CN"/>
          </w:rPr>
          <w:t>(四)、优化成本管理</w:t>
        </w:r>
        <w:r>
          <w:tab/>
        </w:r>
        <w:r>
          <w:fldChar w:fldCharType="begin"/>
        </w:r>
        <w:r>
          <w:instrText xml:space="preserve"> PAGEREF _Toc8218 \h </w:instrText>
        </w:r>
        <w:r>
          <w:fldChar w:fldCharType="separate"/>
        </w:r>
        <w:r>
          <w:t>39</w:t>
        </w:r>
        <w:r>
          <w:fldChar w:fldCharType="end"/>
        </w:r>
      </w:hyperlink>
    </w:p>
    <w:p>
      <w:pPr>
        <w:pStyle w:val="TOC1"/>
        <w:tabs>
          <w:tab w:val="right" w:leader="dot" w:pos="8306"/>
        </w:tabs>
      </w:pPr>
      <w:hyperlink w:anchor="_Toc28082" w:history="1">
        <w:r>
          <w:rPr>
            <w:rFonts w:ascii="仿宋" w:eastAsia="仿宋" w:hAnsi="仿宋" w:cs="仿宋" w:hint="eastAsia"/>
            <w:lang w:eastAsia="zh-CN"/>
          </w:rPr>
          <w:t>十一、转基因抗虫树木新品种项目社会影响</w:t>
        </w:r>
        <w:r>
          <w:tab/>
        </w:r>
        <w:r>
          <w:fldChar w:fldCharType="begin"/>
        </w:r>
        <w:r>
          <w:instrText xml:space="preserve"> PAGEREF _Toc28082 \h </w:instrText>
        </w:r>
        <w:r>
          <w:fldChar w:fldCharType="separate"/>
        </w:r>
        <w:r>
          <w:t>40</w:t>
        </w:r>
        <w:r>
          <w:fldChar w:fldCharType="end"/>
        </w:r>
      </w:hyperlink>
    </w:p>
    <w:p>
      <w:pPr>
        <w:pStyle w:val="TOC2"/>
        <w:tabs>
          <w:tab w:val="right" w:leader="dot" w:pos="8306"/>
        </w:tabs>
      </w:pPr>
      <w:hyperlink w:anchor="_Toc12173" w:history="1">
        <w:r>
          <w:rPr>
            <w:rFonts w:ascii="仿宋" w:eastAsia="仿宋" w:hAnsi="仿宋" w:cs="仿宋" w:hint="eastAsia"/>
            <w:lang w:eastAsia="zh-CN"/>
          </w:rPr>
          <w:t>(一)、社会责任与义务</w:t>
        </w:r>
        <w:r>
          <w:tab/>
        </w:r>
        <w:r>
          <w:fldChar w:fldCharType="begin"/>
        </w:r>
        <w:r>
          <w:instrText xml:space="preserve"> PAGEREF _Toc12173 \h </w:instrText>
        </w:r>
        <w:r>
          <w:fldChar w:fldCharType="separate"/>
        </w:r>
        <w:r>
          <w:t>40</w:t>
        </w:r>
        <w:r>
          <w:fldChar w:fldCharType="end"/>
        </w:r>
      </w:hyperlink>
    </w:p>
    <w:p>
      <w:pPr>
        <w:pStyle w:val="TOC2"/>
        <w:tabs>
          <w:tab w:val="right" w:leader="dot" w:pos="8306"/>
        </w:tabs>
      </w:pPr>
      <w:hyperlink w:anchor="_Toc17859" w:history="1">
        <w:r>
          <w:rPr>
            <w:rFonts w:ascii="仿宋" w:eastAsia="仿宋" w:hAnsi="仿宋" w:cs="仿宋" w:hint="eastAsia"/>
            <w:lang w:eastAsia="zh-CN"/>
          </w:rPr>
          <w:t>(二)、社会参与与沟通</w:t>
        </w:r>
        <w:r>
          <w:tab/>
        </w:r>
        <w:r>
          <w:fldChar w:fldCharType="begin"/>
        </w:r>
        <w:r>
          <w:instrText xml:space="preserve"> PAGEREF _Toc17859 \h </w:instrText>
        </w:r>
        <w:r>
          <w:fldChar w:fldCharType="separate"/>
        </w:r>
        <w:r>
          <w:t>41</w:t>
        </w:r>
        <w:r>
          <w:fldChar w:fldCharType="end"/>
        </w:r>
      </w:hyperlink>
    </w:p>
    <w:p>
      <w:pPr>
        <w:pStyle w:val="TOC1"/>
        <w:tabs>
          <w:tab w:val="right" w:leader="dot" w:pos="8306"/>
        </w:tabs>
      </w:pPr>
      <w:hyperlink w:anchor="_Toc7358" w:history="1">
        <w:r>
          <w:rPr>
            <w:rFonts w:ascii="仿宋" w:eastAsia="仿宋" w:hAnsi="仿宋" w:cs="仿宋" w:hint="eastAsia"/>
            <w:lang w:eastAsia="zh-CN"/>
          </w:rPr>
          <w:t>十二、转基因抗虫树木新品种项目创新与研发</w:t>
        </w:r>
        <w:r>
          <w:tab/>
        </w:r>
        <w:r>
          <w:fldChar w:fldCharType="begin"/>
        </w:r>
        <w:r>
          <w:instrText xml:space="preserve"> PAGEREF _Toc7358 \h </w:instrText>
        </w:r>
        <w:r>
          <w:fldChar w:fldCharType="separate"/>
        </w:r>
        <w:r>
          <w:t>42</w:t>
        </w:r>
        <w:r>
          <w:fldChar w:fldCharType="end"/>
        </w:r>
      </w:hyperlink>
    </w:p>
    <w:p>
      <w:pPr>
        <w:pStyle w:val="TOC2"/>
        <w:tabs>
          <w:tab w:val="right" w:leader="dot" w:pos="8306"/>
        </w:tabs>
      </w:pPr>
      <w:hyperlink w:anchor="_Toc1063" w:history="1">
        <w:r>
          <w:rPr>
            <w:rFonts w:ascii="仿宋" w:eastAsia="仿宋" w:hAnsi="仿宋" w:cs="仿宋" w:hint="eastAsia"/>
            <w:lang w:eastAsia="zh-CN"/>
          </w:rPr>
          <w:t>(一)、创新策略与方向</w:t>
        </w:r>
        <w:r>
          <w:tab/>
        </w:r>
        <w:r>
          <w:fldChar w:fldCharType="begin"/>
        </w:r>
        <w:r>
          <w:instrText xml:space="preserve"> PAGEREF _Toc1063 \h </w:instrText>
        </w:r>
        <w:r>
          <w:fldChar w:fldCharType="separate"/>
        </w:r>
        <w:r>
          <w:t>42</w:t>
        </w:r>
        <w:r>
          <w:fldChar w:fldCharType="end"/>
        </w:r>
      </w:hyperlink>
    </w:p>
    <w:p>
      <w:pPr>
        <w:pStyle w:val="TOC2"/>
        <w:tabs>
          <w:tab w:val="right" w:leader="dot" w:pos="8306"/>
        </w:tabs>
      </w:pPr>
      <w:hyperlink w:anchor="_Toc7502" w:history="1">
        <w:r>
          <w:rPr>
            <w:rFonts w:ascii="仿宋" w:eastAsia="仿宋" w:hAnsi="仿宋" w:cs="仿宋" w:hint="eastAsia"/>
            <w:lang w:eastAsia="zh-CN"/>
          </w:rPr>
          <w:t>(二)、研发规划与投入</w:t>
        </w:r>
        <w:r>
          <w:tab/>
        </w:r>
        <w:r>
          <w:fldChar w:fldCharType="begin"/>
        </w:r>
        <w:r>
          <w:instrText xml:space="preserve"> PAGEREF _Toc7502 \h </w:instrText>
        </w:r>
        <w:r>
          <w:fldChar w:fldCharType="separate"/>
        </w:r>
        <w:r>
          <w:t>43</w:t>
        </w:r>
        <w:r>
          <w:fldChar w:fldCharType="end"/>
        </w:r>
      </w:hyperlink>
    </w:p>
    <w:p>
      <w:pPr>
        <w:pStyle w:val="TOC1"/>
        <w:tabs>
          <w:tab w:val="right" w:leader="dot" w:pos="8306"/>
        </w:tabs>
      </w:pPr>
      <w:hyperlink w:anchor="_Toc26214" w:history="1">
        <w:r>
          <w:rPr>
            <w:rFonts w:ascii="仿宋" w:eastAsia="仿宋" w:hAnsi="仿宋" w:cs="仿宋" w:hint="eastAsia"/>
            <w:lang w:eastAsia="zh-CN"/>
          </w:rPr>
          <w:t>十三、质量管理体系</w:t>
        </w:r>
        <w:r>
          <w:tab/>
        </w:r>
        <w:r>
          <w:fldChar w:fldCharType="begin"/>
        </w:r>
        <w:r>
          <w:instrText xml:space="preserve"> PAGEREF _Toc26214 \h </w:instrText>
        </w:r>
        <w:r>
          <w:fldChar w:fldCharType="separate"/>
        </w:r>
        <w:r>
          <w:t>45</w:t>
        </w:r>
        <w:r>
          <w:fldChar w:fldCharType="end"/>
        </w:r>
      </w:hyperlink>
    </w:p>
    <w:p>
      <w:pPr>
        <w:pStyle w:val="TOC2"/>
        <w:tabs>
          <w:tab w:val="right" w:leader="dot" w:pos="8306"/>
        </w:tabs>
      </w:pPr>
      <w:hyperlink w:anchor="_Toc1381" w:history="1">
        <w:r>
          <w:rPr>
            <w:rFonts w:ascii="仿宋" w:eastAsia="仿宋" w:hAnsi="仿宋" w:cs="仿宋" w:hint="eastAsia"/>
            <w:lang w:eastAsia="zh-CN"/>
          </w:rPr>
          <w:t>(一)、质量目标与方针</w:t>
        </w:r>
        <w:r>
          <w:tab/>
        </w:r>
        <w:r>
          <w:fldChar w:fldCharType="begin"/>
        </w:r>
        <w:r>
          <w:instrText xml:space="preserve"> PAGEREF _Toc1381 \h </w:instrText>
        </w:r>
        <w:r>
          <w:fldChar w:fldCharType="separate"/>
        </w:r>
        <w:r>
          <w:t>45</w:t>
        </w:r>
        <w:r>
          <w:fldChar w:fldCharType="end"/>
        </w:r>
      </w:hyperlink>
    </w:p>
    <w:p>
      <w:pPr>
        <w:pStyle w:val="TOC2"/>
        <w:tabs>
          <w:tab w:val="right" w:leader="dot" w:pos="8306"/>
        </w:tabs>
      </w:pPr>
      <w:hyperlink w:anchor="_Toc20928" w:history="1">
        <w:r>
          <w:rPr>
            <w:rFonts w:ascii="仿宋" w:eastAsia="仿宋" w:hAnsi="仿宋" w:cs="仿宋" w:hint="eastAsia"/>
            <w:lang w:eastAsia="zh-CN"/>
          </w:rPr>
          <w:t>(二)、质量管理责任</w:t>
        </w:r>
        <w:r>
          <w:tab/>
        </w:r>
        <w:r>
          <w:fldChar w:fldCharType="begin"/>
        </w:r>
        <w:r>
          <w:instrText xml:space="preserve"> PAGEREF _Toc20928 \h </w:instrText>
        </w:r>
        <w:r>
          <w:fldChar w:fldCharType="separate"/>
        </w:r>
        <w:r>
          <w:t>46</w:t>
        </w:r>
        <w:r>
          <w:fldChar w:fldCharType="end"/>
        </w:r>
      </w:hyperlink>
    </w:p>
    <w:p>
      <w:pPr>
        <w:pStyle w:val="TOC2"/>
        <w:tabs>
          <w:tab w:val="right" w:leader="dot" w:pos="8306"/>
        </w:tabs>
      </w:pPr>
      <w:hyperlink w:anchor="_Toc26651" w:history="1">
        <w:r>
          <w:rPr>
            <w:rFonts w:ascii="仿宋" w:eastAsia="仿宋" w:hAnsi="仿宋" w:cs="仿宋" w:hint="eastAsia"/>
            <w:lang w:eastAsia="zh-CN"/>
          </w:rPr>
          <w:t>(三)、质量管理体系文件</w:t>
        </w:r>
        <w:r>
          <w:tab/>
        </w:r>
        <w:r>
          <w:fldChar w:fldCharType="begin"/>
        </w:r>
        <w:r>
          <w:instrText xml:space="preserve"> PAGEREF _Toc26651 \h </w:instrText>
        </w:r>
        <w:r>
          <w:fldChar w:fldCharType="separate"/>
        </w:r>
        <w:r>
          <w:t>48</w:t>
        </w:r>
        <w:r>
          <w:fldChar w:fldCharType="end"/>
        </w:r>
      </w:hyperlink>
    </w:p>
    <w:p>
      <w:pPr>
        <w:pStyle w:val="TOC2"/>
        <w:tabs>
          <w:tab w:val="right" w:leader="dot" w:pos="8306"/>
        </w:tabs>
      </w:pPr>
      <w:hyperlink w:anchor="_Toc3194" w:history="1">
        <w:r>
          <w:rPr>
            <w:rFonts w:ascii="仿宋" w:eastAsia="仿宋" w:hAnsi="仿宋" w:cs="仿宋" w:hint="eastAsia"/>
            <w:lang w:eastAsia="zh-CN"/>
          </w:rPr>
          <w:t>(四)、质量培训与教育</w:t>
        </w:r>
        <w:r>
          <w:tab/>
        </w:r>
        <w:r>
          <w:fldChar w:fldCharType="begin"/>
        </w:r>
        <w:r>
          <w:instrText xml:space="preserve"> PAGEREF _Toc3194 \h </w:instrText>
        </w:r>
        <w:r>
          <w:fldChar w:fldCharType="separate"/>
        </w:r>
        <w:r>
          <w:t>50</w:t>
        </w:r>
        <w:r>
          <w:fldChar w:fldCharType="end"/>
        </w:r>
      </w:hyperlink>
    </w:p>
    <w:p>
      <w:pPr>
        <w:pStyle w:val="TOC2"/>
        <w:tabs>
          <w:tab w:val="right" w:leader="dot" w:pos="8306"/>
        </w:tabs>
      </w:pPr>
      <w:hyperlink w:anchor="_Toc7163" w:history="1">
        <w:r>
          <w:rPr>
            <w:rFonts w:ascii="仿宋" w:eastAsia="仿宋" w:hAnsi="仿宋" w:cs="仿宋" w:hint="eastAsia"/>
            <w:lang w:eastAsia="zh-CN"/>
          </w:rPr>
          <w:t>(五)、质量审核与评价</w:t>
        </w:r>
        <w:r>
          <w:tab/>
        </w:r>
        <w:r>
          <w:fldChar w:fldCharType="begin"/>
        </w:r>
        <w:r>
          <w:instrText xml:space="preserve"> PAGEREF _Toc7163 \h </w:instrText>
        </w:r>
        <w:r>
          <w:fldChar w:fldCharType="separate"/>
        </w:r>
        <w:r>
          <w:t>51</w:t>
        </w:r>
        <w:r>
          <w:fldChar w:fldCharType="end"/>
        </w:r>
      </w:hyperlink>
    </w:p>
    <w:p>
      <w:pPr>
        <w:pStyle w:val="TOC2"/>
        <w:tabs>
          <w:tab w:val="right" w:leader="dot" w:pos="8306"/>
        </w:tabs>
      </w:pPr>
      <w:hyperlink w:anchor="_Toc7880" w:history="1">
        <w:r>
          <w:rPr>
            <w:rFonts w:ascii="仿宋" w:eastAsia="仿宋" w:hAnsi="仿宋" w:cs="仿宋" w:hint="eastAsia"/>
            <w:lang w:eastAsia="zh-CN"/>
          </w:rPr>
          <w:t>(六)、不符合与纠正措施</w:t>
        </w:r>
        <w:r>
          <w:tab/>
        </w:r>
        <w:r>
          <w:fldChar w:fldCharType="begin"/>
        </w:r>
        <w:r>
          <w:instrText xml:space="preserve"> PAGEREF _Toc7880 \h </w:instrText>
        </w:r>
        <w:r>
          <w:fldChar w:fldCharType="separate"/>
        </w:r>
        <w:r>
          <w:t>52</w:t>
        </w:r>
        <w:r>
          <w:fldChar w:fldCharType="end"/>
        </w:r>
      </w:hyperlink>
    </w:p>
    <w:p>
      <w:pPr>
        <w:pStyle w:val="TOC1"/>
        <w:tabs>
          <w:tab w:val="right" w:leader="dot" w:pos="8306"/>
        </w:tabs>
      </w:pPr>
      <w:hyperlink w:anchor="_Toc19682" w:history="1">
        <w:r>
          <w:rPr>
            <w:rFonts w:ascii="仿宋" w:eastAsia="仿宋" w:hAnsi="仿宋" w:cs="仿宋" w:hint="eastAsia"/>
            <w:lang w:eastAsia="zh-CN"/>
          </w:rPr>
          <w:t>十四、营销与推广策略</w:t>
        </w:r>
        <w:r>
          <w:tab/>
        </w:r>
        <w:r>
          <w:fldChar w:fldCharType="begin"/>
        </w:r>
        <w:r>
          <w:instrText xml:space="preserve"> PAGEREF _Toc19682 \h </w:instrText>
        </w:r>
        <w:r>
          <w:fldChar w:fldCharType="separate"/>
        </w:r>
        <w:r>
          <w:t>53</w:t>
        </w:r>
        <w:r>
          <w:fldChar w:fldCharType="end"/>
        </w:r>
      </w:hyperlink>
    </w:p>
    <w:p>
      <w:pPr>
        <w:pStyle w:val="TOC2"/>
        <w:tabs>
          <w:tab w:val="right" w:leader="dot" w:pos="8306"/>
        </w:tabs>
      </w:pPr>
      <w:hyperlink w:anchor="_Toc32708" w:history="1">
        <w:r>
          <w:rPr>
            <w:rFonts w:ascii="仿宋" w:eastAsia="仿宋" w:hAnsi="仿宋" w:cs="仿宋" w:hint="eastAsia"/>
            <w:lang w:eastAsia="zh-CN"/>
          </w:rPr>
          <w:t>(一)、产品/服务定位与特点</w:t>
        </w:r>
        <w:r>
          <w:tab/>
        </w:r>
        <w:r>
          <w:fldChar w:fldCharType="begin"/>
        </w:r>
        <w:r>
          <w:instrText xml:space="preserve"> PAGEREF _Toc32708 \h </w:instrText>
        </w:r>
        <w:r>
          <w:fldChar w:fldCharType="separate"/>
        </w:r>
        <w:r>
          <w:t>53</w:t>
        </w:r>
        <w:r>
          <w:fldChar w:fldCharType="end"/>
        </w:r>
      </w:hyperlink>
    </w:p>
    <w:p>
      <w:pPr>
        <w:pStyle w:val="TOC2"/>
        <w:tabs>
          <w:tab w:val="right" w:leader="dot" w:pos="8306"/>
        </w:tabs>
      </w:pPr>
      <w:hyperlink w:anchor="_Toc19842" w:history="1">
        <w:r>
          <w:rPr>
            <w:rFonts w:ascii="仿宋" w:eastAsia="仿宋" w:hAnsi="仿宋" w:cs="仿宋" w:hint="eastAsia"/>
            <w:lang w:eastAsia="zh-CN"/>
          </w:rPr>
          <w:t>(二)、市场定位与竞争分析</w:t>
        </w:r>
        <w:r>
          <w:tab/>
        </w:r>
        <w:r>
          <w:fldChar w:fldCharType="begin"/>
        </w:r>
        <w:r>
          <w:instrText xml:space="preserve"> PAGEREF _Toc19842 \h </w:instrText>
        </w:r>
        <w:r>
          <w:fldChar w:fldCharType="separate"/>
        </w:r>
        <w:r>
          <w:t>55</w:t>
        </w:r>
        <w:r>
          <w:fldChar w:fldCharType="end"/>
        </w:r>
      </w:hyperlink>
    </w:p>
    <w:p>
      <w:pPr>
        <w:pStyle w:val="TOC2"/>
        <w:tabs>
          <w:tab w:val="right" w:leader="dot" w:pos="8306"/>
        </w:tabs>
      </w:pPr>
      <w:hyperlink w:anchor="_Toc5963" w:history="1">
        <w:r>
          <w:rPr>
            <w:rFonts w:ascii="仿宋" w:eastAsia="仿宋" w:hAnsi="仿宋" w:cs="仿宋" w:hint="eastAsia"/>
            <w:lang w:eastAsia="zh-CN"/>
          </w:rPr>
          <w:t>(三)、营销渠道与策略</w:t>
        </w:r>
        <w:r>
          <w:tab/>
        </w:r>
        <w:r>
          <w:fldChar w:fldCharType="begin"/>
        </w:r>
        <w:r>
          <w:instrText xml:space="preserve"> PAGEREF _Toc5963 \h </w:instrText>
        </w:r>
        <w:r>
          <w:fldChar w:fldCharType="separate"/>
        </w:r>
        <w:r>
          <w:t>56</w:t>
        </w:r>
        <w:r>
          <w:fldChar w:fldCharType="end"/>
        </w:r>
      </w:hyperlink>
    </w:p>
    <w:p>
      <w:pPr>
        <w:pStyle w:val="TOC2"/>
        <w:tabs>
          <w:tab w:val="right" w:leader="dot" w:pos="8306"/>
        </w:tabs>
      </w:pPr>
      <w:hyperlink w:anchor="_Toc11857" w:history="1">
        <w:r>
          <w:rPr>
            <w:rFonts w:ascii="仿宋" w:eastAsia="仿宋" w:hAnsi="仿宋" w:cs="仿宋" w:hint="eastAsia"/>
            <w:lang w:eastAsia="zh-CN"/>
          </w:rPr>
          <w:t>(四)、推广与宣传活动</w:t>
        </w:r>
        <w:r>
          <w:tab/>
        </w:r>
        <w:r>
          <w:fldChar w:fldCharType="begin"/>
        </w:r>
        <w:r>
          <w:instrText xml:space="preserve"> PAGEREF _Toc11857 \h </w:instrText>
        </w:r>
        <w:r>
          <w:fldChar w:fldCharType="separate"/>
        </w:r>
        <w:r>
          <w:t>57</w:t>
        </w:r>
        <w:r>
          <w:fldChar w:fldCharType="end"/>
        </w:r>
      </w:hyperlink>
    </w:p>
    <w:p>
      <w:pPr>
        <w:pStyle w:val="TOC1"/>
        <w:tabs>
          <w:tab w:val="right" w:leader="dot" w:pos="8306"/>
        </w:tabs>
      </w:pPr>
      <w:hyperlink w:anchor="_Toc9161" w:history="1">
        <w:r>
          <w:rPr>
            <w:rFonts w:ascii="仿宋" w:eastAsia="仿宋" w:hAnsi="仿宋" w:cs="仿宋" w:hint="eastAsia"/>
            <w:lang w:eastAsia="zh-CN"/>
          </w:rPr>
          <w:t>十五、转基因抗虫树木新品种项目实施保障措施</w:t>
        </w:r>
        <w:r>
          <w:tab/>
        </w:r>
        <w:r>
          <w:fldChar w:fldCharType="begin"/>
        </w:r>
        <w:r>
          <w:instrText xml:space="preserve"> PAGEREF _Toc9161 \h </w:instrText>
        </w:r>
        <w:r>
          <w:fldChar w:fldCharType="separate"/>
        </w:r>
        <w:r>
          <w:t>63</w:t>
        </w:r>
        <w:r>
          <w:fldChar w:fldCharType="end"/>
        </w:r>
      </w:hyperlink>
    </w:p>
    <w:p>
      <w:pPr>
        <w:pStyle w:val="TOC2"/>
        <w:tabs>
          <w:tab w:val="right" w:leader="dot" w:pos="8306"/>
        </w:tabs>
      </w:pPr>
      <w:hyperlink w:anchor="_Toc3252" w:history="1">
        <w:r>
          <w:rPr>
            <w:rFonts w:ascii="仿宋" w:eastAsia="仿宋" w:hAnsi="仿宋" w:cs="仿宋" w:hint="eastAsia"/>
            <w:lang w:eastAsia="zh-CN"/>
          </w:rPr>
          <w:t>(一)、转基因抗虫树木新品种项目实施保障机制</w:t>
        </w:r>
        <w:r>
          <w:tab/>
        </w:r>
        <w:r>
          <w:fldChar w:fldCharType="begin"/>
        </w:r>
        <w:r>
          <w:instrText xml:space="preserve"> PAGEREF _Toc3252 \h </w:instrText>
        </w:r>
        <w:r>
          <w:fldChar w:fldCharType="separate"/>
        </w:r>
        <w:r>
          <w:t>63</w:t>
        </w:r>
        <w:r>
          <w:fldChar w:fldCharType="end"/>
        </w:r>
      </w:hyperlink>
    </w:p>
    <w:p>
      <w:pPr>
        <w:pStyle w:val="TOC2"/>
        <w:tabs>
          <w:tab w:val="right" w:leader="dot" w:pos="8306"/>
        </w:tabs>
      </w:pPr>
      <w:hyperlink w:anchor="_Toc19241" w:history="1">
        <w:r>
          <w:rPr>
            <w:rFonts w:ascii="仿宋" w:eastAsia="仿宋" w:hAnsi="仿宋" w:cs="仿宋" w:hint="eastAsia"/>
            <w:lang w:eastAsia="zh-CN"/>
          </w:rPr>
          <w:t>(二)、转基因抗虫树木新品种项目法律合规要求</w:t>
        </w:r>
        <w:r>
          <w:tab/>
        </w:r>
        <w:r>
          <w:fldChar w:fldCharType="begin"/>
        </w:r>
        <w:r>
          <w:instrText xml:space="preserve"> PAGEREF _Toc19241 \h </w:instrText>
        </w:r>
        <w:r>
          <w:fldChar w:fldCharType="separate"/>
        </w:r>
        <w:r>
          <w:t>67</w:t>
        </w:r>
        <w:r>
          <w:fldChar w:fldCharType="end"/>
        </w:r>
      </w:hyperlink>
    </w:p>
    <w:p>
      <w:pPr>
        <w:pStyle w:val="TOC2"/>
        <w:tabs>
          <w:tab w:val="right" w:leader="dot" w:pos="8306"/>
        </w:tabs>
      </w:pPr>
      <w:hyperlink w:anchor="_Toc25754" w:history="1">
        <w:r>
          <w:rPr>
            <w:rFonts w:ascii="仿宋" w:eastAsia="仿宋" w:hAnsi="仿宋" w:cs="仿宋" w:hint="eastAsia"/>
            <w:lang w:eastAsia="zh-CN"/>
          </w:rPr>
          <w:t>(三)、转基因抗虫树木新品种项目合同管理与法律事务</w:t>
        </w:r>
        <w:r>
          <w:tab/>
        </w:r>
        <w:r>
          <w:fldChar w:fldCharType="begin"/>
        </w:r>
        <w:r>
          <w:instrText xml:space="preserve"> PAGEREF _Toc25754 \h </w:instrText>
        </w:r>
        <w:r>
          <w:fldChar w:fldCharType="separate"/>
        </w:r>
        <w:r>
          <w:t>71</w:t>
        </w:r>
        <w:r>
          <w:fldChar w:fldCharType="end"/>
        </w:r>
      </w:hyperlink>
    </w:p>
    <w:p>
      <w:pPr>
        <w:pStyle w:val="TOC2"/>
        <w:tabs>
          <w:tab w:val="right" w:leader="dot" w:pos="8306"/>
        </w:tabs>
      </w:pPr>
      <w:hyperlink w:anchor="_Toc6281" w:history="1">
        <w:r>
          <w:rPr>
            <w:rFonts w:ascii="仿宋" w:eastAsia="仿宋" w:hAnsi="仿宋" w:cs="仿宋" w:hint="eastAsia"/>
            <w:lang w:eastAsia="zh-CN"/>
          </w:rPr>
          <w:t>(四)、转基因抗虫树木新品种项目知识产权保护策略</w:t>
        </w:r>
        <w:r>
          <w:tab/>
        </w:r>
        <w:r>
          <w:fldChar w:fldCharType="begin"/>
        </w:r>
        <w:r>
          <w:instrText xml:space="preserve"> PAGEREF _Toc6281 \h </w:instrText>
        </w:r>
        <w:r>
          <w:fldChar w:fldCharType="separate"/>
        </w:r>
        <w:r>
          <w:t>78</w:t>
        </w:r>
        <w:r>
          <w:fldChar w:fldCharType="end"/>
        </w:r>
      </w:hyperlink>
    </w:p>
    <w:p>
      <w:pPr>
        <w:pStyle w:val="TOC1"/>
        <w:tabs>
          <w:tab w:val="right" w:leader="dot" w:pos="8306"/>
        </w:tabs>
      </w:pPr>
      <w:hyperlink w:anchor="_Toc16362" w:history="1">
        <w:r>
          <w:rPr>
            <w:rFonts w:ascii="仿宋" w:eastAsia="仿宋" w:hAnsi="仿宋" w:cs="仿宋" w:hint="eastAsia"/>
            <w:lang w:eastAsia="zh-CN"/>
          </w:rPr>
          <w:t>十六、风险识别与分类</w:t>
        </w:r>
        <w:r>
          <w:tab/>
        </w:r>
        <w:r>
          <w:fldChar w:fldCharType="begin"/>
        </w:r>
        <w:r>
          <w:instrText xml:space="preserve"> PAGEREF _Toc16362 \h </w:instrText>
        </w:r>
        <w:r>
          <w:fldChar w:fldCharType="separate"/>
        </w:r>
        <w:r>
          <w:t>80</w:t>
        </w:r>
        <w:r>
          <w:fldChar w:fldCharType="end"/>
        </w:r>
      </w:hyperlink>
    </w:p>
    <w:p>
      <w:pPr>
        <w:pStyle w:val="TOC2"/>
        <w:tabs>
          <w:tab w:val="right" w:leader="dot" w:pos="8306"/>
        </w:tabs>
      </w:pPr>
      <w:hyperlink w:anchor="_Toc29802" w:history="1">
        <w:r>
          <w:rPr>
            <w:rFonts w:ascii="仿宋" w:eastAsia="仿宋" w:hAnsi="仿宋" w:cs="仿宋" w:hint="eastAsia"/>
            <w:lang w:eastAsia="zh-CN"/>
          </w:rPr>
          <w:t>(一)、风险识别</w:t>
        </w:r>
        <w:r>
          <w:tab/>
        </w:r>
        <w:r>
          <w:fldChar w:fldCharType="begin"/>
        </w:r>
        <w:r>
          <w:instrText xml:space="preserve"> PAGEREF _Toc29802 \h </w:instrText>
        </w:r>
        <w:r>
          <w:fldChar w:fldCharType="separate"/>
        </w:r>
        <w:r>
          <w:t>80</w:t>
        </w:r>
        <w:r>
          <w:fldChar w:fldCharType="end"/>
        </w:r>
      </w:hyperlink>
    </w:p>
    <w:p>
      <w:pPr>
        <w:pStyle w:val="TOC2"/>
        <w:tabs>
          <w:tab w:val="right" w:leader="dot" w:pos="8306"/>
        </w:tabs>
      </w:pPr>
      <w:hyperlink w:anchor="_Toc14963" w:history="1">
        <w:r>
          <w:rPr>
            <w:rFonts w:ascii="仿宋" w:eastAsia="仿宋" w:hAnsi="仿宋" w:cs="仿宋" w:hint="eastAsia"/>
            <w:lang w:eastAsia="zh-CN"/>
          </w:rPr>
          <w:t>(二)、风险分类</w:t>
        </w:r>
        <w:r>
          <w:tab/>
        </w:r>
        <w:r>
          <w:fldChar w:fldCharType="begin"/>
        </w:r>
        <w:r>
          <w:instrText xml:space="preserve"> PAGEREF _Toc14963 \h </w:instrText>
        </w:r>
        <w:r>
          <w:fldChar w:fldCharType="separate"/>
        </w:r>
        <w:r>
          <w:t>82</w:t>
        </w:r>
        <w:r>
          <w:fldChar w:fldCharType="end"/>
        </w:r>
      </w:hyperlink>
    </w:p>
    <w:p>
      <w:pPr>
        <w:pStyle w:val="TOC1"/>
        <w:tabs>
          <w:tab w:val="right" w:leader="dot" w:pos="8306"/>
        </w:tabs>
      </w:pPr>
      <w:hyperlink w:anchor="_Toc21354" w:history="1">
        <w:r>
          <w:rPr>
            <w:rFonts w:ascii="仿宋" w:eastAsia="仿宋" w:hAnsi="仿宋" w:cs="仿宋" w:hint="eastAsia"/>
            <w:lang w:eastAsia="zh-CN"/>
          </w:rPr>
          <w:t>十七、供应链管理</w:t>
        </w:r>
        <w:r>
          <w:tab/>
        </w:r>
        <w:r>
          <w:fldChar w:fldCharType="begin"/>
        </w:r>
        <w:r>
          <w:instrText xml:space="preserve"> PAGEREF _Toc21354 \h </w:instrText>
        </w:r>
        <w:r>
          <w:fldChar w:fldCharType="separate"/>
        </w:r>
        <w:r>
          <w:t>84</w:t>
        </w:r>
        <w:r>
          <w:fldChar w:fldCharType="end"/>
        </w:r>
      </w:hyperlink>
    </w:p>
    <w:p>
      <w:pPr>
        <w:pStyle w:val="TOC2"/>
        <w:tabs>
          <w:tab w:val="right" w:leader="dot" w:pos="8306"/>
        </w:tabs>
      </w:pPr>
      <w:hyperlink w:anchor="_Toc17980" w:history="1">
        <w:r>
          <w:rPr>
            <w:rFonts w:ascii="仿宋" w:eastAsia="仿宋" w:hAnsi="仿宋" w:cs="仿宋" w:hint="eastAsia"/>
            <w:lang w:eastAsia="zh-CN"/>
          </w:rPr>
          <w:t>(一)、供应链战略规划</w:t>
        </w:r>
        <w:r>
          <w:tab/>
        </w:r>
        <w:r>
          <w:fldChar w:fldCharType="begin"/>
        </w:r>
        <w:r>
          <w:instrText xml:space="preserve"> PAGEREF _Toc17980 \h </w:instrText>
        </w:r>
        <w:r>
          <w:fldChar w:fldCharType="separate"/>
        </w:r>
        <w:r>
          <w:t>84</w:t>
        </w:r>
        <w:r>
          <w:fldChar w:fldCharType="end"/>
        </w:r>
      </w:hyperlink>
    </w:p>
    <w:p>
      <w:pPr>
        <w:pStyle w:val="TOC2"/>
        <w:tabs>
          <w:tab w:val="right" w:leader="dot" w:pos="8306"/>
        </w:tabs>
      </w:pPr>
      <w:hyperlink w:anchor="_Toc30673" w:history="1">
        <w:r>
          <w:rPr>
            <w:rFonts w:ascii="仿宋" w:eastAsia="仿宋" w:hAnsi="仿宋" w:cs="仿宋" w:hint="eastAsia"/>
            <w:lang w:eastAsia="zh-CN"/>
          </w:rPr>
          <w:t>(二)、供应商选择与合作</w:t>
        </w:r>
        <w:r>
          <w:tab/>
        </w:r>
        <w:r>
          <w:fldChar w:fldCharType="begin"/>
        </w:r>
        <w:r>
          <w:instrText xml:space="preserve"> PAGEREF _Toc30673 \h </w:instrText>
        </w:r>
        <w:r>
          <w:fldChar w:fldCharType="separate"/>
        </w:r>
        <w:r>
          <w:t>85</w:t>
        </w:r>
        <w:r>
          <w:fldChar w:fldCharType="end"/>
        </w:r>
      </w:hyperlink>
    </w:p>
    <w:p>
      <w:pPr>
        <w:pStyle w:val="TOC2"/>
        <w:tabs>
          <w:tab w:val="right" w:leader="dot" w:pos="8306"/>
        </w:tabs>
      </w:pPr>
      <w:hyperlink w:anchor="_Toc15201" w:history="1">
        <w:r>
          <w:rPr>
            <w:rFonts w:ascii="仿宋" w:eastAsia="仿宋" w:hAnsi="仿宋" w:cs="仿宋" w:hint="eastAsia"/>
            <w:lang w:eastAsia="zh-CN"/>
          </w:rPr>
          <w:t>(三)、物流与库存管理</w:t>
        </w:r>
        <w:r>
          <w:tab/>
        </w:r>
        <w:r>
          <w:fldChar w:fldCharType="begin"/>
        </w:r>
        <w:r>
          <w:instrText xml:space="preserve"> PAGEREF _Toc15201 \h </w:instrText>
        </w:r>
        <w:r>
          <w:fldChar w:fldCharType="separate"/>
        </w:r>
        <w:r>
          <w:t>86</w:t>
        </w:r>
        <w:r>
          <w:fldChar w:fldCharType="end"/>
        </w:r>
      </w:hyperlink>
    </w:p>
    <w:p>
      <w:pPr>
        <w:pStyle w:val="TOC1"/>
        <w:tabs>
          <w:tab w:val="right" w:leader="dot" w:pos="8306"/>
        </w:tabs>
      </w:pPr>
      <w:hyperlink w:anchor="_Toc17523" w:history="1">
        <w:r>
          <w:rPr>
            <w:rFonts w:ascii="仿宋" w:eastAsia="仿宋" w:hAnsi="仿宋" w:cs="仿宋" w:hint="eastAsia"/>
            <w:lang w:eastAsia="zh-CN"/>
          </w:rPr>
          <w:t>十八、转基因抗虫树木新品种项目工程方案分析</w:t>
        </w:r>
        <w:r>
          <w:tab/>
        </w:r>
        <w:r>
          <w:fldChar w:fldCharType="begin"/>
        </w:r>
        <w:r>
          <w:instrText xml:space="preserve"> PAGEREF _Toc17523 \h </w:instrText>
        </w:r>
        <w:r>
          <w:fldChar w:fldCharType="separate"/>
        </w:r>
        <w:r>
          <w:t>88</w:t>
        </w:r>
        <w:r>
          <w:fldChar w:fldCharType="end"/>
        </w:r>
      </w:hyperlink>
    </w:p>
    <w:p>
      <w:pPr>
        <w:pStyle w:val="TOC2"/>
        <w:tabs>
          <w:tab w:val="right" w:leader="dot" w:pos="8306"/>
        </w:tabs>
      </w:pPr>
      <w:hyperlink w:anchor="_Toc22506" w:history="1">
        <w:r>
          <w:rPr>
            <w:rFonts w:ascii="仿宋" w:eastAsia="仿宋" w:hAnsi="仿宋" w:cs="仿宋" w:hint="eastAsia"/>
            <w:lang w:eastAsia="zh-CN"/>
          </w:rPr>
          <w:t>(一)、建筑工程设计原则</w:t>
        </w:r>
        <w:r>
          <w:tab/>
        </w:r>
        <w:r>
          <w:fldChar w:fldCharType="begin"/>
        </w:r>
        <w:r>
          <w:instrText xml:space="preserve"> PAGEREF _Toc22506 \h </w:instrText>
        </w:r>
        <w:r>
          <w:fldChar w:fldCharType="separate"/>
        </w:r>
        <w:r>
          <w:t>88</w:t>
        </w:r>
        <w:r>
          <w:fldChar w:fldCharType="end"/>
        </w:r>
      </w:hyperlink>
    </w:p>
    <w:p>
      <w:pPr>
        <w:pStyle w:val="TOC2"/>
        <w:tabs>
          <w:tab w:val="right" w:leader="dot" w:pos="8306"/>
        </w:tabs>
      </w:pPr>
      <w:hyperlink w:anchor="_Toc21428" w:history="1">
        <w:r>
          <w:rPr>
            <w:rFonts w:ascii="仿宋" w:eastAsia="仿宋" w:hAnsi="仿宋" w:cs="仿宋" w:hint="eastAsia"/>
            <w:lang w:eastAsia="zh-CN"/>
          </w:rPr>
          <w:t>(二)、土建工程建设指标</w:t>
        </w:r>
        <w:r>
          <w:tab/>
        </w:r>
        <w:r>
          <w:fldChar w:fldCharType="begin"/>
        </w:r>
        <w:r>
          <w:instrText xml:space="preserve"> PAGEREF _Toc21428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457"/>
      <w:r>
        <w:rPr>
          <w:rFonts w:ascii="仿宋" w:eastAsia="仿宋" w:hAnsi="仿宋" w:cs="仿宋" w:hint="eastAsia"/>
          <w:sz w:val="28"/>
          <w:lang w:eastAsia="zh-CN"/>
        </w:rPr>
        <w:t>一、转基因抗虫树木新品种项目文档管理</w:t>
      </w:r>
      <w:bookmarkEnd w:id="2"/>
    </w:p>
    <w:p>
      <w:pPr>
        <w:pStyle w:val="Heading2"/>
        <w:rPr>
          <w:rFonts w:ascii="仿宋" w:eastAsia="仿宋" w:hAnsi="仿宋" w:cs="仿宋" w:hint="eastAsia"/>
          <w:lang w:eastAsia="zh-CN"/>
        </w:rPr>
      </w:pPr>
      <w:bookmarkStart w:id="3" w:name="_Toc2972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转基因抗虫树木新品种项目高度重视文档的质量和准确性，以支持转基因抗虫树木新品种项目的各项活动和决策。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文档的编制始于转基因抗虫树木新品种项目计划的初期，我们制定了详细的文档编制计划，明确了每个文档的内容、格式和编写责任人。在转基因抗虫树木新品种项目启动阶段，我们首先编制了转基因抗虫树木新品种项目章程，明确定义了转基因抗虫树木新品种项目的目标、范围、风险等关键要素。随后，转基因抗虫树木新品种项目团队根据计划陆续编制了需求文档、设计文档、测试文档等各类文档，确保转基因抗虫树木新品种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转基因抗虫树木新品种项目管理中的重要环节，旨在确保转基因抗虫树木新品种项目文档符合质量标准和转基因抗虫树木新品种项目需求。在转基因抗虫树木新品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转基因抗虫树木新品种项目相关利益方和专业领域的专家对文档进行独立审查。这有助于获取更全面、客观的反馈，确保转基因抗虫树木新品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在文档编制与审查方面建立了严格的管理机制，通过规范的流程和多维度的审查，确保转基因抗虫树木新品种项目文档的质量、准确性和可靠性，为转基因抗虫树木新品种项目的顺利推进提供了有力支持。</w:t>
      </w:r>
    </w:p>
    <w:p>
      <w:pPr>
        <w:pStyle w:val="Heading2"/>
        <w:ind w:firstLine="560" w:firstLineChars="200"/>
        <w:rPr>
          <w:rFonts w:ascii="仿宋" w:eastAsia="仿宋" w:hAnsi="仿宋" w:cs="仿宋" w:hint="eastAsia"/>
          <w:sz w:val="28"/>
          <w:lang w:eastAsia="zh-CN"/>
        </w:rPr>
      </w:pPr>
      <w:bookmarkStart w:id="4" w:name="_Toc547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在转基因抗虫树木新品种项目中，我们致力于优化文档发布与分发过程，以确保信息的高效传递和团队间协作的顺畅进行。以下是我们采取的关键优化策略：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我们通过多渠道发布文档，包括电子邮件、转基因抗虫树木新品种项目管理平台、内部网站等，以满足不同团队成员的偏好和需求。多渠道发布确保了信息的全面覆盖。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我们采用了精细的权限控制，确保只有授权人员可以访问敏感信息。这种安全措施保护了转基因抗虫树木新品种项目文档的机密性，防止了未经授权的信息泄露。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4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转基因抗虫树木新品种项目生命周期中一个至关重要的环节，直接关系到转基因抗虫树木新品种项目信息的长期保存和历史记录的完整性。在转基因抗虫树木新品种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428"/>
      <w:r>
        <w:rPr>
          <w:rFonts w:ascii="仿宋" w:eastAsia="仿宋" w:hAnsi="仿宋" w:cs="仿宋" w:hint="eastAsia"/>
          <w:sz w:val="28"/>
          <w:lang w:eastAsia="zh-CN"/>
        </w:rPr>
        <w:t>二、转基因抗虫树木新品种项目土建工程</w:t>
      </w:r>
      <w:bookmarkEnd w:id="6"/>
    </w:p>
    <w:p>
      <w:pPr>
        <w:pStyle w:val="Heading2"/>
        <w:rPr>
          <w:rFonts w:ascii="仿宋" w:eastAsia="仿宋" w:hAnsi="仿宋" w:cs="仿宋" w:hint="eastAsia"/>
          <w:lang w:eastAsia="zh-CN"/>
        </w:rPr>
      </w:pPr>
      <w:bookmarkStart w:id="7" w:name="_Toc2801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在转基因抗虫树木新品种项目的建筑工程设计中，我们将秉承一系列重要的设计原则，以确保转基因抗虫树木新品种项目建筑在功能、美观、可持续性等方面达到最佳效果。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首要原则是确保建筑的功能性得到最大化的发挥。我们将充分理解转基因抗虫树木新品种项目的实际需求，合理布局各个功能区域，保证建筑在满足业务需求的同时，提供高效的工作环境。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在建筑设计中，我们将综合考虑建设和运营成本。通过精细的经济效益分析，确保设计方案在高效利用资源的同时，对转基因抗虫树木新品种项目的长期盈利能力有积极的贡献。</w:t>
      </w:r>
    </w:p>
    <w:p>
      <w:pPr>
        <w:pStyle w:val="Heading2"/>
        <w:ind w:firstLine="560" w:firstLineChars="200"/>
        <w:rPr>
          <w:rFonts w:ascii="仿宋" w:eastAsia="仿宋" w:hAnsi="仿宋" w:cs="仿宋" w:hint="eastAsia"/>
          <w:sz w:val="28"/>
          <w:lang w:eastAsia="zh-CN"/>
        </w:rPr>
      </w:pPr>
      <w:bookmarkStart w:id="8" w:name="_Toc1778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抗虫树木新品种项目的土建工程设计中，我们将精准设定设计年限，结合转基因抗虫树木新品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转基因抗虫树木新品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902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转基因抗虫树木新品种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转基因抗虫树木新品种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转基因抗虫树木新品种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936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本期工程转基因抗虫树木新品种项目预计总建筑面积XXX平方米，其中：计容建筑面积XXX平方米，计划建筑工程投资XX万元，占转基因抗虫树木新品种项目总投资的XX%。</w:t>
      </w:r>
    </w:p>
    <w:p>
      <w:pPr>
        <w:pStyle w:val="Heading1"/>
        <w:ind w:firstLine="560" w:firstLineChars="200"/>
        <w:rPr>
          <w:rFonts w:ascii="仿宋" w:eastAsia="仿宋" w:hAnsi="仿宋" w:cs="仿宋" w:hint="eastAsia"/>
          <w:sz w:val="28"/>
          <w:lang w:eastAsia="zh-CN"/>
        </w:rPr>
      </w:pPr>
      <w:bookmarkStart w:id="11" w:name="_Toc29914"/>
      <w:r>
        <w:rPr>
          <w:rFonts w:ascii="仿宋" w:eastAsia="仿宋" w:hAnsi="仿宋" w:cs="仿宋" w:hint="eastAsia"/>
          <w:sz w:val="28"/>
          <w:lang w:eastAsia="zh-CN"/>
        </w:rPr>
        <w:t>三、转基因抗虫树木新品种项目危机管理</w:t>
      </w:r>
      <w:bookmarkEnd w:id="11"/>
    </w:p>
    <w:p>
      <w:pPr>
        <w:pStyle w:val="Heading2"/>
        <w:rPr>
          <w:rFonts w:ascii="仿宋" w:eastAsia="仿宋" w:hAnsi="仿宋" w:cs="仿宋" w:hint="eastAsia"/>
          <w:lang w:eastAsia="zh-CN"/>
        </w:rPr>
      </w:pPr>
      <w:bookmarkStart w:id="12" w:name="_Toc682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抗虫树木新品种项目危机管理中，危机预警与识别是确保转基因抗虫树木新品种项目稳健运行的核心步骤。通过建立全面的监测机制，转基因抗虫树木新品种项目团队旨在及时发现和理解潜在的风险和危机因素，以便采取及时的预防和应对措施，确保转基因抗虫树木新品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转基因抗虫树木新品种项目团队全面分析了整个转基因抗虫树木新品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转基因抗虫树木新品种项目团队着重于明确定义转基因抗虫树木新品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转基因抗虫树木新品种项目进展的持续监控，团队能够及时发现潜在问题并作出迅速反应。转基因抗虫树木新品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转基因抗虫树木新品种项目得以更有序、可控地推进。</w:t>
      </w:r>
    </w:p>
    <w:p>
      <w:pPr>
        <w:pStyle w:val="Heading2"/>
        <w:ind w:firstLine="560" w:firstLineChars="200"/>
        <w:rPr>
          <w:rFonts w:ascii="仿宋" w:eastAsia="仿宋" w:hAnsi="仿宋" w:cs="仿宋" w:hint="eastAsia"/>
          <w:sz w:val="28"/>
          <w:lang w:eastAsia="zh-CN"/>
        </w:rPr>
      </w:pPr>
      <w:bookmarkStart w:id="13" w:name="_Toc1043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在危机发生时，转基因抗虫树木新品种项目团队立即行动，成立了应急小组。该小组的任务是迅速制定并实施紧急应对措施，以最小化潜在损失。以下是采取的主要措施：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暂停转基因抗虫树木新品种项目进度：为遏制危机蔓延，转基因抗虫树木新品种项目暂时停止进行，以便全面评估当前状况。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资源重新分配：重新评估转基因抗虫树木新品种项目资源的分配，确保最大限度地减小损失。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实时沟通：与关键利益相关者建立实时沟通机制，向他们传递转基因抗虫树木新品种项目危机的实际状况，保障转基因抗虫树木新品种项目核心利益。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在紧急应对的同时，转基因抗虫树木新品种项目团队强调了团队协作和有效沟通的重要性。以下是团队协作的关键举措：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信息共享机制：建立了信息共享平台，确保团队成员能够及时获取转基因抗虫树木新品种项目危机的实时信息。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领导者沟通：转基因抗虫树木新品种项目领导者通过定期会议和即时沟通工具，指导团队应对危机，保持团队稳定运行。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随着危机得到初步控制，转基因抗虫树木新品种项目团队转向制定恢复计划，以确保转基因抗虫树木新品种项目能够从中迅速恢复。主要恢复计划包括：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修复受损的进度计划：重新评估转基因抗虫树木新品种项目进度，制定修复计划，确保转基因抗虫树木新品种项目尽快回归正常进程。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重新调整资源分配：优化资源分配，确保转基因抗虫树木新品种项目在有限资源下高效运转。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风险管理机制加强：对转基因抗虫树木新品种项目风险进行全面评估，制定更强化的风险管理策略，以预防未来可能的危机。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5344"/>
      <w:r>
        <w:rPr>
          <w:rFonts w:ascii="仿宋" w:eastAsia="仿宋" w:hAnsi="仿宋" w:cs="仿宋" w:hint="eastAsia"/>
          <w:sz w:val="28"/>
          <w:lang w:eastAsia="zh-CN"/>
        </w:rPr>
        <w:t>四、转基因抗虫树木新品种项目建设单位说明</w:t>
      </w:r>
      <w:bookmarkEnd w:id="14"/>
    </w:p>
    <w:p>
      <w:pPr>
        <w:pStyle w:val="Heading2"/>
        <w:rPr>
          <w:rFonts w:ascii="仿宋" w:eastAsia="仿宋" w:hAnsi="仿宋" w:cs="仿宋" w:hint="eastAsia"/>
          <w:lang w:eastAsia="zh-CN"/>
        </w:rPr>
      </w:pPr>
      <w:bookmarkStart w:id="15" w:name="_Toc3690"/>
      <w:r>
        <w:rPr>
          <w:rFonts w:ascii="仿宋" w:eastAsia="仿宋" w:hAnsi="仿宋" w:cs="仿宋" w:hint="eastAsia"/>
          <w:lang w:eastAsia="zh-CN"/>
        </w:rPr>
        <w:t>(一)、转基因抗虫树木新品种项目承办单位基本情况</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935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转基因抗虫树木新品种项目承办单位的XXXX，我们着眼于实现可持续的经济效益。通过技术创新和解决方案的提供，公司预计在转基因抗虫树木新品种项目执行期间将获得可观的收入增长。这一收入来源主要包括转基因抗虫树木新品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同时，我们注重成本控制和效率提升，以确保转基因抗虫树木新品种项目的可持续盈利。透过精细的管理和资源优化，公司期望实现转基因抗虫树木新品种项目利润最大化。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转基因抗虫树木新品种项目实施进行全面的投资评估，包括转基因抗虫树木新品种项目启动阶段的资金投入和后续运营成本。通过对转基因抗虫树木新品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转基因抗虫树木新品种项目实施过程中具备足够的资金流动性，公司将进行详尽的现金流分析。这包括资金需求的合理预测、转基因抗虫树木新品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5736"/>
      <w:r>
        <w:rPr>
          <w:rFonts w:ascii="仿宋" w:eastAsia="仿宋" w:hAnsi="仿宋" w:cs="仿宋" w:hint="eastAsia"/>
          <w:sz w:val="28"/>
          <w:lang w:eastAsia="zh-CN"/>
        </w:rPr>
        <w:t>五、转基因抗虫树木新品种项目绩效评估</w:t>
      </w:r>
      <w:bookmarkEnd w:id="17"/>
    </w:p>
    <w:p>
      <w:pPr>
        <w:pStyle w:val="Heading2"/>
        <w:rPr>
          <w:rFonts w:ascii="仿宋" w:eastAsia="仿宋" w:hAnsi="仿宋" w:cs="仿宋" w:hint="eastAsia"/>
          <w:lang w:eastAsia="zh-CN"/>
        </w:rPr>
      </w:pPr>
      <w:bookmarkStart w:id="18" w:name="_Toc1570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抗虫树木新品种项目中，我们设计了一套全面的绩效评估指标，以确保转基因抗虫树木新品种项目的可控和成功交付。这些指标跨足转基因抗虫树木新品种项目目标、成本、进度和质量等多个维度，为我们提供了全面洞察转基因抗虫树木新品种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转基因抗虫树木新品种项目目标达成率是我们关注的首要指标。我们设定了明确的目标，并通过定期监测和评估，迅速发现并应对潜在的目标偏差。这为转基因抗虫树木新品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成本绩效是另一个核心关注点。通过实际成本与预算成本的对比分析，我们深入了解成本差异的原因，及时调整资源分配，保持转基因抗虫树木新品种项目在经济效益方面的合理水平。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进度作为关键的绩效指标之一，得到了精心的关注。我们制定了详细的转基因抗虫树木新品种项目进度计划，并设立了进度符合度指标，确保实际进度与计划进度保持一致。这使我们能够快速发现和解决潜在的进度问题，保持转基因抗虫树木新品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转基因抗虫树木新品种项目绩效的不可或缺的一环。我们引入了一系列的质量标准和客户满意度指标，以确保转基因抗虫树木新品种项目交付的成果在质量上达到或超越预期水平。通过持续监测这些指标，我们努力提升转基因抗虫树木新品种项目整体质量水平，为转基因抗虫树木新品种项目的成功交付提供有力保障。通过这些科学且全面的绩效评估，我们能够更好地引导转基因抗虫树木新品种项目的持续改进，确保转基因抗虫树木新品种项目目标的顺利达成。</w:t>
      </w:r>
    </w:p>
    <w:p>
      <w:pPr>
        <w:pStyle w:val="Heading2"/>
        <w:ind w:firstLine="560" w:firstLineChars="200"/>
        <w:rPr>
          <w:rFonts w:ascii="仿宋" w:eastAsia="仿宋" w:hAnsi="仿宋" w:cs="仿宋" w:hint="eastAsia"/>
          <w:sz w:val="28"/>
          <w:lang w:eastAsia="zh-CN"/>
        </w:rPr>
      </w:pPr>
      <w:bookmarkStart w:id="19" w:name="_Toc1866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绩效评估是转基因抗虫树木新品种项目中的关键环节，为确保转基因抗虫树木新品种项目达到预期目标，我们采用了多层次、多维度的绩效评估方法。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转基因抗虫树木新品种项目的战略目标对齐，确保每个决策和行动都与转基因抗虫树木新品种项目整体目标保持一致。团队会定期召开战略对齐会议，审视当前工作与转基因抗虫树木新品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转基因抗虫树木新品种项目进度、质量、成本和风险等方面。这些指标通过数据收集和分析，为转基因抗虫树木新品种项目管理团队提供了客观的评估依据。例如，我们通过转基因抗虫树木新品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转基因抗虫树木新品种项目内部，还考虑了转基因抗虫树木新品种项目对外部环境的影响。我们定期进行干系人满意度调查，以了解各利益相关方对转基因抗虫树木新品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这种多层次、多角度的绩效评估方法，使得我们能够全面了解转基因抗虫树木新品种项目的运行状态，及时做出调整，确保转基因抗虫树木新品种项目在不断变化的环境中保持稳健前行。</w:t>
      </w:r>
    </w:p>
    <w:p>
      <w:pPr>
        <w:pStyle w:val="Heading2"/>
        <w:ind w:firstLine="560" w:firstLineChars="200"/>
        <w:rPr>
          <w:rFonts w:ascii="仿宋" w:eastAsia="仿宋" w:hAnsi="仿宋" w:cs="仿宋" w:hint="eastAsia"/>
          <w:sz w:val="28"/>
          <w:lang w:eastAsia="zh-CN"/>
        </w:rPr>
      </w:pPr>
      <w:bookmarkStart w:id="20" w:name="_Toc916"/>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https://d.book118.com/988104004107006032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6327A5"/>
    <w:rsid w:val="686327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04004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2024-01-30T20:56:00Z</dcterms:created>
  <dcterms:modified xsi:type="dcterms:W3CDTF">2024-01-30T20:57:18Z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65151418F3D1433A8023AFED7D9BA71F_11</vt:lpwstr>
  </property>
  <property fmtid="{D5CDD505-2E9C-101B-9397-08002B2CF9AE}" pid="3" name="KSOProductBuildVer">
    <vt:lpwstr>2052-12.1.0.16250</vt:lpwstr>
  </property>
</Properties>
</file>