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  <w:bookmarkStart w:id="0" w:name="_GoBack"/>
      <w:bookmarkEnd w:id="0"/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  <w:r>
        <w:rPr>
          <w:rFonts w:ascii="微软雅黑" w:eastAsia="微软雅黑" w:hAnsi="微软雅黑" w:cs="微软雅黑"/>
          <w:b/>
          <w:bCs/>
          <w:color w:val="2D54A0"/>
          <w:spacing w:val="9"/>
          <w:sz w:val="59"/>
          <w:szCs w:val="59"/>
        </w:rPr>
        <w:t>2024年除草剂混剂行业趋势</w:t>
      </w:r>
      <w:r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  <w:t>报告</w:t>
      </w: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 w:hint="default"/>
          <w:b/>
          <w:bCs/>
          <w:color w:val="2D54A0"/>
          <w:spacing w:val="8"/>
          <w:sz w:val="44"/>
          <w:szCs w:val="44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b/>
          <w:bCs/>
          <w:color w:val="2D54A0"/>
          <w:spacing w:val="8"/>
          <w:sz w:val="44"/>
          <w:szCs w:val="44"/>
          <w:lang w:val="en-US" w:eastAsia="zh-CN"/>
        </w:rPr>
        <w:t>《2024年最新评估分析》</w:t>
      </w:r>
    </w:p>
    <w:p>
      <w:pPr>
        <w:spacing w:line="360" w:lineRule="auto"/>
        <w:jc w:val="center"/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</w:rPr>
      </w:pPr>
      <w:r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286" w:history="1">
        <w:r>
          <w:rPr>
            <w:rFonts w:ascii="微软雅黑" w:eastAsia="微软雅黑" w:hAnsi="微软雅黑" w:cs="微软雅黑" w:hint="eastAsia"/>
            <w:color w:val="001CAC" w:themeColor="hyperlink" w:themeShade="BF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_Toc2286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930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一、除草剂混剂行业背景及市场分析</w:t>
        </w:r>
        <w:r>
          <w:tab/>
        </w:r>
        <w:r>
          <w:fldChar w:fldCharType="begin"/>
        </w:r>
        <w:r>
          <w:instrText xml:space="preserve"> PAGEREF _Toc12930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(一)、除草剂混剂行业创新驱动</w:t>
        </w:r>
        <w:r>
          <w:tab/>
        </w:r>
        <w:r>
          <w:fldChar w:fldCharType="begin"/>
        </w:r>
        <w:r>
          <w:instrText xml:space="preserve"> PAGEREF _Toc2879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3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(二)、除草剂混剂行业发展现状</w:t>
        </w:r>
        <w:r>
          <w:tab/>
        </w:r>
        <w:r>
          <w:fldChar w:fldCharType="begin"/>
        </w:r>
        <w:r>
          <w:instrText xml:space="preserve"> PAGEREF _Toc15432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(三)、除草剂混剂行业高质量发展</w:t>
        </w:r>
        <w:r>
          <w:tab/>
        </w:r>
        <w:r>
          <w:fldChar w:fldCharType="begin"/>
        </w:r>
        <w:r>
          <w:instrText xml:space="preserve"> PAGEREF _Toc1121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2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(四)、除草剂混剂行业产业链分析</w:t>
        </w:r>
        <w:r>
          <w:tab/>
        </w:r>
        <w:r>
          <w:fldChar w:fldCharType="begin"/>
        </w:r>
        <w:r>
          <w:instrText xml:space="preserve"> PAGEREF _Toc13225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(五)、除草剂混剂行业发展方向</w:t>
        </w:r>
        <w:r>
          <w:tab/>
        </w:r>
        <w:r>
          <w:fldChar w:fldCharType="begin"/>
        </w:r>
        <w:r>
          <w:instrText xml:space="preserve"> PAGEREF _Toc905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1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(六)、除草剂混剂行业前景</w:t>
        </w:r>
        <w:r>
          <w:tab/>
        </w:r>
        <w:r>
          <w:fldChar w:fldCharType="begin"/>
        </w:r>
        <w:r>
          <w:instrText xml:space="preserve"> PAGEREF _Toc23919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(七)、除草剂混剂行业发展趋势</w:t>
        </w:r>
        <w:r>
          <w:tab/>
        </w:r>
        <w:r>
          <w:fldChar w:fldCharType="begin"/>
        </w:r>
        <w:r>
          <w:instrText xml:space="preserve"> PAGEREF _Toc2845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465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二、环境与社会责任</w:t>
        </w:r>
        <w:r>
          <w:tab/>
        </w:r>
        <w:r>
          <w:fldChar w:fldCharType="begin"/>
        </w:r>
        <w:r>
          <w:instrText xml:space="preserve"> PAGEREF _Toc18465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2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(一)、环境影响评估</w:t>
        </w:r>
        <w:r>
          <w:tab/>
        </w:r>
        <w:r>
          <w:fldChar w:fldCharType="begin"/>
        </w:r>
        <w:r>
          <w:instrText xml:space="preserve"> PAGEREF _Toc5722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1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(二)、社会责任与可持续发展</w:t>
        </w:r>
        <w:r>
          <w:tab/>
        </w:r>
        <w:r>
          <w:fldChar w:fldCharType="begin"/>
        </w:r>
        <w:r>
          <w:instrText xml:space="preserve"> PAGEREF _Toc21911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544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三、除草剂混剂行业选址方案分析</w:t>
        </w:r>
        <w:r>
          <w:tab/>
        </w:r>
        <w:r>
          <w:fldChar w:fldCharType="begin"/>
        </w:r>
        <w:r>
          <w:instrText xml:space="preserve"> PAGEREF _Toc11544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8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(一)、除草剂混剂行业选址影响因素</w:t>
        </w:r>
        <w:r>
          <w:tab/>
        </w:r>
        <w:r>
          <w:fldChar w:fldCharType="begin"/>
        </w:r>
        <w:r>
          <w:instrText xml:space="preserve"> PAGEREF _Toc28188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8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(二)、除草剂混剂行业选址原则</w:t>
        </w:r>
        <w:r>
          <w:tab/>
        </w:r>
        <w:r>
          <w:fldChar w:fldCharType="begin"/>
        </w:r>
        <w:r>
          <w:instrText xml:space="preserve"> PAGEREF _Toc32487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2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(三)、消费习惯对除草剂混剂行业选址的影响</w:t>
        </w:r>
        <w:r>
          <w:tab/>
        </w:r>
        <w:r>
          <w:fldChar w:fldCharType="begin"/>
        </w:r>
        <w:r>
          <w:instrText xml:space="preserve"> PAGEREF _Toc4524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(四)、消费能力对除草剂混剂行业选址的影响</w:t>
        </w:r>
        <w:r>
          <w:tab/>
        </w:r>
        <w:r>
          <w:fldChar w:fldCharType="begin"/>
        </w:r>
        <w:r>
          <w:instrText xml:space="preserve"> PAGEREF _Toc2009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9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(五)、经营成本对除草剂混剂行业选址的影响</w:t>
        </w:r>
        <w:r>
          <w:tab/>
        </w:r>
        <w:r>
          <w:fldChar w:fldCharType="begin"/>
        </w:r>
        <w:r>
          <w:instrText xml:space="preserve"> PAGEREF _Toc24591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8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(六)、交通条件对除草剂混剂行业选址的影响</w:t>
        </w:r>
        <w:r>
          <w:tab/>
        </w:r>
        <w:r>
          <w:fldChar w:fldCharType="begin"/>
        </w:r>
        <w:r>
          <w:instrText xml:space="preserve"> PAGEREF _Toc5288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047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四、制度运行与优化</w:t>
        </w:r>
        <w:r>
          <w:tab/>
        </w:r>
        <w:r>
          <w:fldChar w:fldCharType="begin"/>
        </w:r>
        <w:r>
          <w:instrText xml:space="preserve"> PAGEREF _Toc14047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1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(一)、制度执行与监督</w:t>
        </w:r>
        <w:r>
          <w:tab/>
        </w:r>
        <w:r>
          <w:fldChar w:fldCharType="begin"/>
        </w:r>
        <w:r>
          <w:instrText xml:space="preserve"> PAGEREF _Toc26917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5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(二)、制度优化与更新</w:t>
        </w:r>
        <w:r>
          <w:tab/>
        </w:r>
        <w:r>
          <w:fldChar w:fldCharType="begin"/>
        </w:r>
        <w:r>
          <w:instrText xml:space="preserve"> PAGEREF _Toc15553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980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五、质量管理与持续改进</w:t>
        </w:r>
        <w:r>
          <w:tab/>
        </w:r>
        <w:r>
          <w:fldChar w:fldCharType="begin"/>
        </w:r>
        <w:r>
          <w:instrText xml:space="preserve"> PAGEREF _Toc8980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9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_Toc11092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(二)、生产过程控制与优化</w:t>
        </w:r>
        <w:r>
          <w:tab/>
        </w:r>
        <w:r>
          <w:fldChar w:fldCharType="begin"/>
        </w:r>
        <w:r>
          <w:instrText xml:space="preserve"> PAGEREF _Toc1242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1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(三)、产品质量检验与测试</w:t>
        </w:r>
        <w:r>
          <w:tab/>
        </w:r>
        <w:r>
          <w:fldChar w:fldCharType="begin"/>
        </w:r>
        <w:r>
          <w:instrText xml:space="preserve"> PAGEREF _Toc30115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3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(四)、用户反馈与质量改进</w:t>
        </w:r>
        <w:r>
          <w:tab/>
        </w:r>
        <w:r>
          <w:fldChar w:fldCharType="begin"/>
        </w:r>
        <w:r>
          <w:instrText xml:space="preserve"> PAGEREF _Toc28332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15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六、除草剂混剂行业财务管理分析</w:t>
        </w:r>
        <w:r>
          <w:tab/>
        </w:r>
        <w:r>
          <w:fldChar w:fldCharType="begin"/>
        </w:r>
        <w:r>
          <w:instrText xml:space="preserve"> PAGEREF _Toc5915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2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(一)、除草剂混剂行业财务管理制度</w:t>
        </w:r>
        <w:r>
          <w:tab/>
        </w:r>
        <w:r>
          <w:fldChar w:fldCharType="begin"/>
        </w:r>
        <w:r>
          <w:instrText xml:space="preserve"> PAGEREF _Toc16923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5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(二)、除草剂混剂行业经济效益分析</w:t>
        </w:r>
        <w:r>
          <w:tab/>
        </w:r>
        <w:r>
          <w:fldChar w:fldCharType="begin"/>
        </w:r>
        <w:r>
          <w:instrText xml:space="preserve"> PAGEREF _Toc30559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(三)、除草剂混剂行业收入及成本核算</w:t>
        </w:r>
        <w:r>
          <w:tab/>
        </w:r>
        <w:r>
          <w:fldChar w:fldCharType="begin"/>
        </w:r>
        <w:r>
          <w:instrText xml:space="preserve"> PAGEREF _Toc2874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2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(四)、除草剂混剂行业成本管理</w:t>
        </w:r>
        <w:r>
          <w:tab/>
        </w:r>
        <w:r>
          <w:fldChar w:fldCharType="begin"/>
        </w:r>
        <w:r>
          <w:instrText xml:space="preserve"> PAGEREF _Toc29026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5517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七、公司文化与社会责任</w:t>
        </w:r>
        <w:r>
          <w:tab/>
        </w:r>
        <w:r>
          <w:fldChar w:fldCharType="begin"/>
        </w:r>
        <w:r>
          <w:instrText xml:space="preserve"> PAGEREF _Toc25517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6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(一)、公司文化建设</w:t>
        </w:r>
        <w:r>
          <w:tab/>
        </w:r>
        <w:r>
          <w:fldChar w:fldCharType="begin"/>
        </w:r>
        <w:r>
          <w:instrText xml:space="preserve"> PAGEREF _Toc16563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5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(二)、企业社会责任与可持续发展</w:t>
        </w:r>
        <w:r>
          <w:tab/>
        </w:r>
        <w:r>
          <w:fldChar w:fldCharType="begin"/>
        </w:r>
        <w:r>
          <w:instrText xml:space="preserve"> PAGEREF _Toc26459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137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八、领导力发展与企业文化</w:t>
        </w:r>
        <w:r>
          <w:tab/>
        </w:r>
        <w:r>
          <w:fldChar w:fldCharType="begin"/>
        </w:r>
        <w:r>
          <w:instrText xml:space="preserve"> PAGEREF _Toc28137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0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(一)、高效团队建设原则</w:t>
        </w:r>
        <w:r>
          <w:tab/>
        </w:r>
        <w:r>
          <w:fldChar w:fldCharType="begin"/>
        </w:r>
        <w:r>
          <w:instrText xml:space="preserve"> PAGEREF _Toc4001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2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(二)、团队文化与价值观塑造</w:t>
        </w:r>
        <w:r>
          <w:tab/>
        </w:r>
        <w:r>
          <w:fldChar w:fldCharType="begin"/>
        </w:r>
        <w:r>
          <w:instrText xml:space="preserve"> PAGEREF _Toc23424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0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(三)、领导力发展计划</w:t>
        </w:r>
        <w:r>
          <w:tab/>
        </w:r>
        <w:r>
          <w:fldChar w:fldCharType="begin"/>
        </w:r>
        <w:r>
          <w:instrText xml:space="preserve"> PAGEREF _Toc12603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4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(四)、领导力在变革中的作用</w:t>
        </w:r>
        <w:r>
          <w:tab/>
        </w:r>
        <w:r>
          <w:fldChar w:fldCharType="begin"/>
        </w:r>
        <w:r>
          <w:instrText xml:space="preserve"> PAGEREF _Toc24246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284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九、资金筹措与投资分析</w:t>
        </w:r>
        <w:r>
          <w:tab/>
        </w:r>
        <w:r>
          <w:fldChar w:fldCharType="begin"/>
        </w:r>
        <w:r>
          <w:instrText xml:space="preserve"> PAGEREF _Toc31284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7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(一)、资金需求与筹措计划</w:t>
        </w:r>
        <w:r>
          <w:tab/>
        </w:r>
        <w:r>
          <w:fldChar w:fldCharType="begin"/>
        </w:r>
        <w:r>
          <w:instrText xml:space="preserve"> PAGEREF _Toc27678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8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(二)、投资分析与回报预期</w:t>
        </w:r>
        <w:r>
          <w:tab/>
        </w:r>
        <w:r>
          <w:fldChar w:fldCharType="begin"/>
        </w:r>
        <w:r>
          <w:instrText xml:space="preserve"> PAGEREF _Toc30880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73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十、安全与劳动保护</w:t>
        </w:r>
        <w:r>
          <w:tab/>
        </w:r>
        <w:r>
          <w:fldChar w:fldCharType="begin"/>
        </w:r>
        <w:r>
          <w:instrText xml:space="preserve"> PAGEREF _Toc24073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2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(一)、设计依据与法规合规</w:t>
        </w:r>
        <w:r>
          <w:tab/>
        </w:r>
        <w:r>
          <w:fldChar w:fldCharType="begin"/>
        </w:r>
        <w:r>
          <w:instrText xml:space="preserve"> PAGEREF _Toc14323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8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(二)、劳动安全预期效果评价</w:t>
        </w:r>
        <w:r>
          <w:tab/>
        </w:r>
        <w:r>
          <w:fldChar w:fldCharType="begin"/>
        </w:r>
        <w:r>
          <w:instrText xml:space="preserve"> PAGEREF _Toc19187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4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(三)、主要防范措施</w:t>
        </w:r>
        <w:r>
          <w:tab/>
        </w:r>
        <w:r>
          <w:fldChar w:fldCharType="begin"/>
        </w:r>
        <w:r>
          <w:instrText xml:space="preserve"> PAGEREF _Toc12842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50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十一、制度运行与优化</w:t>
        </w:r>
        <w:r>
          <w:tab/>
        </w:r>
        <w:r>
          <w:fldChar w:fldCharType="begin"/>
        </w:r>
        <w:r>
          <w:instrText xml:space="preserve"> PAGEREF _Toc21650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2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(一)、制度执行与监督</w:t>
        </w:r>
        <w:r>
          <w:tab/>
        </w:r>
        <w:r>
          <w:fldChar w:fldCharType="begin"/>
        </w:r>
        <w:r>
          <w:instrText xml:space="preserve"> PAGEREF _Toc31523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2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(二)、制度优化与更新</w:t>
        </w:r>
        <w:r>
          <w:tab/>
        </w:r>
        <w:r>
          <w:fldChar w:fldCharType="begin"/>
        </w:r>
        <w:r>
          <w:instrText xml:space="preserve"> PAGEREF _Toc23620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729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十二、除草剂混剂行业质量管理方案</w:t>
        </w:r>
        <w:r>
          <w:tab/>
        </w:r>
        <w:r>
          <w:fldChar w:fldCharType="begin"/>
        </w:r>
        <w:r>
          <w:instrText xml:space="preserve"> PAGEREF _Toc32729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5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(一)、除草剂混剂行业质量管理要求</w:t>
        </w:r>
        <w:r>
          <w:tab/>
        </w:r>
        <w:r>
          <w:fldChar w:fldCharType="begin"/>
        </w:r>
        <w:r>
          <w:instrText xml:space="preserve"> PAGEREF _Toc12258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7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(二)、除草剂混剂行业服务质量管理方案</w:t>
        </w:r>
        <w:r>
          <w:tab/>
        </w:r>
        <w:r>
          <w:fldChar w:fldCharType="begin"/>
        </w:r>
        <w:r>
          <w:instrText xml:space="preserve"> PAGEREF _Toc16479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3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(三)、除草剂混剂行业质量成本管理方案</w:t>
        </w:r>
        <w:r>
          <w:tab/>
        </w:r>
        <w:r>
          <w:fldChar w:fldCharType="begin"/>
        </w:r>
        <w:r>
          <w:instrText xml:space="preserve"> PAGEREF _Toc6730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r>
        <w:fldChar w:fldCharType="end"/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https://d.book118.com/988104120053006027</w:t>
        </w:r>
      </w:hyperlink>
    </w:p>
    <w:p/>
    <w:sectPr>
      <w:headerReference w:type="default" r:id="rId9"/>
      <w:footerReference w:type="default" r:id="rId10"/>
      <w:type w:val="nextPage"/>
      <w:pgSz w:w="11906" w:h="16838"/>
      <w:pgMar w:top="1440" w:right="1800" w:bottom="1440" w:left="1800" w:header="851" w:footer="992" w:gutter="0"/>
      <w:pgNumType w:start="3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82775B3"/>
    <w:rsid w:val="02623C3C"/>
    <w:rsid w:val="03734037"/>
    <w:rsid w:val="13614867"/>
    <w:rsid w:val="316D2E08"/>
    <w:rsid w:val="3DAC44EE"/>
    <w:rsid w:val="453746B4"/>
    <w:rsid w:val="482775B3"/>
    <w:rsid w:val="49C53810"/>
    <w:rsid w:val="4E155AC7"/>
    <w:rsid w:val="50930768"/>
    <w:rsid w:val="62A91464"/>
    <w:rsid w:val="692E1C42"/>
  </w:rsids>
  <w:docVars>
    <w:docVar w:name="commondata" w:val="eyJoZGlkIjoiYjEzZTI3MzIxYzUxM2E3Y2YyMDVhZDRkMWU5YjExZ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 w:qFormat="1"/>
    <w:lsdException w:name="toc 2" w:semiHidden="0" w:uiPriority="0" w:unhideWhenUsed="0" w:qFormat="1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 w:qFormat="1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autoRedefine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autoRedefine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  <w:autoRedefine/>
    <w:qFormat/>
  </w:style>
  <w:style w:type="paragraph" w:styleId="TOC2">
    <w:name w:val="toc 2"/>
    <w:basedOn w:val="Normal"/>
    <w:next w:val="Normal"/>
    <w:autoRedefine/>
    <w:qFormat/>
    <w:pPr>
      <w:ind w:left="420" w:leftChars="200"/>
    </w:pPr>
  </w:style>
  <w:style w:type="character" w:styleId="PageNumber">
    <w:name w:val="page number"/>
    <w:basedOn w:val="DefaultParagraphFont"/>
    <w:autoRedefine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yperlink" Target="https://d.book118.com/988104120053006027" TargetMode="Externa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小海豹</cp:lastModifiedBy>
  <cp:revision>1</cp:revision>
  <dcterms:created xsi:type="dcterms:W3CDTF">2023-12-10T12:06:00Z</dcterms:created>
  <dcterms:modified xsi:type="dcterms:W3CDTF">2024-01-17T07:39:49Z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1E39AA5D4B7F4B19B7D16FD992F8235D_13</vt:lpwstr>
  </property>
  <property fmtid="{D5CDD505-2E9C-101B-9397-08002B2CF9AE}" pid="3" name="KSOProductBuildVer">
    <vt:lpwstr>2052-12.1.0.16120</vt:lpwstr>
  </property>
</Properties>
</file>