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18"/>
        <w:ind w:left="0" w:right="156" w:firstLine="0"/>
        <w:jc w:val="center"/>
        <w:rPr>
          <w:b/>
          <w:sz w:val="72"/>
        </w:rPr>
      </w:pPr>
      <w:r>
        <w:rPr>
          <w:b/>
          <w:sz w:val="72"/>
        </w:rPr>
        <w:t>建设项目环境影响报告表</w:t>
      </w:r>
    </w:p>
    <w:p>
      <w:pPr>
        <w:spacing w:before="200"/>
        <w:ind w:left="0" w:right="153" w:firstLine="0"/>
        <w:jc w:val="center"/>
        <w:rPr>
          <w:rFonts w:ascii="楷体" w:eastAsia="楷体" w:hint="eastAsia"/>
          <w:sz w:val="48"/>
        </w:rPr>
      </w:pPr>
      <w:r>
        <w:rPr>
          <w:rFonts w:ascii="楷体" w:eastAsia="楷体" w:hint="eastAsia"/>
          <w:sz w:val="48"/>
        </w:rPr>
        <w:t>（</w:t>
      </w:r>
      <w:r>
        <w:rPr>
          <w:sz w:val="48"/>
        </w:rPr>
        <w:t>生态影响类</w:t>
      </w:r>
      <w:r>
        <w:rPr>
          <w:rFonts w:ascii="楷体" w:eastAsia="楷体" w:hint="eastAsia"/>
          <w:sz w:val="48"/>
        </w:rPr>
        <w:t>）</w:t>
      </w: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pStyle w:val="BodyText"/>
        <w:rPr>
          <w:rFonts w:ascii="楷体"/>
          <w:sz w:val="48"/>
        </w:rPr>
      </w:pPr>
    </w:p>
    <w:p>
      <w:pPr>
        <w:tabs>
          <w:tab w:val="left" w:pos="9396"/>
        </w:tabs>
        <w:spacing w:before="394" w:line="362" w:lineRule="auto"/>
        <w:ind w:left="1588" w:right="376" w:firstLine="0"/>
        <w:jc w:val="left"/>
        <w:rPr>
          <w:b/>
          <w:sz w:val="36"/>
        </w:rPr>
      </w:pPr>
      <w:r>
        <w:rPr>
          <w:b/>
          <w:sz w:val="36"/>
        </w:rPr>
        <w:t>项</w:t>
      </w:r>
      <w:r>
        <w:rPr>
          <w:b/>
          <w:spacing w:val="175"/>
          <w:sz w:val="36"/>
        </w:rPr>
        <w:t xml:space="preserve"> </w:t>
      </w:r>
      <w:r>
        <w:rPr>
          <w:b/>
          <w:sz w:val="36"/>
        </w:rPr>
        <w:t>目</w:t>
      </w:r>
      <w:r>
        <w:rPr>
          <w:b/>
          <w:spacing w:val="176"/>
          <w:sz w:val="36"/>
        </w:rPr>
        <w:t xml:space="preserve"> </w:t>
      </w:r>
      <w:r>
        <w:rPr>
          <w:b/>
          <w:sz w:val="36"/>
        </w:rPr>
        <w:t>名</w:t>
      </w:r>
      <w:r>
        <w:rPr>
          <w:b/>
          <w:spacing w:val="177"/>
          <w:sz w:val="36"/>
        </w:rPr>
        <w:t xml:space="preserve"> </w:t>
      </w:r>
      <w:r>
        <w:rPr>
          <w:b/>
          <w:sz w:val="36"/>
        </w:rPr>
        <w:t>称</w:t>
      </w:r>
      <w:r>
        <w:rPr>
          <w:b/>
          <w:spacing w:val="-144"/>
          <w:sz w:val="36"/>
        </w:rPr>
        <w:t>：</w:t>
      </w:r>
      <w:r>
        <w:rPr>
          <w:b/>
          <w:sz w:val="36"/>
          <w:u w:val="single"/>
        </w:rPr>
        <w:t>德州经济技</w:t>
      </w:r>
      <w:r>
        <w:rPr>
          <w:b/>
          <w:spacing w:val="4"/>
          <w:sz w:val="36"/>
          <w:u w:val="single"/>
        </w:rPr>
        <w:t>术</w:t>
      </w:r>
      <w:r>
        <w:rPr>
          <w:b/>
          <w:sz w:val="36"/>
          <w:u w:val="single"/>
        </w:rPr>
        <w:t>开发区</w:t>
      </w:r>
      <w:r>
        <w:rPr>
          <w:b/>
          <w:spacing w:val="4"/>
          <w:sz w:val="36"/>
          <w:u w:val="single"/>
        </w:rPr>
        <w:t>引</w:t>
      </w:r>
      <w:r>
        <w:rPr>
          <w:b/>
          <w:sz w:val="36"/>
          <w:u w:val="single"/>
        </w:rPr>
        <w:t>调水</w:t>
      </w:r>
      <w:r>
        <w:rPr>
          <w:b/>
          <w:spacing w:val="4"/>
          <w:sz w:val="36"/>
          <w:u w:val="single"/>
        </w:rPr>
        <w:t>工</w:t>
      </w:r>
      <w:r>
        <w:rPr>
          <w:b/>
          <w:spacing w:val="3"/>
          <w:sz w:val="36"/>
          <w:u w:val="single"/>
        </w:rPr>
        <w:t>程</w:t>
      </w:r>
      <w:r>
        <w:rPr>
          <w:b/>
          <w:spacing w:val="4"/>
          <w:sz w:val="36"/>
        </w:rPr>
        <w:t>建</w:t>
      </w:r>
      <w:r>
        <w:rPr>
          <w:b/>
          <w:sz w:val="36"/>
        </w:rPr>
        <w:t>设单位</w:t>
      </w:r>
      <w:r>
        <w:rPr>
          <w:b/>
          <w:spacing w:val="4"/>
          <w:sz w:val="36"/>
        </w:rPr>
        <w:t>（</w:t>
      </w:r>
      <w:r>
        <w:rPr>
          <w:b/>
          <w:sz w:val="36"/>
        </w:rPr>
        <w:t>盖章</w:t>
      </w:r>
      <w:r>
        <w:rPr>
          <w:b/>
          <w:spacing w:val="3"/>
          <w:sz w:val="36"/>
        </w:rPr>
        <w:t>）：</w:t>
      </w:r>
      <w:r>
        <w:rPr>
          <w:b/>
          <w:sz w:val="36"/>
          <w:u w:val="single"/>
        </w:rPr>
        <w:t>德州</w:t>
      </w:r>
      <w:r>
        <w:rPr>
          <w:b/>
          <w:spacing w:val="4"/>
          <w:sz w:val="36"/>
          <w:u w:val="single"/>
        </w:rPr>
        <w:t>宏</w:t>
      </w:r>
      <w:r>
        <w:rPr>
          <w:b/>
          <w:sz w:val="36"/>
          <w:u w:val="single"/>
        </w:rPr>
        <w:t>润</w:t>
      </w:r>
      <w:r>
        <w:rPr>
          <w:b/>
          <w:spacing w:val="4"/>
          <w:sz w:val="36"/>
          <w:u w:val="single"/>
        </w:rPr>
        <w:t>建</w:t>
      </w:r>
      <w:r>
        <w:rPr>
          <w:b/>
          <w:sz w:val="36"/>
          <w:u w:val="single"/>
        </w:rPr>
        <w:t>设管理</w:t>
      </w:r>
      <w:r>
        <w:rPr>
          <w:b/>
          <w:spacing w:val="4"/>
          <w:sz w:val="36"/>
          <w:u w:val="single"/>
        </w:rPr>
        <w:t>有</w:t>
      </w:r>
      <w:r>
        <w:rPr>
          <w:b/>
          <w:sz w:val="36"/>
          <w:u w:val="single"/>
        </w:rPr>
        <w:t>限公司</w:t>
      </w:r>
      <w:r>
        <w:rPr>
          <w:b/>
          <w:sz w:val="36"/>
        </w:rPr>
        <w:t xml:space="preserve"> 编  制  日  期 ：</w:t>
      </w:r>
      <w:r>
        <w:rPr>
          <w:rFonts w:ascii="Times New Roman" w:eastAsia="Times New Roman"/>
          <w:b/>
          <w:sz w:val="36"/>
          <w:u w:val="thick"/>
        </w:rPr>
        <w:t xml:space="preserve">2023 </w:t>
      </w:r>
      <w:r>
        <w:rPr>
          <w:b/>
          <w:sz w:val="36"/>
          <w:u w:val="thick"/>
        </w:rPr>
        <w:t>年</w:t>
      </w:r>
      <w:r>
        <w:rPr>
          <w:b/>
          <w:spacing w:val="-101"/>
          <w:sz w:val="36"/>
          <w:u w:val="thick"/>
        </w:rPr>
        <w:t xml:space="preserve"> </w:t>
      </w:r>
      <w:r>
        <w:rPr>
          <w:rFonts w:ascii="Times New Roman" w:eastAsia="Times New Roman"/>
          <w:b/>
          <w:sz w:val="36"/>
          <w:u w:val="thick"/>
        </w:rPr>
        <w:t xml:space="preserve">12 </w:t>
      </w:r>
      <w:r>
        <w:rPr>
          <w:b/>
          <w:sz w:val="36"/>
          <w:u w:val="thick"/>
        </w:rPr>
        <w:t>月</w:t>
      </w:r>
      <w:r>
        <w:rPr>
          <w:b/>
          <w:spacing w:val="2"/>
          <w:w w:val="99"/>
          <w:sz w:val="36"/>
          <w:u w:val="thick"/>
        </w:rPr>
        <w:t xml:space="preserve">   </w:t>
      </w:r>
      <w:r>
        <w:rPr>
          <w:b/>
          <w:spacing w:val="-3"/>
          <w:w w:val="99"/>
          <w:sz w:val="36"/>
          <w:u w:val="thick"/>
        </w:rPr>
        <w:t xml:space="preserve"> </w:t>
      </w:r>
      <w:r>
        <w:rPr>
          <w:b/>
          <w:spacing w:val="2"/>
          <w:w w:val="99"/>
          <w:sz w:val="36"/>
          <w:u w:val="thick"/>
        </w:rPr>
        <w:t xml:space="preserve">  </w:t>
      </w:r>
      <w:r>
        <w:rPr>
          <w:b/>
          <w:spacing w:val="-3"/>
          <w:w w:val="99"/>
          <w:sz w:val="36"/>
          <w:u w:val="thick"/>
        </w:rPr>
        <w:t xml:space="preserve"> </w:t>
      </w:r>
      <w:r>
        <w:rPr>
          <w:b/>
          <w:spacing w:val="2"/>
          <w:w w:val="99"/>
          <w:sz w:val="36"/>
          <w:u w:val="thick"/>
        </w:rPr>
        <w:t xml:space="preserve">  </w:t>
      </w:r>
      <w:r>
        <w:rPr>
          <w:b/>
          <w:w w:val="99"/>
          <w:sz w:val="36"/>
          <w:u w:val="thick"/>
        </w:rPr>
        <w:t xml:space="preserve"> </w:t>
      </w:r>
      <w:r>
        <w:rPr>
          <w:b/>
          <w:sz w:val="36"/>
          <w:u w:val="thick"/>
        </w:rPr>
        <w:tab/>
      </w:r>
    </w:p>
    <w:p>
      <w:pPr>
        <w:pStyle w:val="BodyText"/>
        <w:rPr>
          <w:b/>
          <w:sz w:val="20"/>
        </w:rPr>
      </w:pPr>
    </w:p>
    <w:p>
      <w:pPr>
        <w:pStyle w:val="BodyText"/>
        <w:spacing w:before="1"/>
        <w:rPr>
          <w:b/>
          <w:sz w:val="21"/>
        </w:rPr>
      </w:pPr>
    </w:p>
    <w:p>
      <w:pPr>
        <w:pStyle w:val="Heading1"/>
        <w:spacing w:before="49"/>
        <w:ind w:left="0" w:right="160"/>
        <w:jc w:val="center"/>
      </w:pPr>
      <w:r>
        <w:t>中华人民共和国生态环境部制</w:t>
      </w:r>
    </w:p>
    <w:p>
      <w:pPr>
        <w:pStyle w:val="BodyText"/>
        <w:spacing w:before="4"/>
        <w:rPr>
          <w:rFonts w:ascii="微软雅黑" w:eastAsia="微软雅黑" w:hint="eastAsia"/>
          <w:sz w:val="38"/>
        </w:rPr>
      </w:pPr>
    </w:p>
    <w:p>
      <w:pPr>
        <w:pStyle w:val="BodyText"/>
        <w:spacing w:before="11"/>
        <w:rPr>
          <w:rFonts w:ascii="微软雅黑"/>
        </w:rPr>
      </w:pPr>
    </w:p>
    <w:p>
      <w:pPr>
        <w:spacing w:before="60"/>
        <w:ind w:left="0" w:right="102" w:firstLine="0"/>
        <w:jc w:val="right"/>
        <w:rPr>
          <w:sz w:val="30"/>
        </w:rPr>
      </w:pPr>
    </w:p>
    <w:p>
      <w:pPr>
        <w:spacing w:after="0"/>
        <w:jc w:val="right"/>
        <w:rPr>
          <w:sz w:val="30"/>
        </w:rPr>
        <w:sectPr>
          <w:pgSz w:w="11910" w:h="16840"/>
          <w:pgMar w:top="1580" w:right="820" w:bottom="280" w:left="980" w:header="720" w:footer="720" w:gutter="0"/>
          <w:cols w:num="1" w:space="720"/>
        </w:sectPr>
      </w:pPr>
    </w:p>
    <w:p>
      <w:pPr>
        <w:tabs>
          <w:tab w:val="left" w:pos="725"/>
        </w:tabs>
        <w:spacing w:before="37"/>
        <w:ind w:left="0" w:right="33" w:firstLine="0"/>
        <w:jc w:val="center"/>
        <w:rPr>
          <w:sz w:val="24"/>
        </w:rPr>
      </w:pPr>
      <w:r>
        <w:rPr>
          <w:rFonts w:ascii="仿宋" w:eastAsia="仿宋" w:hint="eastAsia"/>
          <w:b/>
          <w:sz w:val="36"/>
        </w:rPr>
        <w:t>目</w:t>
      </w:r>
      <w:r>
        <w:rPr>
          <w:rFonts w:ascii="仿宋" w:eastAsia="仿宋" w:hint="eastAsia"/>
          <w:b/>
          <w:sz w:val="36"/>
        </w:rPr>
        <w:tab/>
      </w:r>
      <w:r>
        <w:rPr>
          <w:rFonts w:ascii="仿宋" w:eastAsia="仿宋" w:hint="eastAsia"/>
          <w:b/>
          <w:sz w:val="36"/>
        </w:rPr>
        <w:t>录</w:t>
      </w:r>
      <w:r>
        <w:rPr>
          <w:sz w:val="24"/>
        </w:rPr>
        <w:t xml:space="preserve"> </w:t>
      </w:r>
    </w:p>
    <w:p>
      <w:pPr>
        <w:pStyle w:val="BodyText"/>
        <w:spacing w:before="5"/>
        <w:rPr>
          <w:sz w:val="28"/>
        </w:rPr>
      </w:pPr>
    </w:p>
    <w:p>
      <w:pPr>
        <w:pStyle w:val="Heading4"/>
        <w:tabs>
          <w:tab w:val="left" w:leader="dot" w:pos="9631"/>
        </w:tabs>
        <w:spacing w:before="1"/>
        <w:ind w:left="100"/>
        <w:rPr>
          <w:b w:val="0"/>
        </w:rPr>
      </w:pPr>
      <w:r>
        <w:t>一</w:t>
      </w:r>
      <w:r>
        <w:rPr>
          <w:spacing w:val="4"/>
        </w:rPr>
        <w:t>、</w:t>
      </w:r>
      <w:r>
        <w:t>建设项目基</w:t>
      </w:r>
      <w:r>
        <w:rPr>
          <w:spacing w:val="4"/>
        </w:rPr>
        <w:t>本</w:t>
      </w:r>
      <w:r>
        <w:t>情况</w:t>
      </w:r>
      <w:r>
        <w:tab/>
      </w:r>
      <w:r>
        <w:t>1</w:t>
      </w:r>
      <w:r>
        <w:rPr>
          <w:b w:val="0"/>
        </w:rPr>
        <w:t xml:space="preserve"> </w:t>
      </w:r>
    </w:p>
    <w:p>
      <w:pPr>
        <w:pStyle w:val="BodyText"/>
        <w:spacing w:before="9"/>
        <w:rPr>
          <w:sz w:val="21"/>
        </w:rPr>
      </w:pPr>
    </w:p>
    <w:p>
      <w:pPr>
        <w:tabs>
          <w:tab w:val="left" w:leader="dot" w:pos="9506"/>
        </w:tabs>
        <w:spacing w:before="0"/>
        <w:ind w:left="100" w:right="0" w:firstLine="0"/>
        <w:jc w:val="left"/>
        <w:rPr>
          <w:sz w:val="24"/>
        </w:rPr>
      </w:pPr>
      <w:r>
        <w:rPr>
          <w:b/>
          <w:sz w:val="24"/>
        </w:rPr>
        <w:t>二</w:t>
      </w:r>
      <w:r>
        <w:rPr>
          <w:b/>
          <w:spacing w:val="4"/>
          <w:sz w:val="24"/>
        </w:rPr>
        <w:t>、</w:t>
      </w:r>
      <w:r>
        <w:rPr>
          <w:b/>
          <w:sz w:val="24"/>
        </w:rPr>
        <w:t>建设内容</w:t>
      </w:r>
      <w:r>
        <w:rPr>
          <w:b/>
          <w:sz w:val="24"/>
        </w:rPr>
        <w:tab/>
      </w:r>
      <w:r>
        <w:rPr>
          <w:b/>
          <w:sz w:val="24"/>
        </w:rPr>
        <w:t>20</w:t>
      </w:r>
      <w:r>
        <w:rPr>
          <w:sz w:val="24"/>
        </w:rPr>
        <w:t xml:space="preserve"> </w:t>
      </w:r>
    </w:p>
    <w:p>
      <w:pPr>
        <w:pStyle w:val="BodyText"/>
        <w:spacing w:before="9"/>
        <w:rPr>
          <w:sz w:val="21"/>
        </w:rPr>
      </w:pPr>
    </w:p>
    <w:p>
      <w:pPr>
        <w:tabs>
          <w:tab w:val="left" w:leader="dot" w:pos="9506"/>
        </w:tabs>
        <w:spacing w:before="0"/>
        <w:ind w:left="100" w:right="0" w:firstLine="0"/>
        <w:jc w:val="left"/>
        <w:rPr>
          <w:sz w:val="24"/>
        </w:rPr>
      </w:pPr>
      <w:r>
        <w:rPr>
          <w:b/>
          <w:sz w:val="24"/>
        </w:rPr>
        <w:t>三</w:t>
      </w:r>
      <w:r>
        <w:rPr>
          <w:b/>
          <w:spacing w:val="4"/>
          <w:sz w:val="24"/>
        </w:rPr>
        <w:t>、</w:t>
      </w:r>
      <w:r>
        <w:rPr>
          <w:b/>
          <w:sz w:val="24"/>
        </w:rPr>
        <w:t>生态环境现</w:t>
      </w:r>
      <w:r>
        <w:rPr>
          <w:b/>
          <w:spacing w:val="4"/>
          <w:sz w:val="24"/>
        </w:rPr>
        <w:t>状</w:t>
      </w:r>
      <w:r>
        <w:rPr>
          <w:b/>
          <w:sz w:val="24"/>
        </w:rPr>
        <w:t>、环境保</w:t>
      </w:r>
      <w:r>
        <w:rPr>
          <w:b/>
          <w:spacing w:val="4"/>
          <w:sz w:val="24"/>
        </w:rPr>
        <w:t>护</w:t>
      </w:r>
      <w:r>
        <w:rPr>
          <w:b/>
          <w:sz w:val="24"/>
        </w:rPr>
        <w:t>目标及评</w:t>
      </w:r>
      <w:r>
        <w:rPr>
          <w:b/>
          <w:spacing w:val="4"/>
          <w:sz w:val="24"/>
        </w:rPr>
        <w:t>价</w:t>
      </w:r>
      <w:r>
        <w:rPr>
          <w:b/>
          <w:sz w:val="24"/>
        </w:rPr>
        <w:t>标准</w:t>
      </w:r>
      <w:r>
        <w:rPr>
          <w:b/>
          <w:sz w:val="24"/>
        </w:rPr>
        <w:tab/>
      </w:r>
      <w:r>
        <w:rPr>
          <w:b/>
          <w:sz w:val="24"/>
        </w:rPr>
        <w:t>41</w:t>
      </w:r>
      <w:r>
        <w:rPr>
          <w:sz w:val="24"/>
        </w:rPr>
        <w:t xml:space="preserve"> </w:t>
      </w:r>
    </w:p>
    <w:p>
      <w:pPr>
        <w:pStyle w:val="BodyText"/>
        <w:spacing w:before="1"/>
        <w:rPr>
          <w:sz w:val="22"/>
        </w:rPr>
      </w:pPr>
    </w:p>
    <w:p>
      <w:pPr>
        <w:tabs>
          <w:tab w:val="left" w:leader="dot" w:pos="9506"/>
        </w:tabs>
        <w:spacing w:before="0"/>
        <w:ind w:left="100" w:right="0" w:firstLine="0"/>
        <w:jc w:val="left"/>
        <w:rPr>
          <w:sz w:val="24"/>
        </w:rPr>
      </w:pPr>
      <w:r>
        <w:rPr>
          <w:b/>
          <w:sz w:val="24"/>
        </w:rPr>
        <w:t>四</w:t>
      </w:r>
      <w:r>
        <w:rPr>
          <w:b/>
          <w:spacing w:val="4"/>
          <w:sz w:val="24"/>
        </w:rPr>
        <w:t>、</w:t>
      </w:r>
      <w:r>
        <w:rPr>
          <w:b/>
          <w:sz w:val="24"/>
        </w:rPr>
        <w:t>生态环境影</w:t>
      </w:r>
      <w:r>
        <w:rPr>
          <w:b/>
          <w:spacing w:val="4"/>
          <w:sz w:val="24"/>
        </w:rPr>
        <w:t>响</w:t>
      </w:r>
      <w:r>
        <w:rPr>
          <w:b/>
          <w:sz w:val="24"/>
        </w:rPr>
        <w:t>分析</w:t>
      </w:r>
      <w:r>
        <w:rPr>
          <w:b/>
          <w:sz w:val="24"/>
        </w:rPr>
        <w:tab/>
      </w:r>
      <w:r>
        <w:rPr>
          <w:b/>
          <w:sz w:val="24"/>
        </w:rPr>
        <w:t>57</w:t>
      </w:r>
      <w:r>
        <w:rPr>
          <w:sz w:val="24"/>
        </w:rPr>
        <w:t xml:space="preserve"> </w:t>
      </w:r>
    </w:p>
    <w:p>
      <w:pPr>
        <w:pStyle w:val="BodyText"/>
        <w:spacing w:before="9"/>
        <w:rPr>
          <w:sz w:val="21"/>
        </w:rPr>
      </w:pPr>
    </w:p>
    <w:p>
      <w:pPr>
        <w:tabs>
          <w:tab w:val="left" w:leader="dot" w:pos="9506"/>
        </w:tabs>
        <w:spacing w:before="1"/>
        <w:ind w:left="100" w:right="0" w:firstLine="0"/>
        <w:jc w:val="left"/>
        <w:rPr>
          <w:sz w:val="24"/>
        </w:rPr>
      </w:pPr>
      <w:r>
        <w:rPr>
          <w:b/>
          <w:sz w:val="24"/>
        </w:rPr>
        <w:t>五</w:t>
      </w:r>
      <w:r>
        <w:rPr>
          <w:b/>
          <w:spacing w:val="4"/>
          <w:sz w:val="24"/>
        </w:rPr>
        <w:t>、</w:t>
      </w:r>
      <w:r>
        <w:rPr>
          <w:b/>
          <w:sz w:val="24"/>
        </w:rPr>
        <w:t>主要生态环</w:t>
      </w:r>
      <w:r>
        <w:rPr>
          <w:b/>
          <w:spacing w:val="4"/>
          <w:sz w:val="24"/>
        </w:rPr>
        <w:t>境</w:t>
      </w:r>
      <w:r>
        <w:rPr>
          <w:b/>
          <w:sz w:val="24"/>
        </w:rPr>
        <w:t>保护措施</w:t>
      </w:r>
      <w:r>
        <w:rPr>
          <w:b/>
          <w:sz w:val="24"/>
        </w:rPr>
        <w:tab/>
      </w:r>
      <w:r>
        <w:rPr>
          <w:b/>
          <w:sz w:val="24"/>
        </w:rPr>
        <w:t>72</w:t>
      </w:r>
      <w:r>
        <w:rPr>
          <w:sz w:val="24"/>
        </w:rPr>
        <w:t xml:space="preserve"> </w:t>
      </w:r>
    </w:p>
    <w:p>
      <w:pPr>
        <w:pStyle w:val="BodyText"/>
        <w:spacing w:before="8"/>
        <w:rPr>
          <w:sz w:val="21"/>
        </w:rPr>
      </w:pPr>
    </w:p>
    <w:p>
      <w:pPr>
        <w:tabs>
          <w:tab w:val="left" w:leader="dot" w:pos="9506"/>
        </w:tabs>
        <w:spacing w:before="1"/>
        <w:ind w:left="100" w:right="0" w:firstLine="0"/>
        <w:jc w:val="left"/>
        <w:rPr>
          <w:sz w:val="24"/>
        </w:rPr>
      </w:pPr>
      <w:r>
        <w:rPr>
          <w:b/>
          <w:sz w:val="24"/>
        </w:rPr>
        <w:t>六</w:t>
      </w:r>
      <w:r>
        <w:rPr>
          <w:b/>
          <w:spacing w:val="4"/>
          <w:sz w:val="24"/>
        </w:rPr>
        <w:t>、</w:t>
      </w:r>
      <w:r>
        <w:rPr>
          <w:b/>
          <w:sz w:val="24"/>
        </w:rPr>
        <w:t>生态环境保</w:t>
      </w:r>
      <w:r>
        <w:rPr>
          <w:b/>
          <w:spacing w:val="4"/>
          <w:sz w:val="24"/>
        </w:rPr>
        <w:t>护</w:t>
      </w:r>
      <w:r>
        <w:rPr>
          <w:b/>
          <w:sz w:val="24"/>
        </w:rPr>
        <w:t>措施监督</w:t>
      </w:r>
      <w:r>
        <w:rPr>
          <w:b/>
          <w:spacing w:val="4"/>
          <w:sz w:val="24"/>
        </w:rPr>
        <w:t>检</w:t>
      </w:r>
      <w:r>
        <w:rPr>
          <w:b/>
          <w:sz w:val="24"/>
        </w:rPr>
        <w:t>查清单</w:t>
      </w:r>
      <w:r>
        <w:rPr>
          <w:b/>
          <w:sz w:val="24"/>
        </w:rPr>
        <w:tab/>
      </w:r>
      <w:r>
        <w:rPr>
          <w:b/>
          <w:sz w:val="24"/>
        </w:rPr>
        <w:t>82</w:t>
      </w:r>
      <w:r>
        <w:rPr>
          <w:sz w:val="24"/>
        </w:rPr>
        <w:t xml:space="preserve"> </w:t>
      </w:r>
    </w:p>
    <w:p>
      <w:pPr>
        <w:pStyle w:val="BodyText"/>
        <w:spacing w:before="9"/>
        <w:rPr>
          <w:sz w:val="21"/>
        </w:rPr>
      </w:pPr>
    </w:p>
    <w:p>
      <w:pPr>
        <w:tabs>
          <w:tab w:val="left" w:leader="dot" w:pos="9506"/>
        </w:tabs>
        <w:spacing w:before="0"/>
        <w:ind w:left="100" w:right="0" w:firstLine="0"/>
        <w:jc w:val="left"/>
        <w:rPr>
          <w:b/>
          <w:sz w:val="24"/>
        </w:rPr>
      </w:pPr>
      <w:r>
        <w:rPr>
          <w:b/>
          <w:sz w:val="24"/>
        </w:rPr>
        <w:t>七</w:t>
      </w:r>
      <w:r>
        <w:rPr>
          <w:b/>
          <w:spacing w:val="4"/>
          <w:sz w:val="24"/>
        </w:rPr>
        <w:t>、</w:t>
      </w:r>
      <w:r>
        <w:rPr>
          <w:b/>
          <w:sz w:val="24"/>
        </w:rPr>
        <w:t>结论</w:t>
      </w:r>
      <w:r>
        <w:rPr>
          <w:b/>
          <w:sz w:val="24"/>
        </w:rPr>
        <w:tab/>
      </w:r>
      <w:r>
        <w:rPr>
          <w:b/>
          <w:sz w:val="24"/>
        </w:rPr>
        <w:t>85</w:t>
      </w:r>
    </w:p>
    <w:p>
      <w:pPr>
        <w:pStyle w:val="BodyText"/>
        <w:spacing w:before="9"/>
        <w:rPr>
          <w:b/>
          <w:sz w:val="21"/>
        </w:rPr>
      </w:pPr>
    </w:p>
    <w:p>
      <w:pPr>
        <w:spacing w:before="0"/>
        <w:ind w:left="580" w:right="0" w:firstLine="0"/>
        <w:jc w:val="left"/>
        <w:rPr>
          <w:b/>
          <w:sz w:val="24"/>
        </w:rPr>
      </w:pPr>
      <w:r>
        <w:rPr>
          <w:b/>
          <w:sz w:val="24"/>
        </w:rPr>
        <w:t>附件：</w:t>
      </w:r>
      <w:r>
        <w:rPr>
          <w:b/>
          <w:w w:val="99"/>
          <w:sz w:val="24"/>
        </w:rPr>
        <w:t xml:space="preserve"> </w:t>
      </w:r>
    </w:p>
    <w:p>
      <w:pPr>
        <w:pStyle w:val="BodyText"/>
        <w:spacing w:before="67" w:line="288" w:lineRule="auto"/>
        <w:ind w:left="580" w:right="5676"/>
      </w:pPr>
      <w:r>
        <w:t xml:space="preserve">附件 </w:t>
      </w:r>
      <w:r>
        <w:rPr>
          <w:rFonts w:ascii="Times New Roman" w:eastAsia="Times New Roman"/>
        </w:rPr>
        <w:t>1</w:t>
      </w:r>
      <w:r>
        <w:t xml:space="preserve">、环境影响评价文件审批申请附件 </w:t>
      </w:r>
      <w:r>
        <w:rPr>
          <w:rFonts w:ascii="Times New Roman" w:eastAsia="Times New Roman"/>
        </w:rPr>
        <w:t>2</w:t>
      </w:r>
      <w:r>
        <w:t>、委托书</w:t>
      </w:r>
    </w:p>
    <w:p>
      <w:pPr>
        <w:pStyle w:val="BodyText"/>
        <w:spacing w:before="6" w:line="292" w:lineRule="auto"/>
        <w:ind w:left="100" w:right="258" w:firstLine="480"/>
      </w:pPr>
      <w:r>
        <w:rPr>
          <w:spacing w:val="-21"/>
        </w:rPr>
        <w:t xml:space="preserve">附件 </w:t>
      </w:r>
      <w:r>
        <w:rPr>
          <w:rFonts w:ascii="Times New Roman" w:eastAsia="Times New Roman"/>
        </w:rPr>
        <w:t>3</w:t>
      </w:r>
      <w:r>
        <w:rPr>
          <w:spacing w:val="-7"/>
        </w:rPr>
        <w:t>、关于德州宏润建设管理有限公司德州经济技术开发区引调水工程可行性研究报告</w:t>
      </w:r>
      <w:r>
        <w:t>的批复</w:t>
      </w:r>
    </w:p>
    <w:p>
      <w:pPr>
        <w:pStyle w:val="BodyText"/>
        <w:spacing w:line="306" w:lineRule="exact"/>
        <w:ind w:left="580"/>
      </w:pPr>
      <w:r>
        <w:t xml:space="preserve">附件 </w:t>
      </w:r>
      <w:r>
        <w:rPr>
          <w:rFonts w:ascii="Times New Roman" w:eastAsia="Times New Roman"/>
        </w:rPr>
        <w:t>4</w:t>
      </w:r>
      <w:r>
        <w:t>、建设单位营业执照</w:t>
      </w:r>
    </w:p>
    <w:p>
      <w:pPr>
        <w:spacing w:before="67" w:line="288" w:lineRule="auto"/>
        <w:ind w:left="580" w:right="6156" w:firstLine="0"/>
        <w:jc w:val="left"/>
        <w:rPr>
          <w:b/>
          <w:sz w:val="24"/>
        </w:rPr>
      </w:pPr>
      <w:r>
        <w:rPr>
          <w:sz w:val="24"/>
        </w:rPr>
        <w:t xml:space="preserve">附件 </w:t>
      </w:r>
      <w:r>
        <w:rPr>
          <w:rFonts w:ascii="Times New Roman" w:eastAsia="Times New Roman"/>
          <w:sz w:val="24"/>
        </w:rPr>
        <w:t>5</w:t>
      </w:r>
      <w:r>
        <w:rPr>
          <w:sz w:val="24"/>
        </w:rPr>
        <w:t>、申报材料真实性承诺书</w:t>
      </w:r>
      <w:r>
        <w:rPr>
          <w:b/>
          <w:sz w:val="24"/>
        </w:rPr>
        <w:t>附图：</w:t>
      </w:r>
      <w:r>
        <w:rPr>
          <w:b/>
          <w:w w:val="99"/>
          <w:sz w:val="24"/>
        </w:rPr>
        <w:t xml:space="preserve"> </w:t>
      </w:r>
    </w:p>
    <w:p>
      <w:pPr>
        <w:pStyle w:val="BodyText"/>
        <w:spacing w:before="6" w:line="292" w:lineRule="auto"/>
        <w:ind w:left="580" w:right="6876"/>
      </w:pPr>
      <w:r>
        <w:t xml:space="preserve">附图 </w:t>
      </w:r>
      <w:r>
        <w:rPr>
          <w:rFonts w:ascii="Times New Roman" w:eastAsia="Times New Roman"/>
        </w:rPr>
        <w:t>1</w:t>
      </w:r>
      <w:r>
        <w:t xml:space="preserve">、工程总体布置图附图 </w:t>
      </w:r>
      <w:r>
        <w:rPr>
          <w:rFonts w:ascii="Times New Roman" w:eastAsia="Times New Roman"/>
        </w:rPr>
        <w:t>2</w:t>
      </w:r>
      <w:r>
        <w:t xml:space="preserve">、四支沟平面图附图 </w:t>
      </w:r>
      <w:r>
        <w:rPr>
          <w:rFonts w:ascii="Times New Roman" w:eastAsia="Times New Roman"/>
        </w:rPr>
        <w:t>3</w:t>
      </w:r>
      <w:r>
        <w:t>：站前沟平面图</w:t>
      </w:r>
    </w:p>
    <w:p>
      <w:pPr>
        <w:pStyle w:val="BodyText"/>
        <w:spacing w:line="292" w:lineRule="auto"/>
        <w:ind w:left="580" w:right="5916"/>
      </w:pPr>
      <w:r>
        <w:t xml:space="preserve">附图 </w:t>
      </w:r>
      <w:r>
        <w:rPr>
          <w:rFonts w:ascii="Times New Roman" w:eastAsia="Times New Roman"/>
        </w:rPr>
        <w:t>4</w:t>
      </w:r>
      <w:r>
        <w:t xml:space="preserve">：四支沟河道横断面设计图附图 </w:t>
      </w:r>
      <w:r>
        <w:rPr>
          <w:rFonts w:ascii="Times New Roman" w:eastAsia="Times New Roman"/>
        </w:rPr>
        <w:t>5</w:t>
      </w:r>
      <w:r>
        <w:t>：站前沟典型断面图</w:t>
      </w:r>
    </w:p>
    <w:p>
      <w:pPr>
        <w:pStyle w:val="BodyText"/>
        <w:spacing w:line="292" w:lineRule="auto"/>
        <w:ind w:left="580" w:right="5916"/>
      </w:pPr>
      <w:r>
        <w:t xml:space="preserve">附图 </w:t>
      </w:r>
      <w:r>
        <w:rPr>
          <w:rFonts w:ascii="Times New Roman" w:eastAsia="Times New Roman"/>
        </w:rPr>
        <w:t>6</w:t>
      </w:r>
      <w:r>
        <w:t xml:space="preserve">：杨庄河河道断面设计图附图 </w:t>
      </w:r>
      <w:r>
        <w:rPr>
          <w:rFonts w:ascii="Times New Roman" w:eastAsia="Times New Roman"/>
        </w:rPr>
        <w:t>7</w:t>
      </w:r>
      <w:r>
        <w:t xml:space="preserve">：四支沟河道设计纵断面图附图 </w:t>
      </w:r>
      <w:r>
        <w:rPr>
          <w:rFonts w:ascii="Times New Roman" w:eastAsia="Times New Roman"/>
        </w:rPr>
        <w:t>8</w:t>
      </w:r>
      <w:r>
        <w:t>：站前沟河道设计纵断面图</w:t>
      </w:r>
    </w:p>
    <w:p>
      <w:pPr>
        <w:pStyle w:val="BodyText"/>
        <w:spacing w:line="292" w:lineRule="auto"/>
        <w:ind w:left="580" w:right="5436"/>
      </w:pPr>
      <w:r>
        <w:t xml:space="preserve">附图 </w:t>
      </w:r>
      <w:r>
        <w:rPr>
          <w:rFonts w:ascii="Times New Roman" w:eastAsia="Times New Roman"/>
        </w:rPr>
        <w:t>9</w:t>
      </w:r>
      <w:r>
        <w:t xml:space="preserve">：生态健康步道典型断面设计图附图 </w:t>
      </w:r>
      <w:r>
        <w:rPr>
          <w:rFonts w:ascii="Times New Roman" w:eastAsia="Times New Roman"/>
        </w:rPr>
        <w:t>10</w:t>
      </w:r>
      <w:r>
        <w:t>：新建涵洞典型断面设计图</w:t>
      </w:r>
    </w:p>
    <w:p>
      <w:pPr>
        <w:pStyle w:val="BodyText"/>
        <w:spacing w:line="301" w:lineRule="exact"/>
        <w:ind w:left="580"/>
      </w:pPr>
      <w:r>
        <w:t xml:space="preserve">附图 </w:t>
      </w:r>
      <w:r>
        <w:rPr>
          <w:rFonts w:ascii="Times New Roman" w:eastAsia="Times New Roman"/>
        </w:rPr>
        <w:t>11</w:t>
      </w:r>
      <w:r>
        <w:t>：项目所在流域水系统</w:t>
      </w:r>
    </w:p>
    <w:p>
      <w:pPr>
        <w:pStyle w:val="BodyText"/>
        <w:spacing w:before="58"/>
        <w:ind w:left="580"/>
      </w:pPr>
      <w:r>
        <w:t xml:space="preserve">附图 </w:t>
      </w:r>
      <w:r>
        <w:rPr>
          <w:rFonts w:ascii="Times New Roman" w:eastAsia="Times New Roman"/>
        </w:rPr>
        <w:t>12</w:t>
      </w:r>
      <w:r>
        <w:t>：山东省主体功能区划分布图</w:t>
      </w:r>
    </w:p>
    <w:p>
      <w:pPr>
        <w:pStyle w:val="BodyText"/>
        <w:spacing w:before="67"/>
        <w:ind w:left="580"/>
      </w:pPr>
      <w:r>
        <w:t xml:space="preserve">附图 </w:t>
      </w:r>
      <w:r>
        <w:rPr>
          <w:rFonts w:ascii="Times New Roman" w:eastAsia="Times New Roman"/>
        </w:rPr>
        <w:t>13</w:t>
      </w:r>
      <w:r>
        <w:t>：山东省重点开发区域布局分布图</w:t>
      </w:r>
    </w:p>
    <w:p>
      <w:pPr>
        <w:pStyle w:val="BodyText"/>
        <w:spacing w:before="66"/>
        <w:ind w:left="580"/>
      </w:pPr>
      <w:r>
        <w:t xml:space="preserve">附图 </w:t>
      </w:r>
      <w:r>
        <w:rPr>
          <w:rFonts w:ascii="Times New Roman" w:eastAsia="Times New Roman"/>
        </w:rPr>
        <w:t>14</w:t>
      </w:r>
      <w:r>
        <w:t>：德州市中心城区声环境功能区区划图</w:t>
      </w:r>
    </w:p>
    <w:p>
      <w:pPr>
        <w:spacing w:after="0"/>
        <w:sectPr>
          <w:pgSz w:w="11910" w:h="16840"/>
          <w:pgMar w:top="1380" w:right="820" w:bottom="280" w:left="980" w:header="720" w:footer="720" w:gutter="0"/>
          <w:pgNumType w:start="2"/>
          <w:cols w:num="1" w:space="720"/>
        </w:sectPr>
      </w:pPr>
    </w:p>
    <w:p>
      <w:pPr>
        <w:pStyle w:val="BodyText"/>
        <w:spacing w:before="1"/>
        <w:rPr>
          <w:sz w:val="25"/>
        </w:rPr>
      </w:pPr>
    </w:p>
    <w:p>
      <w:pPr>
        <w:pStyle w:val="Heading3"/>
        <w:ind w:left="0" w:right="154"/>
        <w:jc w:val="center"/>
        <w:rPr>
          <w:rFonts w:ascii="黑体" w:eastAsia="黑体" w:hint="eastAsia"/>
        </w:rPr>
      </w:pPr>
      <w:r>
        <w:rPr>
          <w:rFonts w:ascii="黑体" w:eastAsia="黑体" w:hint="eastAsia"/>
        </w:rPr>
        <w:t>一、建设项目基本情况</w:t>
      </w:r>
    </w:p>
    <w:p>
      <w:pPr>
        <w:pStyle w:val="BodyText"/>
        <w:spacing w:before="4"/>
        <w:rPr>
          <w:rFonts w:ascii="黑体"/>
          <w:sz w:val="22"/>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2387"/>
        <w:gridCol w:w="2133"/>
        <w:gridCol w:w="1595"/>
        <w:gridCol w:w="121"/>
        <w:gridCol w:w="2642"/>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513"/>
        </w:trPr>
        <w:tc>
          <w:tcPr>
            <w:tcW w:w="2387" w:type="dxa"/>
            <w:tcBorders>
              <w:bottom w:val="single" w:sz="4" w:space="0" w:color="000000"/>
              <w:right w:val="single" w:sz="4" w:space="0" w:color="000000"/>
            </w:tcBorders>
          </w:tcPr>
          <w:p>
            <w:pPr>
              <w:pStyle w:val="TableParagraph"/>
              <w:spacing w:before="105"/>
              <w:ind w:left="334" w:right="316"/>
              <w:jc w:val="center"/>
              <w:rPr>
                <w:sz w:val="24"/>
              </w:rPr>
            </w:pPr>
            <w:r>
              <w:rPr>
                <w:sz w:val="24"/>
              </w:rPr>
              <w:t>建设项目名称</w:t>
            </w:r>
          </w:p>
        </w:tc>
        <w:tc>
          <w:tcPr>
            <w:tcW w:w="6491" w:type="dxa"/>
            <w:gridSpan w:val="4"/>
            <w:tcBorders>
              <w:left w:val="single" w:sz="4" w:space="0" w:color="000000"/>
              <w:bottom w:val="single" w:sz="4" w:space="0" w:color="000000"/>
            </w:tcBorders>
          </w:tcPr>
          <w:p>
            <w:pPr>
              <w:pStyle w:val="TableParagraph"/>
              <w:spacing w:before="105"/>
              <w:ind w:left="1564"/>
              <w:rPr>
                <w:sz w:val="24"/>
              </w:rPr>
            </w:pPr>
            <w:r>
              <w:rPr>
                <w:sz w:val="24"/>
              </w:rPr>
              <w:t>德州经济技术开发区引调水工程</w:t>
            </w:r>
          </w:p>
        </w:tc>
      </w:tr>
      <w:tr>
        <w:tblPrEx>
          <w:tblW w:w="0" w:type="auto"/>
          <w:tblInd w:w="547" w:type="dxa"/>
          <w:tblLayout w:type="fixed"/>
          <w:tblCellMar>
            <w:top w:w="0" w:type="dxa"/>
            <w:left w:w="0" w:type="dxa"/>
            <w:bottom w:w="0" w:type="dxa"/>
            <w:right w:w="0" w:type="dxa"/>
          </w:tblCellMar>
        </w:tblPrEx>
        <w:trPr>
          <w:trHeight w:val="513"/>
        </w:trPr>
        <w:tc>
          <w:tcPr>
            <w:tcW w:w="2387" w:type="dxa"/>
            <w:tcBorders>
              <w:top w:val="single" w:sz="4" w:space="0" w:color="000000"/>
              <w:bottom w:val="single" w:sz="4" w:space="0" w:color="000000"/>
              <w:right w:val="single" w:sz="4" w:space="0" w:color="000000"/>
            </w:tcBorders>
          </w:tcPr>
          <w:p>
            <w:pPr>
              <w:pStyle w:val="TableParagraph"/>
              <w:spacing w:before="105"/>
              <w:ind w:left="334" w:right="316"/>
              <w:jc w:val="center"/>
              <w:rPr>
                <w:sz w:val="24"/>
              </w:rPr>
            </w:pPr>
            <w:r>
              <w:rPr>
                <w:sz w:val="24"/>
              </w:rPr>
              <w:t>项目代码</w:t>
            </w:r>
          </w:p>
        </w:tc>
        <w:tc>
          <w:tcPr>
            <w:tcW w:w="6491" w:type="dxa"/>
            <w:gridSpan w:val="4"/>
            <w:tcBorders>
              <w:top w:val="single" w:sz="4" w:space="0" w:color="000000"/>
              <w:left w:val="single" w:sz="4" w:space="0" w:color="000000"/>
              <w:bottom w:val="single" w:sz="4" w:space="0" w:color="000000"/>
            </w:tcBorders>
          </w:tcPr>
          <w:p>
            <w:pPr>
              <w:pStyle w:val="TableParagraph"/>
              <w:spacing w:before="121"/>
              <w:ind w:left="1886"/>
              <w:rPr>
                <w:rFonts w:ascii="Times New Roman"/>
                <w:sz w:val="24"/>
              </w:rPr>
            </w:pPr>
            <w:r>
              <w:rPr>
                <w:rFonts w:ascii="Times New Roman"/>
                <w:sz w:val="24"/>
              </w:rPr>
              <w:t>2207-371471-04-01-557247</w:t>
            </w:r>
          </w:p>
        </w:tc>
      </w:tr>
      <w:tr>
        <w:tblPrEx>
          <w:tblW w:w="0" w:type="auto"/>
          <w:tblInd w:w="547" w:type="dxa"/>
          <w:tblLayout w:type="fixed"/>
          <w:tblCellMar>
            <w:top w:w="0" w:type="dxa"/>
            <w:left w:w="0" w:type="dxa"/>
            <w:bottom w:w="0" w:type="dxa"/>
            <w:right w:w="0" w:type="dxa"/>
          </w:tblCellMar>
        </w:tblPrEx>
        <w:trPr>
          <w:trHeight w:val="513"/>
        </w:trPr>
        <w:tc>
          <w:tcPr>
            <w:tcW w:w="2387" w:type="dxa"/>
            <w:tcBorders>
              <w:top w:val="single" w:sz="4" w:space="0" w:color="000000"/>
              <w:bottom w:val="single" w:sz="4" w:space="0" w:color="000000"/>
              <w:right w:val="single" w:sz="4" w:space="0" w:color="000000"/>
            </w:tcBorders>
          </w:tcPr>
          <w:p>
            <w:pPr>
              <w:pStyle w:val="TableParagraph"/>
              <w:spacing w:before="105"/>
              <w:ind w:left="334" w:right="317"/>
              <w:jc w:val="center"/>
              <w:rPr>
                <w:sz w:val="24"/>
              </w:rPr>
            </w:pPr>
            <w:r>
              <w:rPr>
                <w:sz w:val="24"/>
              </w:rPr>
              <w:t>建设单位联系人</w:t>
            </w:r>
          </w:p>
        </w:tc>
        <w:tc>
          <w:tcPr>
            <w:tcW w:w="2133" w:type="dxa"/>
            <w:tcBorders>
              <w:top w:val="single" w:sz="4" w:space="0" w:color="000000"/>
              <w:left w:val="single" w:sz="4" w:space="0" w:color="000000"/>
              <w:bottom w:val="single" w:sz="4" w:space="0" w:color="000000"/>
              <w:right w:val="single" w:sz="4" w:space="0" w:color="000000"/>
            </w:tcBorders>
          </w:tcPr>
          <w:p>
            <w:pPr>
              <w:pStyle w:val="TableParagraph"/>
              <w:spacing w:before="105"/>
              <w:ind w:left="710"/>
              <w:rPr>
                <w:sz w:val="24"/>
              </w:rPr>
            </w:pPr>
          </w:p>
        </w:tc>
        <w:tc>
          <w:tcPr>
            <w:tcW w:w="171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05"/>
              <w:ind w:left="382"/>
              <w:rPr>
                <w:sz w:val="24"/>
              </w:rPr>
            </w:pPr>
            <w:r>
              <w:rPr>
                <w:sz w:val="24"/>
              </w:rPr>
              <w:t>联系方式</w:t>
            </w:r>
          </w:p>
        </w:tc>
        <w:tc>
          <w:tcPr>
            <w:tcW w:w="2642" w:type="dxa"/>
            <w:tcBorders>
              <w:top w:val="single" w:sz="4" w:space="0" w:color="000000"/>
              <w:left w:val="single" w:sz="4" w:space="0" w:color="000000"/>
              <w:bottom w:val="single" w:sz="4" w:space="0" w:color="000000"/>
            </w:tcBorders>
          </w:tcPr>
          <w:p>
            <w:pPr>
              <w:pStyle w:val="TableParagraph"/>
              <w:spacing w:before="121"/>
              <w:ind w:left="659"/>
              <w:rPr>
                <w:rFonts w:ascii="Times New Roman"/>
                <w:sz w:val="24"/>
              </w:rPr>
            </w:pPr>
            <w:bookmarkStart w:id="0" w:name="_GoBack"/>
            <w:bookmarkEnd w:id="0"/>
          </w:p>
        </w:tc>
      </w:tr>
      <w:tr>
        <w:tblPrEx>
          <w:tblW w:w="0" w:type="auto"/>
          <w:tblInd w:w="547" w:type="dxa"/>
          <w:tblLayout w:type="fixed"/>
          <w:tblCellMar>
            <w:top w:w="0" w:type="dxa"/>
            <w:left w:w="0" w:type="dxa"/>
            <w:bottom w:w="0" w:type="dxa"/>
            <w:right w:w="0" w:type="dxa"/>
          </w:tblCellMar>
        </w:tblPrEx>
        <w:trPr>
          <w:trHeight w:val="513"/>
        </w:trPr>
        <w:tc>
          <w:tcPr>
            <w:tcW w:w="2387" w:type="dxa"/>
            <w:tcBorders>
              <w:top w:val="single" w:sz="4" w:space="0" w:color="000000"/>
              <w:bottom w:val="single" w:sz="4" w:space="0" w:color="000000"/>
              <w:right w:val="single" w:sz="4" w:space="0" w:color="000000"/>
            </w:tcBorders>
          </w:tcPr>
          <w:p>
            <w:pPr>
              <w:pStyle w:val="TableParagraph"/>
              <w:spacing w:before="105"/>
              <w:ind w:left="334" w:right="316"/>
              <w:jc w:val="center"/>
              <w:rPr>
                <w:sz w:val="24"/>
              </w:rPr>
            </w:pPr>
            <w:r>
              <w:rPr>
                <w:sz w:val="24"/>
              </w:rPr>
              <w:t>建设地点</w:t>
            </w:r>
          </w:p>
        </w:tc>
        <w:tc>
          <w:tcPr>
            <w:tcW w:w="6491" w:type="dxa"/>
            <w:gridSpan w:val="4"/>
            <w:tcBorders>
              <w:top w:val="single" w:sz="4" w:space="0" w:color="000000"/>
              <w:left w:val="single" w:sz="4" w:space="0" w:color="000000"/>
              <w:bottom w:val="single" w:sz="4" w:space="0" w:color="000000"/>
            </w:tcBorders>
          </w:tcPr>
          <w:p>
            <w:pPr>
              <w:pStyle w:val="TableParagraph"/>
              <w:spacing w:before="105"/>
              <w:ind w:left="1684"/>
              <w:rPr>
                <w:sz w:val="24"/>
              </w:rPr>
            </w:pPr>
            <w:r>
              <w:rPr>
                <w:sz w:val="24"/>
              </w:rPr>
              <w:t>山东省德州市经济技术开发区</w:t>
            </w:r>
          </w:p>
        </w:tc>
      </w:tr>
      <w:tr>
        <w:tblPrEx>
          <w:tblW w:w="0" w:type="auto"/>
          <w:tblInd w:w="547" w:type="dxa"/>
          <w:tblLayout w:type="fixed"/>
          <w:tblCellMar>
            <w:top w:w="0" w:type="dxa"/>
            <w:left w:w="0" w:type="dxa"/>
            <w:bottom w:w="0" w:type="dxa"/>
            <w:right w:w="0" w:type="dxa"/>
          </w:tblCellMar>
        </w:tblPrEx>
        <w:trPr>
          <w:trHeight w:val="7955"/>
        </w:trPr>
        <w:tc>
          <w:tcPr>
            <w:tcW w:w="2387" w:type="dxa"/>
            <w:tcBorders>
              <w:top w:val="single" w:sz="4" w:space="0" w:color="000000"/>
              <w:bottom w:val="single" w:sz="4" w:space="0" w:color="000000"/>
              <w:right w:val="single" w:sz="4" w:space="0" w:color="000000"/>
            </w:tcBorders>
          </w:tcPr>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spacing w:before="8"/>
              <w:rPr>
                <w:rFonts w:ascii="黑体"/>
                <w:sz w:val="34"/>
              </w:rPr>
            </w:pPr>
          </w:p>
          <w:p>
            <w:pPr>
              <w:pStyle w:val="TableParagraph"/>
              <w:ind w:left="334" w:right="316"/>
              <w:jc w:val="center"/>
              <w:rPr>
                <w:sz w:val="24"/>
              </w:rPr>
            </w:pPr>
            <w:r>
              <w:rPr>
                <w:sz w:val="24"/>
              </w:rPr>
              <w:t>地理坐标</w:t>
            </w:r>
          </w:p>
        </w:tc>
        <w:tc>
          <w:tcPr>
            <w:tcW w:w="6491" w:type="dxa"/>
            <w:gridSpan w:val="4"/>
            <w:tcBorders>
              <w:top w:val="single" w:sz="4" w:space="0" w:color="000000"/>
              <w:left w:val="single" w:sz="4" w:space="0" w:color="000000"/>
              <w:bottom w:val="single" w:sz="4" w:space="0" w:color="000000"/>
            </w:tcBorders>
          </w:tcPr>
          <w:p>
            <w:pPr>
              <w:pStyle w:val="TableParagraph"/>
              <w:spacing w:before="14"/>
              <w:ind w:left="488"/>
              <w:rPr>
                <w:sz w:val="24"/>
              </w:rPr>
            </w:pPr>
            <w:r>
              <w:rPr>
                <w:sz w:val="24"/>
              </w:rPr>
              <w:t>四支沟综合治理工程：</w:t>
            </w:r>
          </w:p>
          <w:p>
            <w:pPr>
              <w:pStyle w:val="TableParagraph"/>
              <w:spacing w:before="163"/>
              <w:ind w:left="8"/>
              <w:rPr>
                <w:sz w:val="24"/>
              </w:rPr>
            </w:pPr>
            <w:r>
              <w:rPr>
                <w:sz w:val="24"/>
              </w:rPr>
              <w:t>起点（</w:t>
            </w:r>
            <w:r>
              <w:rPr>
                <w:rFonts w:ascii="Times New Roman" w:eastAsia="Times New Roman"/>
                <w:sz w:val="24"/>
                <w:u w:val="single"/>
              </w:rPr>
              <w:t>116</w:t>
            </w:r>
            <w:r>
              <w:rPr>
                <w:rFonts w:ascii="Times New Roman" w:eastAsia="Times New Roman"/>
                <w:sz w:val="24"/>
              </w:rPr>
              <w:t xml:space="preserve"> </w:t>
            </w:r>
            <w:r>
              <w:rPr>
                <w:sz w:val="24"/>
              </w:rPr>
              <w:t xml:space="preserve">度 </w:t>
            </w:r>
            <w:r>
              <w:rPr>
                <w:rFonts w:ascii="Times New Roman" w:eastAsia="Times New Roman"/>
                <w:sz w:val="24"/>
                <w:u w:val="single"/>
              </w:rPr>
              <w:t>25</w:t>
            </w:r>
            <w:r>
              <w:rPr>
                <w:rFonts w:ascii="Times New Roman" w:eastAsia="Times New Roman"/>
                <w:sz w:val="24"/>
              </w:rPr>
              <w:t xml:space="preserve"> </w:t>
            </w:r>
            <w:r>
              <w:rPr>
                <w:sz w:val="24"/>
              </w:rPr>
              <w:t xml:space="preserve">分 </w:t>
            </w:r>
            <w:r>
              <w:rPr>
                <w:rFonts w:ascii="Times New Roman" w:eastAsia="Times New Roman"/>
                <w:sz w:val="24"/>
                <w:u w:val="single"/>
              </w:rPr>
              <w:t>15.629</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z w:val="24"/>
              </w:rPr>
              <w:t xml:space="preserve">度 </w:t>
            </w:r>
            <w:r>
              <w:rPr>
                <w:rFonts w:ascii="Times New Roman" w:eastAsia="Times New Roman"/>
                <w:sz w:val="24"/>
                <w:u w:val="single"/>
              </w:rPr>
              <w:t>27</w:t>
            </w:r>
            <w:r>
              <w:rPr>
                <w:rFonts w:ascii="Times New Roman" w:eastAsia="Times New Roman"/>
                <w:sz w:val="24"/>
              </w:rPr>
              <w:t xml:space="preserve"> </w:t>
            </w:r>
            <w:r>
              <w:rPr>
                <w:sz w:val="24"/>
              </w:rPr>
              <w:t xml:space="preserve">分 </w:t>
            </w:r>
            <w:r>
              <w:rPr>
                <w:rFonts w:ascii="Times New Roman" w:eastAsia="Times New Roman"/>
                <w:sz w:val="24"/>
                <w:u w:val="single"/>
              </w:rPr>
              <w:t>40.057</w:t>
            </w:r>
            <w:r>
              <w:rPr>
                <w:rFonts w:ascii="Times New Roman" w:eastAsia="Times New Roman"/>
                <w:sz w:val="24"/>
              </w:rPr>
              <w:t xml:space="preserve"> </w:t>
            </w:r>
            <w:r>
              <w:rPr>
                <w:sz w:val="24"/>
              </w:rPr>
              <w:t>秒）</w:t>
            </w:r>
          </w:p>
          <w:p>
            <w:pPr>
              <w:pStyle w:val="TableParagraph"/>
              <w:spacing w:before="158" w:line="364" w:lineRule="auto"/>
              <w:ind w:left="488" w:right="837" w:hanging="480"/>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3"/>
                <w:sz w:val="24"/>
              </w:rPr>
              <w:t xml:space="preserve"> </w:t>
            </w:r>
            <w:r>
              <w:rPr>
                <w:spacing w:val="-31"/>
                <w:sz w:val="24"/>
              </w:rPr>
              <w:t xml:space="preserve">度 </w:t>
            </w:r>
            <w:r>
              <w:rPr>
                <w:rFonts w:ascii="Times New Roman" w:eastAsia="Times New Roman"/>
                <w:sz w:val="24"/>
                <w:u w:val="single"/>
              </w:rPr>
              <w:t>29</w:t>
            </w:r>
            <w:r>
              <w:rPr>
                <w:rFonts w:ascii="Times New Roman" w:eastAsia="Times New Roman"/>
                <w:sz w:val="24"/>
              </w:rPr>
              <w:t xml:space="preserve"> </w:t>
            </w:r>
            <w:r>
              <w:rPr>
                <w:spacing w:val="-31"/>
                <w:sz w:val="24"/>
              </w:rPr>
              <w:t xml:space="preserve">分 </w:t>
            </w:r>
            <w:r>
              <w:rPr>
                <w:rFonts w:ascii="Times New Roman" w:eastAsia="Times New Roman"/>
                <w:sz w:val="24"/>
                <w:u w:val="single"/>
              </w:rPr>
              <w:t>28.374</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pacing w:val="-31"/>
                <w:sz w:val="24"/>
              </w:rPr>
              <w:t xml:space="preserve">度 </w:t>
            </w:r>
            <w:r>
              <w:rPr>
                <w:rFonts w:ascii="Times New Roman" w:eastAsia="Times New Roman"/>
                <w:sz w:val="24"/>
                <w:u w:val="single"/>
              </w:rPr>
              <w:t>27</w:t>
            </w:r>
            <w:r>
              <w:rPr>
                <w:rFonts w:ascii="Times New Roman" w:eastAsia="Times New Roman"/>
                <w:sz w:val="24"/>
              </w:rPr>
              <w:t xml:space="preserve"> </w:t>
            </w:r>
            <w:r>
              <w:rPr>
                <w:spacing w:val="-30"/>
                <w:sz w:val="24"/>
              </w:rPr>
              <w:t xml:space="preserve">分 </w:t>
            </w:r>
            <w:r>
              <w:rPr>
                <w:rFonts w:ascii="Times New Roman" w:eastAsia="Times New Roman"/>
                <w:sz w:val="24"/>
                <w:u w:val="single"/>
              </w:rPr>
              <w:t>12.056</w:t>
            </w:r>
            <w:r>
              <w:rPr>
                <w:rFonts w:ascii="Times New Roman" w:eastAsia="Times New Roman"/>
                <w:sz w:val="24"/>
              </w:rPr>
              <w:t xml:space="preserve"> </w:t>
            </w:r>
            <w:r>
              <w:rPr>
                <w:sz w:val="24"/>
              </w:rPr>
              <w:t>秒） 杨庄河综合治理工程：</w:t>
            </w:r>
          </w:p>
          <w:p>
            <w:pPr>
              <w:pStyle w:val="TableParagraph"/>
              <w:spacing w:line="304" w:lineRule="exact"/>
              <w:ind w:left="8"/>
              <w:rPr>
                <w:sz w:val="24"/>
              </w:rPr>
            </w:pPr>
            <w:r>
              <w:rPr>
                <w:sz w:val="24"/>
              </w:rPr>
              <w:t>起点</w:t>
            </w:r>
            <w:r>
              <w:rPr>
                <w:spacing w:val="-3"/>
                <w:sz w:val="24"/>
              </w:rPr>
              <w:t>（</w:t>
            </w:r>
            <w:r>
              <w:rPr>
                <w:rFonts w:ascii="Times New Roman" w:eastAsia="Times New Roman"/>
                <w:spacing w:val="-3"/>
                <w:sz w:val="24"/>
                <w:u w:val="single"/>
              </w:rPr>
              <w:t>116</w:t>
            </w:r>
            <w:r>
              <w:rPr>
                <w:rFonts w:ascii="Times New Roman" w:eastAsia="Times New Roman"/>
                <w:spacing w:val="-2"/>
                <w:sz w:val="24"/>
              </w:rPr>
              <w:t xml:space="preserve"> </w:t>
            </w:r>
            <w:r>
              <w:rPr>
                <w:spacing w:val="-31"/>
                <w:sz w:val="24"/>
              </w:rPr>
              <w:t xml:space="preserve">度 </w:t>
            </w:r>
            <w:r>
              <w:rPr>
                <w:rFonts w:ascii="Times New Roman" w:eastAsia="Times New Roman"/>
                <w:sz w:val="24"/>
                <w:u w:val="single"/>
              </w:rPr>
              <w:t>24</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49.273</w:t>
            </w:r>
            <w:r>
              <w:rPr>
                <w:rFonts w:ascii="Times New Roman" w:eastAsia="Times New Roman"/>
                <w:spacing w:val="-1"/>
                <w:sz w:val="24"/>
              </w:rPr>
              <w:t xml:space="preserve"> </w:t>
            </w:r>
            <w:r>
              <w:rPr>
                <w:sz w:val="24"/>
              </w:rPr>
              <w:t>秒，</w:t>
            </w:r>
            <w:r>
              <w:rPr>
                <w:rFonts w:ascii="Times New Roman" w:eastAsia="Times New Roman"/>
                <w:sz w:val="24"/>
                <w:u w:val="single"/>
              </w:rPr>
              <w:t>37</w:t>
            </w:r>
            <w:r>
              <w:rPr>
                <w:rFonts w:ascii="Times New Roman" w:eastAsia="Times New Roman"/>
                <w:spacing w:val="-7"/>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46.999</w:t>
            </w:r>
            <w:r>
              <w:rPr>
                <w:rFonts w:ascii="Times New Roman" w:eastAsia="Times New Roman"/>
                <w:spacing w:val="-1"/>
                <w:sz w:val="24"/>
              </w:rPr>
              <w:t xml:space="preserve"> </w:t>
            </w:r>
            <w:r>
              <w:rPr>
                <w:sz w:val="24"/>
              </w:rPr>
              <w:t>秒）</w:t>
            </w:r>
          </w:p>
          <w:p>
            <w:pPr>
              <w:pStyle w:val="TableParagraph"/>
              <w:spacing w:before="163"/>
              <w:ind w:left="8"/>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2"/>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59.869</w:t>
            </w:r>
            <w:r>
              <w:rPr>
                <w:rFonts w:ascii="Times New Roman" w:eastAsia="Times New Roman"/>
                <w:spacing w:val="-1"/>
                <w:sz w:val="24"/>
              </w:rPr>
              <w:t xml:space="preserve"> </w:t>
            </w:r>
            <w:r>
              <w:rPr>
                <w:sz w:val="24"/>
              </w:rPr>
              <w:t>秒，</w:t>
            </w:r>
            <w:r>
              <w:rPr>
                <w:rFonts w:ascii="Times New Roman" w:eastAsia="Times New Roman"/>
                <w:sz w:val="24"/>
                <w:u w:val="single"/>
              </w:rPr>
              <w:t>37</w:t>
            </w:r>
            <w:r>
              <w:rPr>
                <w:rFonts w:ascii="Times New Roman" w:eastAsia="Times New Roman"/>
                <w:spacing w:val="-7"/>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39.778</w:t>
            </w:r>
            <w:r>
              <w:rPr>
                <w:rFonts w:ascii="Times New Roman" w:eastAsia="Times New Roman"/>
                <w:spacing w:val="-1"/>
                <w:sz w:val="24"/>
              </w:rPr>
              <w:t xml:space="preserve"> </w:t>
            </w:r>
            <w:r>
              <w:rPr>
                <w:sz w:val="24"/>
              </w:rPr>
              <w:t>秒）</w:t>
            </w:r>
          </w:p>
          <w:p>
            <w:pPr>
              <w:pStyle w:val="TableParagraph"/>
              <w:spacing w:before="158"/>
              <w:ind w:left="8"/>
              <w:rPr>
                <w:sz w:val="24"/>
              </w:rPr>
            </w:pPr>
            <w:r>
              <w:rPr>
                <w:sz w:val="24"/>
              </w:rPr>
              <w:t>起点</w:t>
            </w:r>
            <w:r>
              <w:rPr>
                <w:spacing w:val="-3"/>
                <w:sz w:val="24"/>
              </w:rPr>
              <w:t>（</w:t>
            </w:r>
            <w:r>
              <w:rPr>
                <w:rFonts w:ascii="Times New Roman" w:eastAsia="Times New Roman"/>
                <w:spacing w:val="-3"/>
                <w:sz w:val="24"/>
                <w:u w:val="single"/>
              </w:rPr>
              <w:t>116</w:t>
            </w:r>
            <w:r>
              <w:rPr>
                <w:rFonts w:ascii="Times New Roman" w:eastAsia="Times New Roman"/>
                <w:spacing w:val="-2"/>
                <w:sz w:val="24"/>
              </w:rPr>
              <w:t xml:space="preserve"> </w:t>
            </w:r>
            <w:r>
              <w:rPr>
                <w:spacing w:val="-31"/>
                <w:sz w:val="24"/>
              </w:rPr>
              <w:t xml:space="preserve">度 </w:t>
            </w:r>
            <w:r>
              <w:rPr>
                <w:rFonts w:ascii="Times New Roman" w:eastAsia="Times New Roman"/>
                <w:sz w:val="24"/>
                <w:u w:val="single"/>
              </w:rPr>
              <w:t>26</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48.505</w:t>
            </w:r>
            <w:r>
              <w:rPr>
                <w:rFonts w:ascii="Times New Roman" w:eastAsia="Times New Roman"/>
                <w:spacing w:val="-1"/>
                <w:sz w:val="24"/>
              </w:rPr>
              <w:t xml:space="preserve"> </w:t>
            </w:r>
            <w:r>
              <w:rPr>
                <w:sz w:val="24"/>
              </w:rPr>
              <w:t>秒，</w:t>
            </w:r>
            <w:r>
              <w:rPr>
                <w:rFonts w:ascii="Times New Roman" w:eastAsia="Times New Roman"/>
                <w:sz w:val="24"/>
                <w:u w:val="single"/>
              </w:rPr>
              <w:t>37</w:t>
            </w:r>
            <w:r>
              <w:rPr>
                <w:rFonts w:ascii="Times New Roman" w:eastAsia="Times New Roman"/>
                <w:spacing w:val="-7"/>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34.928</w:t>
            </w:r>
            <w:r>
              <w:rPr>
                <w:rFonts w:ascii="Times New Roman" w:eastAsia="Times New Roman"/>
                <w:spacing w:val="-1"/>
                <w:sz w:val="24"/>
              </w:rPr>
              <w:t xml:space="preserve"> </w:t>
            </w:r>
            <w:r>
              <w:rPr>
                <w:sz w:val="24"/>
              </w:rPr>
              <w:t>秒）</w:t>
            </w:r>
          </w:p>
          <w:p>
            <w:pPr>
              <w:pStyle w:val="TableParagraph"/>
              <w:spacing w:before="158" w:line="367" w:lineRule="auto"/>
              <w:ind w:left="488" w:right="837" w:hanging="480"/>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3"/>
                <w:sz w:val="24"/>
              </w:rPr>
              <w:t xml:space="preserve"> </w:t>
            </w:r>
            <w:r>
              <w:rPr>
                <w:spacing w:val="-31"/>
                <w:sz w:val="24"/>
              </w:rPr>
              <w:t xml:space="preserve">度 </w:t>
            </w:r>
            <w:r>
              <w:rPr>
                <w:rFonts w:ascii="Times New Roman" w:eastAsia="Times New Roman"/>
                <w:sz w:val="24"/>
                <w:u w:val="single"/>
              </w:rPr>
              <w:t>28</w:t>
            </w:r>
            <w:r>
              <w:rPr>
                <w:rFonts w:ascii="Times New Roman" w:eastAsia="Times New Roman"/>
                <w:sz w:val="24"/>
              </w:rPr>
              <w:t xml:space="preserve"> </w:t>
            </w:r>
            <w:r>
              <w:rPr>
                <w:spacing w:val="-31"/>
                <w:sz w:val="24"/>
              </w:rPr>
              <w:t xml:space="preserve">分 </w:t>
            </w:r>
            <w:r>
              <w:rPr>
                <w:rFonts w:ascii="Times New Roman" w:eastAsia="Times New Roman"/>
                <w:sz w:val="24"/>
                <w:u w:val="single"/>
              </w:rPr>
              <w:t>59.963</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z w:val="24"/>
              </w:rPr>
              <w:t xml:space="preserve"> </w:t>
            </w:r>
            <w:r>
              <w:rPr>
                <w:spacing w:val="-30"/>
                <w:sz w:val="24"/>
              </w:rPr>
              <w:t xml:space="preserve">分 </w:t>
            </w:r>
            <w:r>
              <w:rPr>
                <w:rFonts w:ascii="Times New Roman" w:eastAsia="Times New Roman"/>
                <w:sz w:val="24"/>
                <w:u w:val="single"/>
              </w:rPr>
              <w:t>22.343</w:t>
            </w:r>
            <w:r>
              <w:rPr>
                <w:rFonts w:ascii="Times New Roman" w:eastAsia="Times New Roman"/>
                <w:sz w:val="24"/>
              </w:rPr>
              <w:t xml:space="preserve"> </w:t>
            </w:r>
            <w:r>
              <w:rPr>
                <w:sz w:val="24"/>
              </w:rPr>
              <w:t>秒） 岔河减河堤顶路改造工程：</w:t>
            </w:r>
          </w:p>
          <w:p>
            <w:pPr>
              <w:pStyle w:val="TableParagraph"/>
              <w:spacing w:line="303" w:lineRule="exact"/>
              <w:ind w:left="8"/>
              <w:rPr>
                <w:sz w:val="24"/>
              </w:rPr>
            </w:pPr>
            <w:r>
              <w:rPr>
                <w:sz w:val="24"/>
              </w:rPr>
              <w:t>起点（</w:t>
            </w:r>
            <w:r>
              <w:rPr>
                <w:rFonts w:ascii="Times New Roman" w:eastAsia="Times New Roman"/>
                <w:sz w:val="24"/>
                <w:u w:val="single"/>
              </w:rPr>
              <w:t>116</w:t>
            </w:r>
            <w:r>
              <w:rPr>
                <w:rFonts w:ascii="Times New Roman" w:eastAsia="Times New Roman"/>
                <w:sz w:val="24"/>
              </w:rPr>
              <w:t xml:space="preserve"> </w:t>
            </w:r>
            <w:r>
              <w:rPr>
                <w:sz w:val="24"/>
              </w:rPr>
              <w:t xml:space="preserve">度 </w:t>
            </w:r>
            <w:r>
              <w:rPr>
                <w:rFonts w:ascii="Times New Roman" w:eastAsia="Times New Roman"/>
                <w:sz w:val="24"/>
                <w:u w:val="single"/>
              </w:rPr>
              <w:t>22</w:t>
            </w:r>
            <w:r>
              <w:rPr>
                <w:rFonts w:ascii="Times New Roman" w:eastAsia="Times New Roman"/>
                <w:sz w:val="24"/>
              </w:rPr>
              <w:t xml:space="preserve"> </w:t>
            </w:r>
            <w:r>
              <w:rPr>
                <w:sz w:val="24"/>
              </w:rPr>
              <w:t xml:space="preserve">分 </w:t>
            </w:r>
            <w:r>
              <w:rPr>
                <w:rFonts w:ascii="Times New Roman" w:eastAsia="Times New Roman"/>
                <w:sz w:val="24"/>
                <w:u w:val="single"/>
              </w:rPr>
              <w:t>36.649</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z w:val="24"/>
              </w:rPr>
              <w:t xml:space="preserve">度 </w:t>
            </w:r>
            <w:r>
              <w:rPr>
                <w:rFonts w:ascii="Times New Roman" w:eastAsia="Times New Roman"/>
                <w:sz w:val="24"/>
                <w:u w:val="single"/>
              </w:rPr>
              <w:t>30</w:t>
            </w:r>
            <w:r>
              <w:rPr>
                <w:rFonts w:ascii="Times New Roman" w:eastAsia="Times New Roman"/>
                <w:sz w:val="24"/>
              </w:rPr>
              <w:t xml:space="preserve"> </w:t>
            </w:r>
            <w:r>
              <w:rPr>
                <w:sz w:val="24"/>
              </w:rPr>
              <w:t xml:space="preserve">分 </w:t>
            </w:r>
            <w:r>
              <w:rPr>
                <w:rFonts w:ascii="Times New Roman" w:eastAsia="Times New Roman"/>
                <w:sz w:val="24"/>
                <w:u w:val="single"/>
              </w:rPr>
              <w:t>19.958</w:t>
            </w:r>
            <w:r>
              <w:rPr>
                <w:rFonts w:ascii="Times New Roman" w:eastAsia="Times New Roman"/>
                <w:sz w:val="24"/>
              </w:rPr>
              <w:t xml:space="preserve"> </w:t>
            </w:r>
            <w:r>
              <w:rPr>
                <w:sz w:val="24"/>
              </w:rPr>
              <w:t>秒）</w:t>
            </w:r>
          </w:p>
          <w:p>
            <w:pPr>
              <w:pStyle w:val="TableParagraph"/>
              <w:spacing w:before="159" w:line="364" w:lineRule="auto"/>
              <w:ind w:left="488" w:right="837" w:hanging="480"/>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3"/>
                <w:sz w:val="24"/>
              </w:rPr>
              <w:t xml:space="preserve"> </w:t>
            </w:r>
            <w:r>
              <w:rPr>
                <w:spacing w:val="-31"/>
                <w:sz w:val="24"/>
              </w:rPr>
              <w:t xml:space="preserve">度 </w:t>
            </w:r>
            <w:r>
              <w:rPr>
                <w:rFonts w:ascii="Times New Roman" w:eastAsia="Times New Roman"/>
                <w:sz w:val="24"/>
                <w:u w:val="single"/>
              </w:rPr>
              <w:t>23</w:t>
            </w:r>
            <w:r>
              <w:rPr>
                <w:rFonts w:ascii="Times New Roman" w:eastAsia="Times New Roman"/>
                <w:sz w:val="24"/>
              </w:rPr>
              <w:t xml:space="preserve"> </w:t>
            </w:r>
            <w:r>
              <w:rPr>
                <w:spacing w:val="-31"/>
                <w:sz w:val="24"/>
              </w:rPr>
              <w:t xml:space="preserve">分 </w:t>
            </w:r>
            <w:r>
              <w:rPr>
                <w:rFonts w:ascii="Times New Roman" w:eastAsia="Times New Roman"/>
                <w:sz w:val="24"/>
                <w:u w:val="single"/>
              </w:rPr>
              <w:t>33.565</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pacing w:val="-31"/>
                <w:sz w:val="24"/>
              </w:rPr>
              <w:t xml:space="preserve">度 </w:t>
            </w:r>
            <w:r>
              <w:rPr>
                <w:rFonts w:ascii="Times New Roman" w:eastAsia="Times New Roman"/>
                <w:sz w:val="24"/>
                <w:u w:val="single"/>
              </w:rPr>
              <w:t>31</w:t>
            </w:r>
            <w:r>
              <w:rPr>
                <w:rFonts w:ascii="Times New Roman" w:eastAsia="Times New Roman"/>
                <w:sz w:val="24"/>
              </w:rPr>
              <w:t xml:space="preserve"> </w:t>
            </w:r>
            <w:r>
              <w:rPr>
                <w:spacing w:val="-30"/>
                <w:sz w:val="24"/>
              </w:rPr>
              <w:t xml:space="preserve">分 </w:t>
            </w:r>
            <w:r>
              <w:rPr>
                <w:rFonts w:ascii="Times New Roman" w:eastAsia="Times New Roman"/>
                <w:sz w:val="24"/>
                <w:u w:val="single"/>
              </w:rPr>
              <w:t>26.731</w:t>
            </w:r>
            <w:r>
              <w:rPr>
                <w:rFonts w:ascii="Times New Roman" w:eastAsia="Times New Roman"/>
                <w:sz w:val="24"/>
              </w:rPr>
              <w:t xml:space="preserve"> </w:t>
            </w:r>
            <w:r>
              <w:rPr>
                <w:sz w:val="24"/>
              </w:rPr>
              <w:t>秒） 长河公园与岔河连通工程：</w:t>
            </w:r>
          </w:p>
          <w:p>
            <w:pPr>
              <w:pStyle w:val="TableParagraph"/>
              <w:spacing w:before="1"/>
              <w:ind w:left="8"/>
              <w:rPr>
                <w:sz w:val="24"/>
              </w:rPr>
            </w:pPr>
            <w:r>
              <w:rPr>
                <w:sz w:val="24"/>
              </w:rPr>
              <w:t>起点（</w:t>
            </w:r>
            <w:r>
              <w:rPr>
                <w:rFonts w:ascii="Times New Roman" w:eastAsia="Times New Roman"/>
                <w:sz w:val="24"/>
                <w:u w:val="single"/>
              </w:rPr>
              <w:t>116</w:t>
            </w:r>
            <w:r>
              <w:rPr>
                <w:rFonts w:ascii="Times New Roman" w:eastAsia="Times New Roman"/>
                <w:sz w:val="24"/>
              </w:rPr>
              <w:t xml:space="preserve"> </w:t>
            </w:r>
            <w:r>
              <w:rPr>
                <w:sz w:val="24"/>
              </w:rPr>
              <w:t xml:space="preserve">度 </w:t>
            </w:r>
            <w:r>
              <w:rPr>
                <w:rFonts w:ascii="Times New Roman" w:eastAsia="Times New Roman"/>
                <w:sz w:val="24"/>
                <w:u w:val="single"/>
              </w:rPr>
              <w:t>20</w:t>
            </w:r>
            <w:r>
              <w:rPr>
                <w:rFonts w:ascii="Times New Roman" w:eastAsia="Times New Roman"/>
                <w:sz w:val="24"/>
              </w:rPr>
              <w:t xml:space="preserve"> </w:t>
            </w:r>
            <w:r>
              <w:rPr>
                <w:sz w:val="24"/>
              </w:rPr>
              <w:t xml:space="preserve">分 </w:t>
            </w:r>
            <w:r>
              <w:rPr>
                <w:rFonts w:ascii="Times New Roman" w:eastAsia="Times New Roman"/>
                <w:sz w:val="24"/>
                <w:u w:val="single"/>
              </w:rPr>
              <w:t>19.921</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z w:val="24"/>
              </w:rPr>
              <w:t xml:space="preserve">度 </w:t>
            </w:r>
            <w:r>
              <w:rPr>
                <w:rFonts w:ascii="Times New Roman" w:eastAsia="Times New Roman"/>
                <w:sz w:val="24"/>
                <w:u w:val="single"/>
              </w:rPr>
              <w:t>27</w:t>
            </w:r>
            <w:r>
              <w:rPr>
                <w:rFonts w:ascii="Times New Roman" w:eastAsia="Times New Roman"/>
                <w:sz w:val="24"/>
              </w:rPr>
              <w:t xml:space="preserve"> </w:t>
            </w:r>
            <w:r>
              <w:rPr>
                <w:sz w:val="24"/>
              </w:rPr>
              <w:t xml:space="preserve">分 </w:t>
            </w:r>
            <w:r>
              <w:rPr>
                <w:rFonts w:ascii="Times New Roman" w:eastAsia="Times New Roman"/>
                <w:sz w:val="24"/>
                <w:u w:val="single"/>
              </w:rPr>
              <w:t>14.146</w:t>
            </w:r>
            <w:r>
              <w:rPr>
                <w:rFonts w:ascii="Times New Roman" w:eastAsia="Times New Roman"/>
                <w:sz w:val="24"/>
              </w:rPr>
              <w:t xml:space="preserve"> </w:t>
            </w:r>
            <w:r>
              <w:rPr>
                <w:sz w:val="24"/>
              </w:rPr>
              <w:t>秒）</w:t>
            </w:r>
          </w:p>
          <w:p>
            <w:pPr>
              <w:pStyle w:val="TableParagraph"/>
              <w:spacing w:before="158" w:line="362" w:lineRule="auto"/>
              <w:ind w:left="488" w:right="847" w:hanging="480"/>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3"/>
                <w:sz w:val="24"/>
              </w:rPr>
              <w:t xml:space="preserve"> </w:t>
            </w:r>
            <w:r>
              <w:rPr>
                <w:spacing w:val="-31"/>
                <w:sz w:val="24"/>
              </w:rPr>
              <w:t xml:space="preserve">度 </w:t>
            </w:r>
            <w:r>
              <w:rPr>
                <w:rFonts w:ascii="Times New Roman" w:eastAsia="Times New Roman"/>
                <w:sz w:val="24"/>
                <w:u w:val="single"/>
              </w:rPr>
              <w:t>20</w:t>
            </w:r>
            <w:r>
              <w:rPr>
                <w:rFonts w:ascii="Times New Roman" w:eastAsia="Times New Roman"/>
                <w:sz w:val="24"/>
              </w:rPr>
              <w:t xml:space="preserve"> </w:t>
            </w:r>
            <w:r>
              <w:rPr>
                <w:spacing w:val="-31"/>
                <w:sz w:val="24"/>
              </w:rPr>
              <w:t xml:space="preserve">分 </w:t>
            </w:r>
            <w:r>
              <w:rPr>
                <w:rFonts w:ascii="Times New Roman" w:eastAsia="Times New Roman"/>
                <w:sz w:val="24"/>
                <w:u w:val="single"/>
              </w:rPr>
              <w:t>35.894</w:t>
            </w:r>
            <w:r>
              <w:rPr>
                <w:rFonts w:ascii="Times New Roman" w:eastAsia="Times New Roman"/>
                <w:sz w:val="24"/>
              </w:rPr>
              <w:t xml:space="preserve"> </w:t>
            </w:r>
            <w:r>
              <w:rPr>
                <w:sz w:val="24"/>
              </w:rPr>
              <w:t>秒，</w:t>
            </w:r>
            <w:r>
              <w:rPr>
                <w:rFonts w:ascii="Times New Roman" w:eastAsia="Times New Roman"/>
                <w:sz w:val="24"/>
                <w:u w:val="single"/>
              </w:rPr>
              <w:t>37</w:t>
            </w:r>
            <w:r>
              <w:rPr>
                <w:rFonts w:ascii="Times New Roman" w:eastAsia="Times New Roman"/>
                <w:sz w:val="24"/>
              </w:rPr>
              <w:t xml:space="preserve"> </w:t>
            </w:r>
            <w:r>
              <w:rPr>
                <w:spacing w:val="-31"/>
                <w:sz w:val="24"/>
              </w:rPr>
              <w:t xml:space="preserve">度 </w:t>
            </w:r>
            <w:r>
              <w:rPr>
                <w:rFonts w:ascii="Times New Roman" w:eastAsia="Times New Roman"/>
                <w:sz w:val="24"/>
                <w:u w:val="single"/>
              </w:rPr>
              <w:t>27</w:t>
            </w:r>
            <w:r>
              <w:rPr>
                <w:rFonts w:ascii="Times New Roman" w:eastAsia="Times New Roman"/>
                <w:sz w:val="24"/>
              </w:rPr>
              <w:t xml:space="preserve"> </w:t>
            </w:r>
            <w:r>
              <w:rPr>
                <w:spacing w:val="-31"/>
                <w:sz w:val="24"/>
              </w:rPr>
              <w:t xml:space="preserve">分 </w:t>
            </w:r>
            <w:r>
              <w:rPr>
                <w:rFonts w:ascii="Times New Roman" w:eastAsia="Times New Roman"/>
                <w:sz w:val="24"/>
                <w:u w:val="single"/>
              </w:rPr>
              <w:t>12.611</w:t>
            </w:r>
            <w:r>
              <w:rPr>
                <w:rFonts w:ascii="Times New Roman" w:eastAsia="Times New Roman"/>
                <w:sz w:val="24"/>
              </w:rPr>
              <w:t xml:space="preserve"> </w:t>
            </w:r>
            <w:r>
              <w:rPr>
                <w:sz w:val="24"/>
              </w:rPr>
              <w:t>秒） 站前沟综合治理工程：</w:t>
            </w:r>
          </w:p>
          <w:p>
            <w:pPr>
              <w:pStyle w:val="TableParagraph"/>
              <w:spacing w:before="3"/>
              <w:ind w:left="8"/>
              <w:rPr>
                <w:sz w:val="24"/>
              </w:rPr>
            </w:pPr>
            <w:r>
              <w:rPr>
                <w:sz w:val="24"/>
              </w:rPr>
              <w:t>起点</w:t>
            </w:r>
            <w:r>
              <w:rPr>
                <w:spacing w:val="-3"/>
                <w:sz w:val="24"/>
              </w:rPr>
              <w:t>（</w:t>
            </w:r>
            <w:r>
              <w:rPr>
                <w:rFonts w:ascii="Times New Roman" w:eastAsia="Times New Roman"/>
                <w:spacing w:val="-3"/>
                <w:sz w:val="24"/>
                <w:u w:val="single"/>
              </w:rPr>
              <w:t>116</w:t>
            </w:r>
            <w:r>
              <w:rPr>
                <w:rFonts w:ascii="Times New Roman" w:eastAsia="Times New Roman"/>
                <w:spacing w:val="-2"/>
                <w:sz w:val="24"/>
              </w:rPr>
              <w:t xml:space="preserve"> </w:t>
            </w:r>
            <w:r>
              <w:rPr>
                <w:spacing w:val="-31"/>
                <w:sz w:val="24"/>
              </w:rPr>
              <w:t xml:space="preserve">度 </w:t>
            </w:r>
            <w:r>
              <w:rPr>
                <w:rFonts w:ascii="Times New Roman" w:eastAsia="Times New Roman"/>
                <w:sz w:val="24"/>
                <w:u w:val="single"/>
              </w:rPr>
              <w:t>27</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48.820</w:t>
            </w:r>
            <w:r>
              <w:rPr>
                <w:rFonts w:ascii="Times New Roman" w:eastAsia="Times New Roman"/>
                <w:spacing w:val="-1"/>
                <w:sz w:val="24"/>
              </w:rPr>
              <w:t xml:space="preserve"> </w:t>
            </w:r>
            <w:r>
              <w:rPr>
                <w:sz w:val="24"/>
              </w:rPr>
              <w:t>秒，</w:t>
            </w:r>
            <w:r>
              <w:rPr>
                <w:rFonts w:ascii="Times New Roman" w:eastAsia="Times New Roman"/>
                <w:sz w:val="24"/>
                <w:u w:val="single"/>
              </w:rPr>
              <w:t>37</w:t>
            </w:r>
            <w:r>
              <w:rPr>
                <w:rFonts w:ascii="Times New Roman" w:eastAsia="Times New Roman"/>
                <w:spacing w:val="-7"/>
                <w:sz w:val="24"/>
              </w:rPr>
              <w:t xml:space="preserve"> </w:t>
            </w:r>
            <w:r>
              <w:rPr>
                <w:spacing w:val="-31"/>
                <w:sz w:val="24"/>
              </w:rPr>
              <w:t xml:space="preserve">度 </w:t>
            </w:r>
            <w:r>
              <w:rPr>
                <w:rFonts w:ascii="Times New Roman" w:eastAsia="Times New Roman"/>
                <w:sz w:val="24"/>
                <w:u w:val="single"/>
              </w:rPr>
              <w:t>25</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28.276</w:t>
            </w:r>
            <w:r>
              <w:rPr>
                <w:rFonts w:ascii="Times New Roman" w:eastAsia="Times New Roman"/>
                <w:spacing w:val="-1"/>
                <w:sz w:val="24"/>
              </w:rPr>
              <w:t xml:space="preserve"> </w:t>
            </w:r>
            <w:r>
              <w:rPr>
                <w:sz w:val="24"/>
              </w:rPr>
              <w:t>秒）</w:t>
            </w:r>
          </w:p>
          <w:p>
            <w:pPr>
              <w:pStyle w:val="TableParagraph"/>
              <w:spacing w:before="163"/>
              <w:ind w:left="8"/>
              <w:rPr>
                <w:sz w:val="24"/>
              </w:rPr>
            </w:pPr>
            <w:r>
              <w:rPr>
                <w:sz w:val="24"/>
              </w:rPr>
              <w:t>终点</w:t>
            </w:r>
            <w:r>
              <w:rPr>
                <w:spacing w:val="-3"/>
                <w:sz w:val="24"/>
              </w:rPr>
              <w:t>（</w:t>
            </w:r>
            <w:r>
              <w:rPr>
                <w:rFonts w:ascii="Times New Roman" w:eastAsia="Times New Roman"/>
                <w:spacing w:val="-3"/>
                <w:sz w:val="24"/>
                <w:u w:val="single"/>
              </w:rPr>
              <w:t>116</w:t>
            </w:r>
            <w:r>
              <w:rPr>
                <w:rFonts w:ascii="Times New Roman" w:eastAsia="Times New Roman"/>
                <w:spacing w:val="-2"/>
                <w:sz w:val="24"/>
              </w:rPr>
              <w:t xml:space="preserve"> </w:t>
            </w:r>
            <w:r>
              <w:rPr>
                <w:spacing w:val="-31"/>
                <w:sz w:val="24"/>
              </w:rPr>
              <w:t xml:space="preserve">度 </w:t>
            </w:r>
            <w:r>
              <w:rPr>
                <w:rFonts w:ascii="Times New Roman" w:eastAsia="Times New Roman"/>
                <w:sz w:val="24"/>
                <w:u w:val="single"/>
              </w:rPr>
              <w:t>27</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23.206</w:t>
            </w:r>
            <w:r>
              <w:rPr>
                <w:rFonts w:ascii="Times New Roman" w:eastAsia="Times New Roman"/>
                <w:spacing w:val="-1"/>
                <w:sz w:val="24"/>
              </w:rPr>
              <w:t xml:space="preserve"> </w:t>
            </w:r>
            <w:r>
              <w:rPr>
                <w:sz w:val="24"/>
              </w:rPr>
              <w:t>秒，</w:t>
            </w:r>
            <w:r>
              <w:rPr>
                <w:rFonts w:ascii="Times New Roman" w:eastAsia="Times New Roman"/>
                <w:sz w:val="24"/>
                <w:u w:val="single"/>
              </w:rPr>
              <w:t>37</w:t>
            </w:r>
            <w:r>
              <w:rPr>
                <w:rFonts w:ascii="Times New Roman" w:eastAsia="Times New Roman"/>
                <w:spacing w:val="-7"/>
                <w:sz w:val="24"/>
              </w:rPr>
              <w:t xml:space="preserve"> </w:t>
            </w:r>
            <w:r>
              <w:rPr>
                <w:spacing w:val="-31"/>
                <w:sz w:val="24"/>
              </w:rPr>
              <w:t xml:space="preserve">度 </w:t>
            </w:r>
            <w:r>
              <w:rPr>
                <w:rFonts w:ascii="Times New Roman" w:eastAsia="Times New Roman"/>
                <w:sz w:val="24"/>
                <w:u w:val="single"/>
              </w:rPr>
              <w:t>23</w:t>
            </w:r>
            <w:r>
              <w:rPr>
                <w:rFonts w:ascii="Times New Roman" w:eastAsia="Times New Roman"/>
                <w:spacing w:val="-6"/>
                <w:sz w:val="24"/>
              </w:rPr>
              <w:t xml:space="preserve"> </w:t>
            </w:r>
            <w:r>
              <w:rPr>
                <w:spacing w:val="-30"/>
                <w:sz w:val="24"/>
              </w:rPr>
              <w:t xml:space="preserve">分 </w:t>
            </w:r>
            <w:r>
              <w:rPr>
                <w:rFonts w:ascii="Times New Roman" w:eastAsia="Times New Roman"/>
                <w:sz w:val="24"/>
                <w:u w:val="single"/>
              </w:rPr>
              <w:t>22.070</w:t>
            </w:r>
            <w:r>
              <w:rPr>
                <w:rFonts w:ascii="Times New Roman" w:eastAsia="Times New Roman"/>
                <w:spacing w:val="-1"/>
                <w:sz w:val="24"/>
              </w:rPr>
              <w:t xml:space="preserve"> </w:t>
            </w:r>
            <w:r>
              <w:rPr>
                <w:sz w:val="24"/>
              </w:rPr>
              <w:t>秒）</w:t>
            </w:r>
          </w:p>
        </w:tc>
      </w:tr>
      <w:tr>
        <w:tblPrEx>
          <w:tblW w:w="0" w:type="auto"/>
          <w:tblInd w:w="547" w:type="dxa"/>
          <w:tblLayout w:type="fixed"/>
          <w:tblCellMar>
            <w:top w:w="0" w:type="dxa"/>
            <w:left w:w="0" w:type="dxa"/>
            <w:bottom w:w="0" w:type="dxa"/>
            <w:right w:w="0" w:type="dxa"/>
          </w:tblCellMar>
        </w:tblPrEx>
        <w:trPr>
          <w:trHeight w:val="324"/>
        </w:trPr>
        <w:tc>
          <w:tcPr>
            <w:tcW w:w="2387" w:type="dxa"/>
            <w:tcBorders>
              <w:top w:val="single" w:sz="4" w:space="0" w:color="000000"/>
              <w:bottom w:val="nil"/>
              <w:right w:val="single" w:sz="4" w:space="0" w:color="000000"/>
            </w:tcBorders>
          </w:tcPr>
          <w:p>
            <w:pPr>
              <w:pStyle w:val="TableParagraph"/>
              <w:rPr>
                <w:rFonts w:ascii="Times New Roman"/>
                <w:sz w:val="24"/>
              </w:rPr>
            </w:pPr>
          </w:p>
        </w:tc>
        <w:tc>
          <w:tcPr>
            <w:tcW w:w="2133" w:type="dxa"/>
            <w:tcBorders>
              <w:top w:val="single" w:sz="4" w:space="0" w:color="000000"/>
              <w:left w:val="single" w:sz="4" w:space="0" w:color="000000"/>
              <w:bottom w:val="nil"/>
              <w:right w:val="single" w:sz="4" w:space="0" w:color="000000"/>
            </w:tcBorders>
          </w:tcPr>
          <w:p>
            <w:pPr>
              <w:pStyle w:val="TableParagraph"/>
              <w:rPr>
                <w:rFonts w:ascii="Times New Roman"/>
                <w:sz w:val="24"/>
              </w:rPr>
            </w:pPr>
          </w:p>
        </w:tc>
        <w:tc>
          <w:tcPr>
            <w:tcW w:w="1595" w:type="dxa"/>
            <w:tcBorders>
              <w:top w:val="single" w:sz="4" w:space="0" w:color="000000"/>
              <w:left w:val="single" w:sz="4" w:space="0" w:color="000000"/>
              <w:bottom w:val="nil"/>
              <w:right w:val="single" w:sz="4" w:space="0" w:color="000000"/>
            </w:tcBorders>
          </w:tcPr>
          <w:p>
            <w:pPr>
              <w:pStyle w:val="TableParagraph"/>
              <w:rPr>
                <w:rFonts w:ascii="Times New Roman"/>
                <w:sz w:val="24"/>
              </w:rPr>
            </w:pPr>
          </w:p>
        </w:tc>
        <w:tc>
          <w:tcPr>
            <w:tcW w:w="2763" w:type="dxa"/>
            <w:gridSpan w:val="2"/>
            <w:tcBorders>
              <w:top w:val="single" w:sz="4" w:space="0" w:color="000000"/>
              <w:left w:val="single" w:sz="4" w:space="0" w:color="000000"/>
              <w:bottom w:val="nil"/>
            </w:tcBorders>
          </w:tcPr>
          <w:p>
            <w:pPr>
              <w:pStyle w:val="TableParagraph"/>
              <w:spacing w:before="9" w:line="295" w:lineRule="exact"/>
              <w:ind w:left="7"/>
              <w:rPr>
                <w:sz w:val="24"/>
              </w:rPr>
            </w:pPr>
            <w:r>
              <w:rPr>
                <w:sz w:val="24"/>
              </w:rPr>
              <w:t xml:space="preserve">清淤疏浚河道 </w:t>
            </w:r>
            <w:r>
              <w:rPr>
                <w:rFonts w:ascii="Times New Roman" w:eastAsia="Times New Roman"/>
                <w:sz w:val="24"/>
              </w:rPr>
              <w:t>15.1km</w:t>
            </w:r>
            <w:r>
              <w:rPr>
                <w:sz w:val="24"/>
              </w:rPr>
              <w:t>，</w:t>
            </w:r>
          </w:p>
        </w:tc>
      </w:tr>
      <w:tr>
        <w:tblPrEx>
          <w:tblW w:w="0" w:type="auto"/>
          <w:tblInd w:w="547" w:type="dxa"/>
          <w:tblLayout w:type="fixed"/>
          <w:tblCellMar>
            <w:top w:w="0" w:type="dxa"/>
            <w:left w:w="0" w:type="dxa"/>
            <w:bottom w:w="0" w:type="dxa"/>
            <w:right w:w="0" w:type="dxa"/>
          </w:tblCellMar>
        </w:tblPrEx>
        <w:trPr>
          <w:trHeight w:val="312"/>
        </w:trPr>
        <w:tc>
          <w:tcPr>
            <w:tcW w:w="2387" w:type="dxa"/>
            <w:tcBorders>
              <w:top w:val="nil"/>
              <w:bottom w:val="nil"/>
              <w:right w:val="single" w:sz="4" w:space="0" w:color="000000"/>
            </w:tcBorders>
          </w:tcPr>
          <w:p>
            <w:pPr>
              <w:pStyle w:val="TableParagraph"/>
              <w:rPr>
                <w:rFonts w:ascii="Times New Roman"/>
                <w:sz w:val="22"/>
              </w:rPr>
            </w:pPr>
          </w:p>
        </w:tc>
        <w:tc>
          <w:tcPr>
            <w:tcW w:w="2133" w:type="dxa"/>
            <w:tcBorders>
              <w:top w:val="nil"/>
              <w:left w:val="single" w:sz="4" w:space="0" w:color="000000"/>
              <w:bottom w:val="nil"/>
              <w:right w:val="single" w:sz="4" w:space="0" w:color="000000"/>
            </w:tcBorders>
          </w:tcPr>
          <w:p>
            <w:pPr>
              <w:pStyle w:val="TableParagraph"/>
              <w:rPr>
                <w:rFonts w:ascii="Times New Roman"/>
                <w:sz w:val="22"/>
              </w:rPr>
            </w:pPr>
          </w:p>
        </w:tc>
        <w:tc>
          <w:tcPr>
            <w:tcW w:w="1595" w:type="dxa"/>
            <w:tcBorders>
              <w:top w:val="nil"/>
              <w:left w:val="single" w:sz="4" w:space="0" w:color="000000"/>
              <w:bottom w:val="nil"/>
              <w:right w:val="single" w:sz="4" w:space="0" w:color="000000"/>
            </w:tcBorders>
          </w:tcPr>
          <w:p>
            <w:pPr>
              <w:pStyle w:val="TableParagraph"/>
              <w:rPr>
                <w:rFonts w:ascii="Times New Roman"/>
                <w:sz w:val="22"/>
              </w:rPr>
            </w:pPr>
          </w:p>
        </w:tc>
        <w:tc>
          <w:tcPr>
            <w:tcW w:w="2763" w:type="dxa"/>
            <w:gridSpan w:val="2"/>
            <w:tcBorders>
              <w:top w:val="nil"/>
              <w:left w:val="single" w:sz="4" w:space="0" w:color="000000"/>
              <w:bottom w:val="nil"/>
            </w:tcBorders>
          </w:tcPr>
          <w:p>
            <w:pPr>
              <w:pStyle w:val="TableParagraph"/>
              <w:spacing w:line="292" w:lineRule="exact"/>
              <w:ind w:left="7"/>
              <w:rPr>
                <w:sz w:val="24"/>
              </w:rPr>
            </w:pPr>
            <w:r>
              <w:rPr>
                <w:sz w:val="24"/>
              </w:rPr>
              <w:t xml:space="preserve">挡墙 </w:t>
            </w:r>
            <w:r>
              <w:rPr>
                <w:rFonts w:ascii="Times New Roman" w:eastAsia="Times New Roman"/>
                <w:sz w:val="24"/>
              </w:rPr>
              <w:t>3.9km</w:t>
            </w:r>
            <w:r>
              <w:rPr>
                <w:sz w:val="24"/>
              </w:rPr>
              <w:t>，</w:t>
            </w:r>
          </w:p>
        </w:tc>
      </w:tr>
      <w:tr>
        <w:tblPrEx>
          <w:tblW w:w="0" w:type="auto"/>
          <w:tblInd w:w="547" w:type="dxa"/>
          <w:tblLayout w:type="fixed"/>
          <w:tblCellMar>
            <w:top w:w="0" w:type="dxa"/>
            <w:left w:w="0" w:type="dxa"/>
            <w:bottom w:w="0" w:type="dxa"/>
            <w:right w:w="0" w:type="dxa"/>
          </w:tblCellMar>
        </w:tblPrEx>
        <w:trPr>
          <w:trHeight w:val="1249"/>
        </w:trPr>
        <w:tc>
          <w:tcPr>
            <w:tcW w:w="2387" w:type="dxa"/>
            <w:tcBorders>
              <w:top w:val="nil"/>
              <w:bottom w:val="nil"/>
              <w:right w:val="single" w:sz="4" w:space="0" w:color="000000"/>
            </w:tcBorders>
          </w:tcPr>
          <w:p>
            <w:pPr>
              <w:pStyle w:val="TableParagraph"/>
              <w:spacing w:before="150" w:line="242" w:lineRule="auto"/>
              <w:ind w:left="715" w:right="694"/>
              <w:rPr>
                <w:sz w:val="24"/>
              </w:rPr>
            </w:pPr>
            <w:r>
              <w:rPr>
                <w:sz w:val="24"/>
              </w:rPr>
              <w:t>建设项目行业类别</w:t>
            </w:r>
          </w:p>
        </w:tc>
        <w:tc>
          <w:tcPr>
            <w:tcW w:w="2133" w:type="dxa"/>
            <w:tcBorders>
              <w:top w:val="nil"/>
              <w:left w:val="single" w:sz="4" w:space="0" w:color="000000"/>
              <w:bottom w:val="nil"/>
              <w:right w:val="single" w:sz="4" w:space="0" w:color="000000"/>
            </w:tcBorders>
          </w:tcPr>
          <w:p>
            <w:pPr>
              <w:pStyle w:val="TableParagraph"/>
              <w:spacing w:line="242" w:lineRule="auto"/>
              <w:ind w:left="8" w:right="-15" w:hanging="4"/>
              <w:jc w:val="center"/>
              <w:rPr>
                <w:sz w:val="24"/>
              </w:rPr>
            </w:pPr>
            <w:r>
              <w:rPr>
                <w:spacing w:val="-15"/>
                <w:sz w:val="24"/>
              </w:rPr>
              <w:t xml:space="preserve">五十一、水利 </w:t>
            </w:r>
            <w:r>
              <w:rPr>
                <w:rFonts w:ascii="Times New Roman" w:eastAsia="Times New Roman"/>
                <w:sz w:val="24"/>
              </w:rPr>
              <w:t xml:space="preserve">128 </w:t>
            </w:r>
            <w:r>
              <w:rPr>
                <w:sz w:val="24"/>
              </w:rPr>
              <w:t>河</w:t>
            </w:r>
            <w:r>
              <w:rPr>
                <w:spacing w:val="-13"/>
                <w:sz w:val="24"/>
              </w:rPr>
              <w:t>湖整治</w:t>
            </w:r>
            <w:r>
              <w:rPr>
                <w:sz w:val="24"/>
              </w:rPr>
              <w:t>（</w:t>
            </w:r>
            <w:r>
              <w:rPr>
                <w:spacing w:val="-3"/>
                <w:sz w:val="24"/>
              </w:rPr>
              <w:t>不含农村塘</w:t>
            </w:r>
            <w:r>
              <w:rPr>
                <w:sz w:val="24"/>
              </w:rPr>
              <w:t>堰、水渠）其他</w:t>
            </w:r>
          </w:p>
        </w:tc>
        <w:tc>
          <w:tcPr>
            <w:tcW w:w="1595" w:type="dxa"/>
            <w:tcBorders>
              <w:top w:val="nil"/>
              <w:left w:val="single" w:sz="4" w:space="0" w:color="000000"/>
              <w:bottom w:val="nil"/>
              <w:right w:val="single" w:sz="4" w:space="0" w:color="000000"/>
            </w:tcBorders>
          </w:tcPr>
          <w:p>
            <w:pPr>
              <w:pStyle w:val="TableParagraph"/>
              <w:spacing w:line="242" w:lineRule="auto"/>
              <w:ind w:left="8" w:right="-15" w:firstLine="9"/>
              <w:jc w:val="center"/>
              <w:rPr>
                <w:sz w:val="24"/>
              </w:rPr>
            </w:pPr>
            <w:r>
              <w:rPr>
                <w:spacing w:val="-13"/>
                <w:sz w:val="24"/>
              </w:rPr>
              <w:t>用地</w:t>
            </w:r>
            <w:r>
              <w:rPr>
                <w:spacing w:val="-10"/>
                <w:sz w:val="24"/>
              </w:rPr>
              <w:t>（</w:t>
            </w:r>
            <w:r>
              <w:rPr>
                <w:spacing w:val="-13"/>
                <w:sz w:val="24"/>
              </w:rPr>
              <w:t>用海</w:t>
            </w:r>
            <w:r>
              <w:rPr>
                <w:sz w:val="24"/>
              </w:rPr>
              <w:t xml:space="preserve">） </w:t>
            </w:r>
            <w:r>
              <w:rPr>
                <w:spacing w:val="-37"/>
                <w:sz w:val="24"/>
              </w:rPr>
              <w:t>面积</w:t>
            </w:r>
            <w:r>
              <w:rPr>
                <w:spacing w:val="-18"/>
                <w:sz w:val="24"/>
              </w:rPr>
              <w:t>（</w:t>
            </w:r>
            <w:r>
              <w:rPr>
                <w:rFonts w:ascii="Times New Roman" w:eastAsia="Times New Roman"/>
                <w:spacing w:val="-18"/>
                <w:sz w:val="24"/>
              </w:rPr>
              <w:t>m</w:t>
            </w:r>
            <w:r>
              <w:rPr>
                <w:rFonts w:ascii="Times New Roman" w:eastAsia="Times New Roman"/>
                <w:spacing w:val="-18"/>
                <w:sz w:val="24"/>
                <w:vertAlign w:val="superscript"/>
              </w:rPr>
              <w:t>2</w:t>
            </w:r>
            <w:r>
              <w:rPr>
                <w:spacing w:val="-18"/>
                <w:sz w:val="24"/>
                <w:vertAlign w:val="baseline"/>
              </w:rPr>
              <w:t>）</w:t>
            </w:r>
            <w:r>
              <w:rPr>
                <w:rFonts w:ascii="Times New Roman" w:eastAsia="Times New Roman"/>
                <w:spacing w:val="-18"/>
                <w:sz w:val="24"/>
                <w:vertAlign w:val="baseline"/>
              </w:rPr>
              <w:t>/</w:t>
            </w:r>
            <w:r>
              <w:rPr>
                <w:spacing w:val="-15"/>
                <w:sz w:val="24"/>
                <w:vertAlign w:val="baseline"/>
              </w:rPr>
              <w:t>长度</w:t>
            </w:r>
          </w:p>
          <w:p>
            <w:pPr>
              <w:pStyle w:val="TableParagraph"/>
              <w:ind w:left="391" w:right="366"/>
              <w:jc w:val="center"/>
              <w:rPr>
                <w:sz w:val="24"/>
              </w:rPr>
            </w:pPr>
            <w:r>
              <w:rPr>
                <w:sz w:val="24"/>
              </w:rPr>
              <w:t>（</w:t>
            </w:r>
            <w:r>
              <w:rPr>
                <w:rFonts w:ascii="Times New Roman" w:eastAsia="Times New Roman"/>
                <w:sz w:val="24"/>
              </w:rPr>
              <w:t>km</w:t>
            </w:r>
            <w:r>
              <w:rPr>
                <w:sz w:val="24"/>
              </w:rPr>
              <w:t>）</w:t>
            </w:r>
          </w:p>
        </w:tc>
        <w:tc>
          <w:tcPr>
            <w:tcW w:w="2763" w:type="dxa"/>
            <w:gridSpan w:val="2"/>
            <w:tcBorders>
              <w:top w:val="nil"/>
              <w:left w:val="single" w:sz="4" w:space="0" w:color="000000"/>
              <w:bottom w:val="nil"/>
            </w:tcBorders>
          </w:tcPr>
          <w:p>
            <w:pPr>
              <w:pStyle w:val="TableParagraph"/>
              <w:spacing w:line="242" w:lineRule="auto"/>
              <w:ind w:left="7" w:right="746"/>
              <w:rPr>
                <w:sz w:val="24"/>
              </w:rPr>
            </w:pPr>
            <w:r>
              <w:rPr>
                <w:sz w:val="24"/>
              </w:rPr>
              <w:t xml:space="preserve">配套道路 </w:t>
            </w:r>
            <w:r>
              <w:rPr>
                <w:rFonts w:ascii="Times New Roman" w:eastAsia="Times New Roman"/>
                <w:sz w:val="24"/>
              </w:rPr>
              <w:t>7.8km</w:t>
            </w:r>
            <w:r>
              <w:rPr>
                <w:sz w:val="24"/>
              </w:rPr>
              <w:t xml:space="preserve">， 堤顶路改造 </w:t>
            </w:r>
            <w:r>
              <w:rPr>
                <w:rFonts w:ascii="Times New Roman" w:eastAsia="Times New Roman"/>
                <w:sz w:val="24"/>
              </w:rPr>
              <w:t>4km</w:t>
            </w:r>
            <w:r>
              <w:rPr>
                <w:sz w:val="24"/>
              </w:rPr>
              <w:t>，</w:t>
            </w:r>
          </w:p>
          <w:p>
            <w:pPr>
              <w:pStyle w:val="TableParagraph"/>
              <w:ind w:left="7"/>
              <w:rPr>
                <w:sz w:val="24"/>
              </w:rPr>
            </w:pPr>
            <w:r>
              <w:rPr>
                <w:sz w:val="24"/>
              </w:rPr>
              <w:t xml:space="preserve">水环境综合治理 </w:t>
            </w:r>
            <w:r>
              <w:rPr>
                <w:rFonts w:ascii="Times New Roman" w:eastAsia="Times New Roman"/>
                <w:sz w:val="24"/>
              </w:rPr>
              <w:t>1.4km</w:t>
            </w:r>
            <w:r>
              <w:rPr>
                <w:sz w:val="24"/>
              </w:rPr>
              <w:t>，</w:t>
            </w:r>
          </w:p>
          <w:p>
            <w:pPr>
              <w:pStyle w:val="TableParagraph"/>
              <w:spacing w:before="4" w:line="296" w:lineRule="exact"/>
              <w:ind w:left="7"/>
              <w:rPr>
                <w:rFonts w:ascii="Times New Roman" w:eastAsia="Times New Roman"/>
                <w:sz w:val="24"/>
              </w:rPr>
            </w:pPr>
            <w:r>
              <w:rPr>
                <w:sz w:val="24"/>
              </w:rPr>
              <w:t xml:space="preserve">总用地面积 </w:t>
            </w:r>
            <w:r>
              <w:rPr>
                <w:rFonts w:ascii="Times New Roman" w:eastAsia="Times New Roman"/>
                <w:sz w:val="24"/>
              </w:rPr>
              <w:t>442935.548m</w:t>
            </w:r>
            <w:r>
              <w:rPr>
                <w:rFonts w:ascii="Times New Roman" w:eastAsia="Times New Roman"/>
                <w:sz w:val="24"/>
                <w:vertAlign w:val="superscript"/>
              </w:rPr>
              <w:t>2</w:t>
            </w:r>
          </w:p>
        </w:tc>
      </w:tr>
      <w:tr>
        <w:tblPrEx>
          <w:tblW w:w="0" w:type="auto"/>
          <w:tblInd w:w="547" w:type="dxa"/>
          <w:tblLayout w:type="fixed"/>
          <w:tblCellMar>
            <w:top w:w="0" w:type="dxa"/>
            <w:left w:w="0" w:type="dxa"/>
            <w:bottom w:w="0" w:type="dxa"/>
            <w:right w:w="0" w:type="dxa"/>
          </w:tblCellMar>
        </w:tblPrEx>
        <w:trPr>
          <w:trHeight w:val="307"/>
        </w:trPr>
        <w:tc>
          <w:tcPr>
            <w:tcW w:w="2387" w:type="dxa"/>
            <w:tcBorders>
              <w:top w:val="nil"/>
              <w:right w:val="single" w:sz="4" w:space="0" w:color="000000"/>
            </w:tcBorders>
          </w:tcPr>
          <w:p>
            <w:pPr>
              <w:pStyle w:val="TableParagraph"/>
              <w:rPr>
                <w:rFonts w:ascii="Times New Roman"/>
                <w:sz w:val="22"/>
              </w:rPr>
            </w:pPr>
          </w:p>
        </w:tc>
        <w:tc>
          <w:tcPr>
            <w:tcW w:w="2133" w:type="dxa"/>
            <w:tcBorders>
              <w:top w:val="nil"/>
              <w:left w:val="single" w:sz="4" w:space="0" w:color="000000"/>
              <w:right w:val="single" w:sz="4" w:space="0" w:color="000000"/>
            </w:tcBorders>
          </w:tcPr>
          <w:p>
            <w:pPr>
              <w:pStyle w:val="TableParagraph"/>
              <w:rPr>
                <w:rFonts w:ascii="Times New Roman"/>
                <w:sz w:val="22"/>
              </w:rPr>
            </w:pPr>
          </w:p>
        </w:tc>
        <w:tc>
          <w:tcPr>
            <w:tcW w:w="1595" w:type="dxa"/>
            <w:tcBorders>
              <w:top w:val="nil"/>
              <w:left w:val="single" w:sz="4" w:space="0" w:color="000000"/>
              <w:right w:val="single" w:sz="4" w:space="0" w:color="000000"/>
            </w:tcBorders>
          </w:tcPr>
          <w:p>
            <w:pPr>
              <w:pStyle w:val="TableParagraph"/>
              <w:rPr>
                <w:rFonts w:ascii="Times New Roman"/>
                <w:sz w:val="22"/>
              </w:rPr>
            </w:pPr>
          </w:p>
        </w:tc>
        <w:tc>
          <w:tcPr>
            <w:tcW w:w="2763" w:type="dxa"/>
            <w:gridSpan w:val="2"/>
            <w:tcBorders>
              <w:top w:val="nil"/>
              <w:left w:val="single" w:sz="4" w:space="0" w:color="000000"/>
            </w:tcBorders>
          </w:tcPr>
          <w:p>
            <w:pPr>
              <w:pStyle w:val="TableParagraph"/>
              <w:spacing w:line="287" w:lineRule="exact"/>
              <w:ind w:left="7"/>
              <w:rPr>
                <w:sz w:val="24"/>
              </w:rPr>
            </w:pPr>
            <w:r>
              <w:rPr>
                <w:sz w:val="24"/>
              </w:rPr>
              <w:t>（其中永久用地</w:t>
            </w:r>
          </w:p>
        </w:tc>
      </w:tr>
    </w:tbl>
    <w:p>
      <w:pPr>
        <w:pStyle w:val="BodyText"/>
        <w:rPr>
          <w:rFonts w:ascii="黑体"/>
          <w:sz w:val="30"/>
        </w:rPr>
      </w:pPr>
    </w:p>
    <w:p>
      <w:pPr>
        <w:spacing w:before="233"/>
        <w:ind w:left="0" w:right="705" w:firstLine="0"/>
        <w:jc w:val="right"/>
        <w:rPr>
          <w:sz w:val="28"/>
        </w:rPr>
      </w:pPr>
      <w:r>
        <w:rPr>
          <w:w w:val="95"/>
          <w:sz w:val="28"/>
        </w:rPr>
        <w:t>—</w:t>
      </w:r>
      <w:r>
        <w:rPr>
          <w:w w:val="95"/>
          <w:sz w:val="26"/>
        </w:rPr>
        <w:t>1</w:t>
      </w:r>
      <w:r>
        <w:rPr>
          <w:w w:val="95"/>
          <w:sz w:val="28"/>
        </w:rPr>
        <w:t>—</w:t>
      </w:r>
    </w:p>
    <w:p>
      <w:pPr>
        <w:spacing w:after="0"/>
        <w:jc w:val="right"/>
        <w:rPr>
          <w:sz w:val="28"/>
        </w:rPr>
        <w:sectPr>
          <w:pgSz w:w="11910" w:h="16840"/>
          <w:pgMar w:top="1580" w:right="820" w:bottom="280" w:left="980" w:header="720" w:footer="720" w:gutter="0"/>
          <w:pgNumType w:start="3"/>
          <w:cols w:num="1" w:space="720"/>
        </w:sectPr>
      </w:pPr>
    </w:p>
    <w:p>
      <w:pPr>
        <w:pStyle w:val="BodyText"/>
        <w:spacing w:before="11"/>
        <w:rPr>
          <w:sz w:val="7"/>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865"/>
        <w:gridCol w:w="125"/>
        <w:gridCol w:w="1150"/>
        <w:gridCol w:w="247"/>
        <w:gridCol w:w="2132"/>
        <w:gridCol w:w="1594"/>
        <w:gridCol w:w="449"/>
        <w:gridCol w:w="2192"/>
        <w:gridCol w:w="120"/>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642"/>
        </w:trPr>
        <w:tc>
          <w:tcPr>
            <w:tcW w:w="2387" w:type="dxa"/>
            <w:gridSpan w:val="4"/>
            <w:tcBorders>
              <w:bottom w:val="single" w:sz="4" w:space="0" w:color="000000"/>
              <w:right w:val="single" w:sz="4" w:space="0" w:color="000000"/>
            </w:tcBorders>
          </w:tcPr>
          <w:p>
            <w:pPr>
              <w:pStyle w:val="TableParagraph"/>
              <w:rPr>
                <w:rFonts w:ascii="Times New Roman"/>
                <w:sz w:val="22"/>
              </w:rPr>
            </w:pPr>
          </w:p>
        </w:tc>
        <w:tc>
          <w:tcPr>
            <w:tcW w:w="2132" w:type="dxa"/>
            <w:tcBorders>
              <w:left w:val="single" w:sz="4" w:space="0" w:color="000000"/>
              <w:bottom w:val="single" w:sz="4" w:space="0" w:color="000000"/>
              <w:right w:val="single" w:sz="4" w:space="0" w:color="000000"/>
            </w:tcBorders>
          </w:tcPr>
          <w:p>
            <w:pPr>
              <w:pStyle w:val="TableParagraph"/>
              <w:rPr>
                <w:rFonts w:ascii="Times New Roman"/>
                <w:sz w:val="22"/>
              </w:rPr>
            </w:pPr>
          </w:p>
        </w:tc>
        <w:tc>
          <w:tcPr>
            <w:tcW w:w="1594" w:type="dxa"/>
            <w:tcBorders>
              <w:left w:val="single" w:sz="4" w:space="0" w:color="000000"/>
              <w:bottom w:val="single" w:sz="4" w:space="0" w:color="000000"/>
              <w:right w:val="single" w:sz="4" w:space="0" w:color="000000"/>
            </w:tcBorders>
          </w:tcPr>
          <w:p>
            <w:pPr>
              <w:pStyle w:val="TableParagraph"/>
              <w:rPr>
                <w:rFonts w:ascii="Times New Roman"/>
                <w:sz w:val="22"/>
              </w:rPr>
            </w:pPr>
          </w:p>
        </w:tc>
        <w:tc>
          <w:tcPr>
            <w:tcW w:w="2761" w:type="dxa"/>
            <w:gridSpan w:val="3"/>
            <w:tcBorders>
              <w:left w:val="single" w:sz="4" w:space="0" w:color="000000"/>
              <w:bottom w:val="single" w:sz="4" w:space="0" w:color="000000"/>
            </w:tcBorders>
          </w:tcPr>
          <w:p>
            <w:pPr>
              <w:pStyle w:val="TableParagraph"/>
              <w:spacing w:before="14"/>
              <w:ind w:left="9"/>
              <w:rPr>
                <w:sz w:val="24"/>
              </w:rPr>
            </w:pPr>
            <w:r>
              <w:rPr>
                <w:rFonts w:ascii="Times New Roman" w:eastAsia="Times New Roman"/>
                <w:sz w:val="24"/>
              </w:rPr>
              <w:t>91133.789m</w:t>
            </w:r>
            <w:r>
              <w:rPr>
                <w:rFonts w:ascii="Times New Roman" w:eastAsia="Times New Roman"/>
                <w:sz w:val="24"/>
                <w:vertAlign w:val="superscript"/>
              </w:rPr>
              <w:t>2</w:t>
            </w:r>
            <w:r>
              <w:rPr>
                <w:sz w:val="24"/>
                <w:vertAlign w:val="baseline"/>
              </w:rPr>
              <w:t>，临时用地</w:t>
            </w:r>
          </w:p>
          <w:p>
            <w:pPr>
              <w:pStyle w:val="TableParagraph"/>
              <w:spacing w:before="4" w:line="297" w:lineRule="exact"/>
              <w:ind w:left="9"/>
              <w:rPr>
                <w:sz w:val="24"/>
              </w:rPr>
            </w:pPr>
            <w:r>
              <w:rPr>
                <w:rFonts w:ascii="Times New Roman" w:eastAsia="Times New Roman"/>
                <w:sz w:val="24"/>
              </w:rPr>
              <w:t>351801.759m</w:t>
            </w:r>
            <w:r>
              <w:rPr>
                <w:rFonts w:ascii="Times New Roman" w:eastAsia="Times New Roman"/>
                <w:sz w:val="24"/>
                <w:vertAlign w:val="superscript"/>
              </w:rPr>
              <w:t>2</w:t>
            </w:r>
            <w:r>
              <w:rPr>
                <w:sz w:val="24"/>
                <w:vertAlign w:val="baseline"/>
              </w:rPr>
              <w:t>）</w:t>
            </w:r>
          </w:p>
        </w:tc>
      </w:tr>
      <w:tr>
        <w:tblPrEx>
          <w:tblW w:w="0" w:type="auto"/>
          <w:tblInd w:w="547" w:type="dxa"/>
          <w:tblLayout w:type="fixed"/>
          <w:tblCellMar>
            <w:top w:w="0" w:type="dxa"/>
            <w:left w:w="0" w:type="dxa"/>
            <w:bottom w:w="0" w:type="dxa"/>
            <w:right w:w="0" w:type="dxa"/>
          </w:tblCellMar>
        </w:tblPrEx>
        <w:trPr>
          <w:trHeight w:val="1569"/>
        </w:trPr>
        <w:tc>
          <w:tcPr>
            <w:tcW w:w="2387" w:type="dxa"/>
            <w:gridSpan w:val="4"/>
            <w:tcBorders>
              <w:top w:val="single" w:sz="4" w:space="0" w:color="000000"/>
              <w:bottom w:val="single" w:sz="4" w:space="0" w:color="000000"/>
              <w:right w:val="single" w:sz="4" w:space="0" w:color="000000"/>
            </w:tcBorders>
          </w:tcPr>
          <w:p>
            <w:pPr>
              <w:pStyle w:val="TableParagraph"/>
              <w:rPr>
                <w:sz w:val="24"/>
              </w:rPr>
            </w:pPr>
          </w:p>
          <w:p>
            <w:pPr>
              <w:pStyle w:val="TableParagraph"/>
              <w:spacing w:before="6"/>
              <w:rPr>
                <w:sz w:val="25"/>
              </w:rPr>
            </w:pPr>
          </w:p>
          <w:p>
            <w:pPr>
              <w:pStyle w:val="TableParagraph"/>
              <w:ind w:left="715"/>
              <w:rPr>
                <w:sz w:val="24"/>
              </w:rPr>
            </w:pPr>
            <w:r>
              <w:rPr>
                <w:sz w:val="24"/>
              </w:rPr>
              <w:t>建设性质</w:t>
            </w:r>
          </w:p>
        </w:tc>
        <w:tc>
          <w:tcPr>
            <w:tcW w:w="2132" w:type="dxa"/>
            <w:tcBorders>
              <w:top w:val="single" w:sz="4" w:space="0" w:color="000000"/>
              <w:left w:val="single" w:sz="4" w:space="0" w:color="000000"/>
              <w:bottom w:val="single" w:sz="4" w:space="0" w:color="000000"/>
              <w:right w:val="single" w:sz="4" w:space="0" w:color="000000"/>
            </w:tcBorders>
          </w:tcPr>
          <w:p>
            <w:pPr>
              <w:pStyle w:val="TableParagraph"/>
              <w:spacing w:before="163"/>
              <w:ind w:left="8"/>
              <w:rPr>
                <w:sz w:val="24"/>
              </w:rPr>
            </w:pPr>
            <w:r>
              <w:rPr>
                <w:rFonts w:ascii="Wingdings" w:eastAsia="Wingdings" w:hAnsi="Wingdings"/>
                <w:sz w:val="24"/>
              </w:rPr>
              <w:sym w:font="Wingdings" w:char="F052"/>
            </w:r>
            <w:r>
              <w:rPr>
                <w:sz w:val="24"/>
              </w:rPr>
              <w:t>新建（迁建）</w:t>
            </w:r>
          </w:p>
          <w:p>
            <w:pPr>
              <w:pStyle w:val="TableParagraph"/>
              <w:numPr>
                <w:ilvl w:val="0"/>
                <w:numId w:val="1"/>
              </w:numPr>
              <w:tabs>
                <w:tab w:val="left" w:pos="225"/>
              </w:tabs>
              <w:spacing w:before="5" w:after="0" w:line="240" w:lineRule="auto"/>
              <w:ind w:left="224" w:right="0" w:hanging="217"/>
              <w:jc w:val="left"/>
              <w:rPr>
                <w:sz w:val="24"/>
              </w:rPr>
            </w:pPr>
            <w:r>
              <w:rPr>
                <w:sz w:val="24"/>
              </w:rPr>
              <w:t>改建</w:t>
            </w:r>
          </w:p>
          <w:p>
            <w:pPr>
              <w:pStyle w:val="TableParagraph"/>
              <w:numPr>
                <w:ilvl w:val="0"/>
                <w:numId w:val="1"/>
              </w:numPr>
              <w:tabs>
                <w:tab w:val="left" w:pos="225"/>
              </w:tabs>
              <w:spacing w:before="4" w:after="0" w:line="240" w:lineRule="auto"/>
              <w:ind w:left="224" w:right="0" w:hanging="217"/>
              <w:jc w:val="left"/>
              <w:rPr>
                <w:sz w:val="24"/>
              </w:rPr>
            </w:pPr>
            <w:r>
              <w:rPr>
                <w:sz w:val="24"/>
              </w:rPr>
              <w:t>扩建</w:t>
            </w:r>
          </w:p>
          <w:p>
            <w:pPr>
              <w:pStyle w:val="TableParagraph"/>
              <w:numPr>
                <w:ilvl w:val="0"/>
                <w:numId w:val="1"/>
              </w:numPr>
              <w:tabs>
                <w:tab w:val="left" w:pos="225"/>
              </w:tabs>
              <w:spacing w:before="5" w:after="0" w:line="240" w:lineRule="auto"/>
              <w:ind w:left="224" w:right="0" w:hanging="217"/>
              <w:jc w:val="left"/>
              <w:rPr>
                <w:sz w:val="24"/>
              </w:rPr>
            </w:pPr>
            <w:r>
              <w:rPr>
                <w:sz w:val="24"/>
              </w:rPr>
              <w:t>技术改造</w:t>
            </w:r>
          </w:p>
        </w:tc>
        <w:tc>
          <w:tcPr>
            <w:tcW w:w="1594"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68" w:line="242" w:lineRule="auto"/>
              <w:ind w:left="321" w:right="300"/>
              <w:rPr>
                <w:sz w:val="24"/>
              </w:rPr>
            </w:pPr>
            <w:r>
              <w:rPr>
                <w:sz w:val="24"/>
              </w:rPr>
              <w:t>建设项目申报情形</w:t>
            </w:r>
          </w:p>
        </w:tc>
        <w:tc>
          <w:tcPr>
            <w:tcW w:w="2761" w:type="dxa"/>
            <w:gridSpan w:val="3"/>
            <w:tcBorders>
              <w:top w:val="single" w:sz="4" w:space="0" w:color="000000"/>
              <w:left w:val="single" w:sz="4" w:space="0" w:color="000000"/>
              <w:bottom w:val="single" w:sz="4" w:space="0" w:color="000000"/>
            </w:tcBorders>
          </w:tcPr>
          <w:p>
            <w:pPr>
              <w:pStyle w:val="TableParagraph"/>
              <w:spacing w:before="9"/>
              <w:ind w:left="9"/>
              <w:rPr>
                <w:sz w:val="24"/>
              </w:rPr>
            </w:pPr>
            <w:r>
              <w:rPr>
                <w:rFonts w:ascii="Wingdings" w:eastAsia="Wingdings" w:hAnsi="Wingdings"/>
                <w:sz w:val="24"/>
              </w:rPr>
              <w:sym w:font="Wingdings" w:char="F052"/>
            </w:r>
            <w:r>
              <w:rPr>
                <w:sz w:val="24"/>
              </w:rPr>
              <w:t>首次申报项目</w:t>
            </w:r>
          </w:p>
          <w:p>
            <w:pPr>
              <w:pStyle w:val="TableParagraph"/>
              <w:numPr>
                <w:ilvl w:val="0"/>
                <w:numId w:val="2"/>
              </w:numPr>
              <w:tabs>
                <w:tab w:val="left" w:pos="226"/>
              </w:tabs>
              <w:spacing w:before="5" w:after="0" w:line="242" w:lineRule="auto"/>
              <w:ind w:left="9" w:right="118" w:firstLine="0"/>
              <w:jc w:val="left"/>
              <w:rPr>
                <w:sz w:val="24"/>
              </w:rPr>
            </w:pPr>
            <w:r>
              <w:rPr>
                <w:spacing w:val="-2"/>
                <w:sz w:val="24"/>
              </w:rPr>
              <w:t>不予批准后再次申报项</w:t>
            </w:r>
            <w:r>
              <w:rPr>
                <w:sz w:val="24"/>
              </w:rPr>
              <w:t>目</w:t>
            </w:r>
          </w:p>
          <w:p>
            <w:pPr>
              <w:pStyle w:val="TableParagraph"/>
              <w:numPr>
                <w:ilvl w:val="0"/>
                <w:numId w:val="2"/>
              </w:numPr>
              <w:tabs>
                <w:tab w:val="left" w:pos="226"/>
              </w:tabs>
              <w:spacing w:before="3" w:after="0" w:line="307" w:lineRule="exact"/>
              <w:ind w:left="225" w:right="0" w:hanging="217"/>
              <w:jc w:val="left"/>
              <w:rPr>
                <w:sz w:val="24"/>
              </w:rPr>
            </w:pPr>
            <w:r>
              <w:rPr>
                <w:sz w:val="24"/>
              </w:rPr>
              <w:t>超五年重新审核项目</w:t>
            </w:r>
          </w:p>
          <w:p>
            <w:pPr>
              <w:pStyle w:val="TableParagraph"/>
              <w:numPr>
                <w:ilvl w:val="0"/>
                <w:numId w:val="2"/>
              </w:numPr>
              <w:tabs>
                <w:tab w:val="left" w:pos="226"/>
              </w:tabs>
              <w:spacing w:before="0" w:after="0" w:line="296" w:lineRule="exact"/>
              <w:ind w:left="225" w:right="0" w:hanging="217"/>
              <w:jc w:val="left"/>
              <w:rPr>
                <w:sz w:val="24"/>
              </w:rPr>
            </w:pPr>
            <w:r>
              <w:rPr>
                <w:sz w:val="24"/>
              </w:rPr>
              <w:t>重大变动重新报批项目</w:t>
            </w:r>
          </w:p>
        </w:tc>
      </w:tr>
      <w:tr>
        <w:tblPrEx>
          <w:tblW w:w="0" w:type="auto"/>
          <w:tblInd w:w="547" w:type="dxa"/>
          <w:tblLayout w:type="fixed"/>
          <w:tblCellMar>
            <w:top w:w="0" w:type="dxa"/>
            <w:left w:w="0" w:type="dxa"/>
            <w:bottom w:w="0" w:type="dxa"/>
            <w:right w:w="0" w:type="dxa"/>
          </w:tblCellMar>
        </w:tblPrEx>
        <w:trPr>
          <w:trHeight w:val="950"/>
        </w:trPr>
        <w:tc>
          <w:tcPr>
            <w:tcW w:w="2387" w:type="dxa"/>
            <w:gridSpan w:val="4"/>
            <w:tcBorders>
              <w:top w:val="single" w:sz="4" w:space="0" w:color="000000"/>
              <w:bottom w:val="single" w:sz="4" w:space="0" w:color="000000"/>
              <w:right w:val="single" w:sz="4" w:space="0" w:color="000000"/>
            </w:tcBorders>
          </w:tcPr>
          <w:p>
            <w:pPr>
              <w:pStyle w:val="TableParagraph"/>
              <w:spacing w:before="167" w:line="244" w:lineRule="auto"/>
              <w:ind w:left="114" w:right="95" w:firstLine="206"/>
              <w:rPr>
                <w:sz w:val="24"/>
              </w:rPr>
            </w:pPr>
            <w:r>
              <w:rPr>
                <w:sz w:val="24"/>
              </w:rPr>
              <w:t>项目审批（核准</w:t>
            </w:r>
            <w:r>
              <w:rPr>
                <w:rFonts w:ascii="Times New Roman" w:eastAsia="Times New Roman"/>
                <w:sz w:val="24"/>
              </w:rPr>
              <w:t xml:space="preserve">/ </w:t>
            </w:r>
            <w:r>
              <w:rPr>
                <w:sz w:val="24"/>
              </w:rPr>
              <w:t>备案）部门（选填）</w:t>
            </w:r>
          </w:p>
        </w:tc>
        <w:tc>
          <w:tcPr>
            <w:tcW w:w="2132" w:type="dxa"/>
            <w:tcBorders>
              <w:top w:val="single" w:sz="4" w:space="0" w:color="000000"/>
              <w:left w:val="single" w:sz="4" w:space="0" w:color="000000"/>
              <w:bottom w:val="single" w:sz="4" w:space="0" w:color="000000"/>
              <w:right w:val="single" w:sz="4" w:space="0" w:color="000000"/>
            </w:tcBorders>
          </w:tcPr>
          <w:p>
            <w:pPr>
              <w:pStyle w:val="TableParagraph"/>
              <w:spacing w:before="4"/>
              <w:rPr>
                <w:sz w:val="26"/>
              </w:rPr>
            </w:pPr>
          </w:p>
          <w:p>
            <w:pPr>
              <w:pStyle w:val="TableParagraph"/>
              <w:ind w:left="18"/>
              <w:jc w:val="center"/>
              <w:rPr>
                <w:rFonts w:ascii="Times New Roman"/>
                <w:sz w:val="24"/>
              </w:rPr>
            </w:pPr>
            <w:r>
              <w:rPr>
                <w:rFonts w:ascii="Times New Roman"/>
                <w:sz w:val="24"/>
              </w:rPr>
              <w:t>/</w:t>
            </w:r>
          </w:p>
        </w:tc>
        <w:tc>
          <w:tcPr>
            <w:tcW w:w="1594" w:type="dxa"/>
            <w:tcBorders>
              <w:top w:val="single" w:sz="4" w:space="0" w:color="000000"/>
              <w:left w:val="single" w:sz="4" w:space="0" w:color="000000"/>
              <w:bottom w:val="single" w:sz="4" w:space="0" w:color="000000"/>
              <w:right w:val="single" w:sz="4" w:space="0" w:color="000000"/>
            </w:tcBorders>
          </w:tcPr>
          <w:p>
            <w:pPr>
              <w:pStyle w:val="TableParagraph"/>
              <w:spacing w:before="14"/>
              <w:ind w:left="9" w:right="-15"/>
              <w:jc w:val="center"/>
              <w:rPr>
                <w:sz w:val="24"/>
              </w:rPr>
            </w:pPr>
            <w:r>
              <w:rPr>
                <w:spacing w:val="-24"/>
                <w:sz w:val="24"/>
              </w:rPr>
              <w:t>项目审批</w:t>
            </w:r>
            <w:r>
              <w:rPr>
                <w:sz w:val="24"/>
              </w:rPr>
              <w:t>（</w:t>
            </w:r>
            <w:r>
              <w:rPr>
                <w:spacing w:val="-7"/>
                <w:sz w:val="24"/>
              </w:rPr>
              <w:t>核准</w:t>
            </w:r>
          </w:p>
          <w:p>
            <w:pPr>
              <w:pStyle w:val="TableParagraph"/>
              <w:ind w:left="9" w:right="-15"/>
              <w:jc w:val="center"/>
              <w:rPr>
                <w:sz w:val="24"/>
              </w:rPr>
            </w:pPr>
            <w:r>
              <w:rPr>
                <w:rFonts w:ascii="Times New Roman" w:eastAsia="Times New Roman"/>
                <w:sz w:val="24"/>
              </w:rPr>
              <w:t>/</w:t>
            </w:r>
            <w:r>
              <w:rPr>
                <w:sz w:val="24"/>
              </w:rPr>
              <w:t>备案</w:t>
            </w:r>
            <w:r>
              <w:rPr>
                <w:spacing w:val="-82"/>
                <w:sz w:val="24"/>
              </w:rPr>
              <w:t>）</w:t>
            </w:r>
            <w:r>
              <w:rPr>
                <w:spacing w:val="-41"/>
                <w:sz w:val="24"/>
              </w:rPr>
              <w:t>文号</w:t>
            </w:r>
            <w:r>
              <w:rPr>
                <w:sz w:val="24"/>
              </w:rPr>
              <w:t>（</w:t>
            </w:r>
            <w:r>
              <w:rPr>
                <w:spacing w:val="-13"/>
                <w:sz w:val="24"/>
              </w:rPr>
              <w:t>选</w:t>
            </w:r>
          </w:p>
          <w:p>
            <w:pPr>
              <w:pStyle w:val="TableParagraph"/>
              <w:spacing w:before="4" w:line="297" w:lineRule="exact"/>
              <w:ind w:left="541" w:right="523"/>
              <w:jc w:val="center"/>
              <w:rPr>
                <w:sz w:val="24"/>
              </w:rPr>
            </w:pPr>
            <w:r>
              <w:rPr>
                <w:sz w:val="24"/>
              </w:rPr>
              <w:t>填）</w:t>
            </w:r>
          </w:p>
        </w:tc>
        <w:tc>
          <w:tcPr>
            <w:tcW w:w="2761" w:type="dxa"/>
            <w:gridSpan w:val="3"/>
            <w:tcBorders>
              <w:top w:val="single" w:sz="4" w:space="0" w:color="000000"/>
              <w:left w:val="single" w:sz="4" w:space="0" w:color="000000"/>
              <w:bottom w:val="single" w:sz="4" w:space="0" w:color="000000"/>
            </w:tcBorders>
          </w:tcPr>
          <w:p>
            <w:pPr>
              <w:pStyle w:val="TableParagraph"/>
              <w:spacing w:before="4"/>
              <w:rPr>
                <w:sz w:val="26"/>
              </w:rPr>
            </w:pPr>
          </w:p>
          <w:p>
            <w:pPr>
              <w:pStyle w:val="TableParagraph"/>
              <w:ind w:left="18"/>
              <w:jc w:val="center"/>
              <w:rPr>
                <w:rFonts w:ascii="Times New Roman"/>
                <w:sz w:val="24"/>
              </w:rPr>
            </w:pPr>
            <w:r>
              <w:rPr>
                <w:rFonts w:ascii="Times New Roman"/>
                <w:sz w:val="24"/>
              </w:rPr>
              <w:t>/</w:t>
            </w:r>
          </w:p>
        </w:tc>
      </w:tr>
      <w:tr>
        <w:tblPrEx>
          <w:tblW w:w="0" w:type="auto"/>
          <w:tblInd w:w="547" w:type="dxa"/>
          <w:tblLayout w:type="fixed"/>
          <w:tblCellMar>
            <w:top w:w="0" w:type="dxa"/>
            <w:left w:w="0" w:type="dxa"/>
            <w:bottom w:w="0" w:type="dxa"/>
            <w:right w:w="0" w:type="dxa"/>
          </w:tblCellMar>
        </w:tblPrEx>
        <w:trPr>
          <w:trHeight w:val="637"/>
        </w:trPr>
        <w:tc>
          <w:tcPr>
            <w:tcW w:w="2387" w:type="dxa"/>
            <w:gridSpan w:val="4"/>
            <w:tcBorders>
              <w:top w:val="single" w:sz="4" w:space="0" w:color="000000"/>
              <w:bottom w:val="single" w:sz="4" w:space="0" w:color="000000"/>
              <w:right w:val="single" w:sz="4" w:space="0" w:color="000000"/>
            </w:tcBorders>
          </w:tcPr>
          <w:p>
            <w:pPr>
              <w:pStyle w:val="TableParagraph"/>
              <w:spacing w:before="168"/>
              <w:ind w:left="354"/>
              <w:rPr>
                <w:sz w:val="24"/>
              </w:rPr>
            </w:pPr>
            <w:r>
              <w:rPr>
                <w:sz w:val="24"/>
              </w:rPr>
              <w:t>总投资（万元）</w:t>
            </w:r>
          </w:p>
        </w:tc>
        <w:tc>
          <w:tcPr>
            <w:tcW w:w="2132" w:type="dxa"/>
            <w:tcBorders>
              <w:top w:val="single" w:sz="4" w:space="0" w:color="000000"/>
              <w:left w:val="single" w:sz="4" w:space="0" w:color="000000"/>
              <w:bottom w:val="single" w:sz="4" w:space="0" w:color="000000"/>
              <w:right w:val="single" w:sz="4" w:space="0" w:color="000000"/>
            </w:tcBorders>
          </w:tcPr>
          <w:p>
            <w:pPr>
              <w:pStyle w:val="TableParagraph"/>
              <w:spacing w:before="183"/>
              <w:ind w:left="600" w:right="582"/>
              <w:jc w:val="center"/>
              <w:rPr>
                <w:rFonts w:ascii="Times New Roman"/>
                <w:sz w:val="24"/>
              </w:rPr>
            </w:pPr>
            <w:r>
              <w:rPr>
                <w:rFonts w:ascii="Times New Roman"/>
                <w:sz w:val="24"/>
              </w:rPr>
              <w:t>39588.49</w:t>
            </w:r>
          </w:p>
        </w:tc>
        <w:tc>
          <w:tcPr>
            <w:tcW w:w="1594" w:type="dxa"/>
            <w:tcBorders>
              <w:top w:val="single" w:sz="4" w:space="0" w:color="000000"/>
              <w:left w:val="single" w:sz="4" w:space="0" w:color="000000"/>
              <w:bottom w:val="single" w:sz="4" w:space="0" w:color="000000"/>
              <w:right w:val="single" w:sz="4" w:space="0" w:color="000000"/>
            </w:tcBorders>
          </w:tcPr>
          <w:p>
            <w:pPr>
              <w:pStyle w:val="TableParagraph"/>
              <w:spacing w:before="8" w:line="308" w:lineRule="exact"/>
              <w:ind w:left="561" w:right="60" w:hanging="480"/>
              <w:rPr>
                <w:sz w:val="24"/>
              </w:rPr>
            </w:pPr>
            <w:r>
              <w:rPr>
                <w:sz w:val="24"/>
              </w:rPr>
              <w:t>环保投资（万元）</w:t>
            </w:r>
          </w:p>
        </w:tc>
        <w:tc>
          <w:tcPr>
            <w:tcW w:w="2761" w:type="dxa"/>
            <w:gridSpan w:val="3"/>
            <w:tcBorders>
              <w:top w:val="single" w:sz="4" w:space="0" w:color="000000"/>
              <w:left w:val="single" w:sz="4" w:space="0" w:color="000000"/>
              <w:bottom w:val="single" w:sz="4" w:space="0" w:color="000000"/>
            </w:tcBorders>
          </w:tcPr>
          <w:p>
            <w:pPr>
              <w:pStyle w:val="TableParagraph"/>
              <w:spacing w:before="183"/>
              <w:ind w:left="971" w:right="953"/>
              <w:jc w:val="center"/>
              <w:rPr>
                <w:rFonts w:ascii="Times New Roman"/>
                <w:sz w:val="24"/>
              </w:rPr>
            </w:pPr>
            <w:r>
              <w:rPr>
                <w:rFonts w:ascii="Times New Roman"/>
                <w:sz w:val="24"/>
              </w:rPr>
              <w:t>138.84</w:t>
            </w:r>
          </w:p>
        </w:tc>
      </w:tr>
      <w:tr>
        <w:tblPrEx>
          <w:tblW w:w="0" w:type="auto"/>
          <w:tblInd w:w="547" w:type="dxa"/>
          <w:tblLayout w:type="fixed"/>
          <w:tblCellMar>
            <w:top w:w="0" w:type="dxa"/>
            <w:left w:w="0" w:type="dxa"/>
            <w:bottom w:w="0" w:type="dxa"/>
            <w:right w:w="0" w:type="dxa"/>
          </w:tblCellMar>
        </w:tblPrEx>
        <w:trPr>
          <w:trHeight w:val="748"/>
        </w:trPr>
        <w:tc>
          <w:tcPr>
            <w:tcW w:w="2387" w:type="dxa"/>
            <w:gridSpan w:val="4"/>
            <w:tcBorders>
              <w:top w:val="single" w:sz="4" w:space="0" w:color="000000"/>
              <w:bottom w:val="single" w:sz="4" w:space="0" w:color="000000"/>
              <w:right w:val="single" w:sz="4" w:space="0" w:color="000000"/>
            </w:tcBorders>
          </w:tcPr>
          <w:p>
            <w:pPr>
              <w:pStyle w:val="TableParagraph"/>
              <w:spacing w:before="225"/>
              <w:ind w:left="133"/>
              <w:rPr>
                <w:sz w:val="24"/>
              </w:rPr>
            </w:pPr>
            <w:r>
              <w:rPr>
                <w:sz w:val="24"/>
              </w:rPr>
              <w:t>环保投资占比（</w:t>
            </w:r>
            <w:r>
              <w:rPr>
                <w:rFonts w:ascii="Times New Roman" w:eastAsia="Times New Roman"/>
                <w:sz w:val="24"/>
              </w:rPr>
              <w:t>%</w:t>
            </w:r>
            <w:r>
              <w:rPr>
                <w:sz w:val="24"/>
              </w:rPr>
              <w:t>）</w:t>
            </w:r>
          </w:p>
        </w:tc>
        <w:tc>
          <w:tcPr>
            <w:tcW w:w="2132" w:type="dxa"/>
            <w:tcBorders>
              <w:top w:val="single" w:sz="4" w:space="0" w:color="000000"/>
              <w:left w:val="single" w:sz="4" w:space="0" w:color="000000"/>
              <w:bottom w:val="single" w:sz="4" w:space="0" w:color="000000"/>
              <w:right w:val="single" w:sz="4" w:space="0" w:color="000000"/>
            </w:tcBorders>
          </w:tcPr>
          <w:p>
            <w:pPr>
              <w:pStyle w:val="TableParagraph"/>
              <w:spacing w:before="5"/>
              <w:rPr>
                <w:sz w:val="18"/>
              </w:rPr>
            </w:pPr>
          </w:p>
          <w:p>
            <w:pPr>
              <w:pStyle w:val="TableParagraph"/>
              <w:spacing w:before="1"/>
              <w:ind w:left="600" w:right="582"/>
              <w:jc w:val="center"/>
              <w:rPr>
                <w:rFonts w:ascii="Times New Roman"/>
                <w:sz w:val="24"/>
              </w:rPr>
            </w:pPr>
            <w:r>
              <w:rPr>
                <w:rFonts w:ascii="Times New Roman"/>
                <w:sz w:val="24"/>
              </w:rPr>
              <w:t>0.35</w:t>
            </w:r>
          </w:p>
        </w:tc>
        <w:tc>
          <w:tcPr>
            <w:tcW w:w="1594" w:type="dxa"/>
            <w:tcBorders>
              <w:top w:val="single" w:sz="4" w:space="0" w:color="000000"/>
              <w:left w:val="single" w:sz="4" w:space="0" w:color="000000"/>
              <w:bottom w:val="single" w:sz="4" w:space="0" w:color="000000"/>
              <w:right w:val="single" w:sz="4" w:space="0" w:color="000000"/>
            </w:tcBorders>
          </w:tcPr>
          <w:p>
            <w:pPr>
              <w:pStyle w:val="TableParagraph"/>
              <w:spacing w:before="7"/>
              <w:rPr>
                <w:sz w:val="17"/>
              </w:rPr>
            </w:pPr>
          </w:p>
          <w:p>
            <w:pPr>
              <w:pStyle w:val="TableParagraph"/>
              <w:ind w:left="321"/>
              <w:rPr>
                <w:sz w:val="24"/>
              </w:rPr>
            </w:pPr>
            <w:r>
              <w:rPr>
                <w:sz w:val="24"/>
              </w:rPr>
              <w:t>施工工期</w:t>
            </w:r>
          </w:p>
        </w:tc>
        <w:tc>
          <w:tcPr>
            <w:tcW w:w="2761" w:type="dxa"/>
            <w:gridSpan w:val="3"/>
            <w:tcBorders>
              <w:top w:val="single" w:sz="4" w:space="0" w:color="000000"/>
              <w:left w:val="single" w:sz="4" w:space="0" w:color="000000"/>
              <w:bottom w:val="single" w:sz="4" w:space="0" w:color="000000"/>
            </w:tcBorders>
          </w:tcPr>
          <w:p>
            <w:pPr>
              <w:pStyle w:val="TableParagraph"/>
              <w:spacing w:before="225"/>
              <w:ind w:left="972" w:right="953"/>
              <w:jc w:val="center"/>
              <w:rPr>
                <w:sz w:val="24"/>
              </w:rPr>
            </w:pPr>
            <w:r>
              <w:rPr>
                <w:rFonts w:ascii="Times New Roman" w:eastAsia="Times New Roman"/>
                <w:sz w:val="24"/>
              </w:rPr>
              <w:t xml:space="preserve">24 </w:t>
            </w:r>
            <w:r>
              <w:rPr>
                <w:sz w:val="24"/>
              </w:rPr>
              <w:t>个月</w:t>
            </w:r>
          </w:p>
        </w:tc>
      </w:tr>
      <w:tr>
        <w:tblPrEx>
          <w:tblW w:w="0" w:type="auto"/>
          <w:tblInd w:w="547" w:type="dxa"/>
          <w:tblLayout w:type="fixed"/>
          <w:tblCellMar>
            <w:top w:w="0" w:type="dxa"/>
            <w:left w:w="0" w:type="dxa"/>
            <w:bottom w:w="0" w:type="dxa"/>
            <w:right w:w="0" w:type="dxa"/>
          </w:tblCellMar>
        </w:tblPrEx>
        <w:trPr>
          <w:trHeight w:val="1238"/>
        </w:trPr>
        <w:tc>
          <w:tcPr>
            <w:tcW w:w="2387" w:type="dxa"/>
            <w:gridSpan w:val="4"/>
            <w:tcBorders>
              <w:top w:val="single" w:sz="4" w:space="0" w:color="000000"/>
              <w:bottom w:val="single" w:sz="4" w:space="0" w:color="000000"/>
              <w:right w:val="single" w:sz="4" w:space="0" w:color="000000"/>
            </w:tcBorders>
          </w:tcPr>
          <w:p>
            <w:pPr>
              <w:pStyle w:val="TableParagraph"/>
              <w:rPr>
                <w:sz w:val="24"/>
              </w:rPr>
            </w:pPr>
          </w:p>
          <w:p>
            <w:pPr>
              <w:pStyle w:val="TableParagraph"/>
              <w:spacing w:before="162"/>
              <w:ind w:left="475"/>
              <w:rPr>
                <w:sz w:val="24"/>
              </w:rPr>
            </w:pPr>
            <w:r>
              <w:rPr>
                <w:sz w:val="24"/>
              </w:rPr>
              <w:t>是否开工建设</w:t>
            </w:r>
          </w:p>
        </w:tc>
        <w:tc>
          <w:tcPr>
            <w:tcW w:w="6487" w:type="dxa"/>
            <w:gridSpan w:val="5"/>
            <w:tcBorders>
              <w:top w:val="single" w:sz="4" w:space="0" w:color="000000"/>
              <w:left w:val="single" w:sz="4" w:space="0" w:color="000000"/>
              <w:bottom w:val="single" w:sz="4" w:space="0" w:color="000000"/>
            </w:tcBorders>
          </w:tcPr>
          <w:p>
            <w:pPr>
              <w:pStyle w:val="TableParagraph"/>
              <w:spacing w:before="4"/>
              <w:rPr>
                <w:sz w:val="24"/>
              </w:rPr>
            </w:pPr>
          </w:p>
          <w:p>
            <w:pPr>
              <w:pStyle w:val="TableParagraph"/>
              <w:ind w:left="8"/>
              <w:rPr>
                <w:sz w:val="24"/>
              </w:rPr>
            </w:pPr>
            <w:r>
              <w:rPr>
                <w:rFonts w:ascii="Wingdings" w:eastAsia="Wingdings" w:hAnsi="Wingdings"/>
                <w:sz w:val="24"/>
              </w:rPr>
              <w:sym w:font="Wingdings" w:char="F052"/>
            </w:r>
            <w:r>
              <w:rPr>
                <w:rFonts w:ascii="Times New Roman" w:eastAsia="Times New Roman" w:hAnsi="Times New Roman"/>
                <w:sz w:val="24"/>
              </w:rPr>
              <w:t xml:space="preserve"> </w:t>
            </w:r>
            <w:r>
              <w:rPr>
                <w:sz w:val="24"/>
              </w:rPr>
              <w:t>否</w:t>
            </w:r>
          </w:p>
          <w:p>
            <w:pPr>
              <w:pStyle w:val="TableParagraph"/>
              <w:numPr>
                <w:ilvl w:val="0"/>
                <w:numId w:val="3"/>
              </w:numPr>
              <w:tabs>
                <w:tab w:val="left" w:pos="225"/>
                <w:tab w:val="left" w:pos="1240"/>
              </w:tabs>
              <w:spacing w:before="5" w:after="0" w:line="240" w:lineRule="auto"/>
              <w:ind w:left="224" w:right="0" w:hanging="217"/>
              <w:jc w:val="left"/>
              <w:rPr>
                <w:rFonts w:ascii="Times New Roman" w:eastAsia="Times New Roman" w:hAnsi="Times New Roman"/>
                <w:sz w:val="24"/>
              </w:rPr>
            </w:pPr>
            <w:r>
              <w:rPr>
                <w:sz w:val="24"/>
              </w:rPr>
              <w:t>是：</w:t>
            </w:r>
            <w:r>
              <w:rPr>
                <w:rFonts w:ascii="Times New Roman" w:eastAsia="Times New Roman" w:hAnsi="Times New Roman"/>
                <w:sz w:val="24"/>
                <w:u w:val="single"/>
              </w:rPr>
              <w:t xml:space="preserve"> </w:t>
            </w:r>
            <w:r>
              <w:rPr>
                <w:rFonts w:ascii="Times New Roman" w:eastAsia="Times New Roman" w:hAnsi="Times New Roman"/>
                <w:sz w:val="24"/>
                <w:u w:val="single"/>
              </w:rPr>
              <w:tab/>
            </w:r>
          </w:p>
        </w:tc>
      </w:tr>
      <w:tr>
        <w:tblPrEx>
          <w:tblW w:w="0" w:type="auto"/>
          <w:tblInd w:w="547" w:type="dxa"/>
          <w:tblLayout w:type="fixed"/>
          <w:tblCellMar>
            <w:top w:w="0" w:type="dxa"/>
            <w:left w:w="0" w:type="dxa"/>
            <w:bottom w:w="0" w:type="dxa"/>
            <w:right w:w="0" w:type="dxa"/>
          </w:tblCellMar>
        </w:tblPrEx>
        <w:trPr>
          <w:trHeight w:val="1329"/>
        </w:trPr>
        <w:tc>
          <w:tcPr>
            <w:tcW w:w="865" w:type="dxa"/>
            <w:vMerge w:val="restart"/>
            <w:tcBorders>
              <w:top w:val="single" w:sz="4" w:space="0" w:color="000000"/>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22"/>
              </w:rPr>
            </w:pPr>
          </w:p>
          <w:p>
            <w:pPr>
              <w:pStyle w:val="TableParagraph"/>
              <w:spacing w:before="1" w:line="244" w:lineRule="auto"/>
              <w:ind w:left="191" w:right="176"/>
              <w:jc w:val="both"/>
              <w:rPr>
                <w:sz w:val="24"/>
              </w:rPr>
            </w:pPr>
            <w:r>
              <w:rPr>
                <w:sz w:val="24"/>
              </w:rPr>
              <w:t>专项评价设置情况</w:t>
            </w:r>
          </w:p>
        </w:tc>
        <w:tc>
          <w:tcPr>
            <w:tcW w:w="8009" w:type="dxa"/>
            <w:gridSpan w:val="8"/>
            <w:tcBorders>
              <w:top w:val="single" w:sz="4" w:space="0" w:color="000000"/>
              <w:left w:val="single" w:sz="4" w:space="0" w:color="000000"/>
              <w:bottom w:val="single" w:sz="12" w:space="0" w:color="000000"/>
            </w:tcBorders>
          </w:tcPr>
          <w:p>
            <w:pPr>
              <w:pStyle w:val="TableParagraph"/>
              <w:spacing w:before="120" w:line="367" w:lineRule="auto"/>
              <w:ind w:left="114" w:right="-44" w:firstLine="480"/>
              <w:rPr>
                <w:sz w:val="24"/>
              </w:rPr>
            </w:pPr>
            <w:r>
              <w:rPr>
                <w:spacing w:val="-10"/>
                <w:sz w:val="24"/>
              </w:rPr>
              <w:t>根据《建设项目环境影响报告表编制技术指南</w:t>
            </w:r>
            <w:r>
              <w:rPr>
                <w:sz w:val="24"/>
              </w:rPr>
              <w:t>（生态影响类</w:t>
            </w:r>
            <w:r>
              <w:rPr>
                <w:spacing w:val="-48"/>
                <w:sz w:val="24"/>
              </w:rPr>
              <w:t>）（</w:t>
            </w:r>
            <w:r>
              <w:rPr>
                <w:spacing w:val="-3"/>
                <w:sz w:val="24"/>
              </w:rPr>
              <w:t>试行</w:t>
            </w:r>
            <w:r>
              <w:rPr>
                <w:spacing w:val="-48"/>
                <w:sz w:val="24"/>
              </w:rPr>
              <w:t>）</w:t>
            </w:r>
            <w:r>
              <w:rPr>
                <w:sz w:val="24"/>
              </w:rPr>
              <w:t>》中</w:t>
            </w:r>
            <w:r>
              <w:rPr>
                <w:rFonts w:ascii="Times New Roman" w:eastAsia="Times New Roman" w:hAnsi="Times New Roman"/>
                <w:spacing w:val="-6"/>
                <w:sz w:val="24"/>
              </w:rPr>
              <w:t>“</w:t>
            </w:r>
            <w:r>
              <w:rPr>
                <w:sz w:val="24"/>
              </w:rPr>
              <w:t>表</w:t>
            </w:r>
            <w:r>
              <w:rPr>
                <w:rFonts w:ascii="Times New Roman" w:eastAsia="Times New Roman" w:hAnsi="Times New Roman"/>
                <w:sz w:val="24"/>
              </w:rPr>
              <w:t>1</w:t>
            </w:r>
            <w:r>
              <w:rPr>
                <w:sz w:val="24"/>
              </w:rPr>
              <w:t>专项评价设置原则表</w:t>
            </w:r>
            <w:r>
              <w:rPr>
                <w:rFonts w:ascii="Times New Roman" w:eastAsia="Times New Roman" w:hAnsi="Times New Roman"/>
                <w:sz w:val="24"/>
              </w:rPr>
              <w:t>”</w:t>
            </w:r>
            <w:r>
              <w:rPr>
                <w:sz w:val="24"/>
              </w:rPr>
              <w:t>，本项目专项评价设置情况见下表。</w:t>
            </w:r>
          </w:p>
          <w:p>
            <w:pPr>
              <w:pStyle w:val="TableParagraph"/>
              <w:spacing w:line="248" w:lineRule="exact"/>
              <w:ind w:left="2270"/>
              <w:rPr>
                <w:b/>
                <w:sz w:val="21"/>
              </w:rPr>
            </w:pPr>
            <w:r>
              <w:rPr>
                <w:b/>
                <w:sz w:val="21"/>
              </w:rPr>
              <w:t>表</w:t>
            </w:r>
            <w:r>
              <w:rPr>
                <w:rFonts w:ascii="Times New Roman" w:eastAsia="Times New Roman"/>
                <w:b/>
                <w:sz w:val="21"/>
              </w:rPr>
              <w:t xml:space="preserve">1 </w:t>
            </w:r>
            <w:r>
              <w:rPr>
                <w:b/>
                <w:sz w:val="21"/>
              </w:rPr>
              <w:t>专项评价设置情况分析一览表</w:t>
            </w:r>
          </w:p>
        </w:tc>
      </w:tr>
      <w:tr>
        <w:tblPrEx>
          <w:tblW w:w="0" w:type="auto"/>
          <w:tblInd w:w="547" w:type="dxa"/>
          <w:tblLayout w:type="fixed"/>
          <w:tblCellMar>
            <w:top w:w="0" w:type="dxa"/>
            <w:left w:w="0" w:type="dxa"/>
            <w:bottom w:w="0" w:type="dxa"/>
            <w:right w:w="0" w:type="dxa"/>
          </w:tblCellMar>
        </w:tblPrEx>
        <w:trPr>
          <w:trHeight w:val="620"/>
        </w:trPr>
        <w:tc>
          <w:tcPr>
            <w:tcW w:w="865" w:type="dxa"/>
            <w:vMerge/>
            <w:tcBorders>
              <w:top w:val="nil"/>
              <w:right w:val="single" w:sz="4" w:space="0" w:color="000000"/>
            </w:tcBorders>
          </w:tcPr>
          <w:p>
            <w:pPr>
              <w:rPr>
                <w:sz w:val="2"/>
                <w:szCs w:val="2"/>
              </w:rPr>
            </w:pPr>
          </w:p>
        </w:tc>
        <w:tc>
          <w:tcPr>
            <w:tcW w:w="125" w:type="dxa"/>
            <w:vMerge w:val="restart"/>
            <w:tcBorders>
              <w:top w:val="nil"/>
              <w:left w:val="single" w:sz="4" w:space="0" w:color="000000"/>
              <w:right w:val="single" w:sz="12" w:space="0" w:color="000000"/>
            </w:tcBorders>
          </w:tcPr>
          <w:p>
            <w:pPr>
              <w:pStyle w:val="TableParagraph"/>
              <w:rPr>
                <w:rFonts w:ascii="Times New Roman"/>
                <w:sz w:val="22"/>
              </w:rPr>
            </w:pPr>
          </w:p>
        </w:tc>
        <w:tc>
          <w:tcPr>
            <w:tcW w:w="1150" w:type="dxa"/>
            <w:tcBorders>
              <w:top w:val="single" w:sz="12" w:space="0" w:color="000000"/>
              <w:left w:val="single" w:sz="12" w:space="0" w:color="000000"/>
              <w:bottom w:val="single" w:sz="6" w:space="0" w:color="000000"/>
              <w:right w:val="single" w:sz="6" w:space="0" w:color="000000"/>
            </w:tcBorders>
          </w:tcPr>
          <w:p>
            <w:pPr>
              <w:pStyle w:val="TableParagraph"/>
              <w:spacing w:line="265" w:lineRule="exact"/>
              <w:ind w:left="119" w:right="117"/>
              <w:jc w:val="center"/>
              <w:rPr>
                <w:b/>
                <w:sz w:val="21"/>
              </w:rPr>
            </w:pPr>
            <w:r>
              <w:rPr>
                <w:b/>
                <w:sz w:val="21"/>
              </w:rPr>
              <w:t>专项评价</w:t>
            </w:r>
          </w:p>
          <w:p>
            <w:pPr>
              <w:pStyle w:val="TableParagraph"/>
              <w:spacing w:before="43"/>
              <w:ind w:left="119" w:right="117"/>
              <w:jc w:val="center"/>
              <w:rPr>
                <w:b/>
                <w:sz w:val="21"/>
              </w:rPr>
            </w:pPr>
            <w:r>
              <w:rPr>
                <w:b/>
                <w:sz w:val="21"/>
              </w:rPr>
              <w:t>的类别</w:t>
            </w:r>
          </w:p>
        </w:tc>
        <w:tc>
          <w:tcPr>
            <w:tcW w:w="4422" w:type="dxa"/>
            <w:gridSpan w:val="4"/>
            <w:tcBorders>
              <w:top w:val="single" w:sz="12" w:space="0" w:color="000000"/>
              <w:left w:val="single" w:sz="6" w:space="0" w:color="000000"/>
              <w:bottom w:val="single" w:sz="6" w:space="0" w:color="000000"/>
              <w:right w:val="single" w:sz="6" w:space="0" w:color="000000"/>
            </w:tcBorders>
          </w:tcPr>
          <w:p>
            <w:pPr>
              <w:pStyle w:val="TableParagraph"/>
              <w:spacing w:before="154"/>
              <w:ind w:left="1564" w:right="1537"/>
              <w:jc w:val="center"/>
              <w:rPr>
                <w:b/>
                <w:sz w:val="21"/>
              </w:rPr>
            </w:pPr>
            <w:r>
              <w:rPr>
                <w:b/>
                <w:sz w:val="21"/>
              </w:rPr>
              <w:t>涉及项目类别</w:t>
            </w:r>
          </w:p>
        </w:tc>
        <w:tc>
          <w:tcPr>
            <w:tcW w:w="2192" w:type="dxa"/>
            <w:tcBorders>
              <w:top w:val="single" w:sz="12" w:space="0" w:color="000000"/>
              <w:left w:val="single" w:sz="6" w:space="0" w:color="000000"/>
              <w:bottom w:val="single" w:sz="6" w:space="0" w:color="000000"/>
              <w:right w:val="single" w:sz="12" w:space="0" w:color="000000"/>
            </w:tcBorders>
          </w:tcPr>
          <w:p>
            <w:pPr>
              <w:pStyle w:val="TableParagraph"/>
              <w:spacing w:before="154"/>
              <w:ind w:left="566"/>
              <w:rPr>
                <w:b/>
                <w:sz w:val="21"/>
              </w:rPr>
            </w:pPr>
            <w:r>
              <w:rPr>
                <w:b/>
                <w:sz w:val="21"/>
              </w:rPr>
              <w:t>本项目情况</w:t>
            </w:r>
          </w:p>
        </w:tc>
        <w:tc>
          <w:tcPr>
            <w:tcW w:w="120" w:type="dxa"/>
            <w:tcBorders>
              <w:top w:val="nil"/>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2188"/>
        </w:trPr>
        <w:tc>
          <w:tcPr>
            <w:tcW w:w="865" w:type="dxa"/>
            <w:vMerge/>
            <w:tcBorders>
              <w:top w:val="nil"/>
              <w:right w:val="single" w:sz="4" w:space="0" w:color="000000"/>
            </w:tcBorders>
          </w:tcPr>
          <w:p>
            <w:pPr>
              <w:rPr>
                <w:sz w:val="2"/>
                <w:szCs w:val="2"/>
              </w:rPr>
            </w:pPr>
          </w:p>
        </w:tc>
        <w:tc>
          <w:tcPr>
            <w:tcW w:w="125" w:type="dxa"/>
            <w:vMerge/>
            <w:tcBorders>
              <w:top w:val="nil"/>
              <w:left w:val="single" w:sz="4" w:space="0" w:color="000000"/>
              <w:right w:val="single" w:sz="12" w:space="0" w:color="000000"/>
            </w:tcBorders>
          </w:tcPr>
          <w:p>
            <w:pPr>
              <w:rPr>
                <w:sz w:val="2"/>
                <w:szCs w:val="2"/>
              </w:rPr>
            </w:pPr>
          </w:p>
        </w:tc>
        <w:tc>
          <w:tcPr>
            <w:tcW w:w="1150" w:type="dxa"/>
            <w:tcBorders>
              <w:top w:val="single" w:sz="6" w:space="0" w:color="000000"/>
              <w:left w:val="single" w:sz="12"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66"/>
              <w:ind w:left="123" w:right="111"/>
              <w:jc w:val="center"/>
              <w:rPr>
                <w:sz w:val="21"/>
              </w:rPr>
            </w:pPr>
            <w:r>
              <w:rPr>
                <w:sz w:val="21"/>
              </w:rPr>
              <w:t>地表水</w:t>
            </w:r>
          </w:p>
        </w:tc>
        <w:tc>
          <w:tcPr>
            <w:tcW w:w="4422" w:type="dxa"/>
            <w:gridSpan w:val="4"/>
            <w:tcBorders>
              <w:top w:val="single" w:sz="6" w:space="0" w:color="000000"/>
              <w:left w:val="single" w:sz="6" w:space="0" w:color="000000"/>
              <w:bottom w:val="single" w:sz="6" w:space="0" w:color="000000"/>
              <w:right w:val="single" w:sz="6" w:space="0" w:color="000000"/>
            </w:tcBorders>
          </w:tcPr>
          <w:p>
            <w:pPr>
              <w:pStyle w:val="TableParagraph"/>
              <w:spacing w:line="278" w:lineRule="auto"/>
              <w:ind w:left="114" w:right="-29"/>
              <w:rPr>
                <w:sz w:val="21"/>
              </w:rPr>
            </w:pPr>
            <w:r>
              <w:rPr>
                <w:spacing w:val="-12"/>
                <w:sz w:val="21"/>
              </w:rPr>
              <w:t xml:space="preserve">水力发电：引水式发电、涉及调峰发电的项目； </w:t>
            </w:r>
            <w:r>
              <w:rPr>
                <w:spacing w:val="-8"/>
                <w:sz w:val="21"/>
              </w:rPr>
              <w:t>人工湖、人工湿地：全部；</w:t>
            </w:r>
          </w:p>
          <w:p>
            <w:pPr>
              <w:pStyle w:val="TableParagraph"/>
              <w:ind w:left="114"/>
              <w:rPr>
                <w:sz w:val="21"/>
              </w:rPr>
            </w:pPr>
            <w:r>
              <w:rPr>
                <w:sz w:val="21"/>
              </w:rPr>
              <w:t>水库：全部；</w:t>
            </w:r>
          </w:p>
          <w:p>
            <w:pPr>
              <w:pStyle w:val="TableParagraph"/>
              <w:spacing w:before="41" w:line="283" w:lineRule="auto"/>
              <w:ind w:left="114" w:right="86"/>
              <w:rPr>
                <w:sz w:val="21"/>
              </w:rPr>
            </w:pPr>
            <w:r>
              <w:rPr>
                <w:sz w:val="21"/>
              </w:rPr>
              <w:t>引水工程：全部（配套的管线工程等除外）； 防洪除涝工程：包含水库的项目；</w:t>
            </w:r>
          </w:p>
          <w:p>
            <w:pPr>
              <w:pStyle w:val="TableParagraph"/>
              <w:spacing w:line="263" w:lineRule="exact"/>
              <w:ind w:left="114"/>
              <w:rPr>
                <w:sz w:val="21"/>
              </w:rPr>
            </w:pPr>
            <w:r>
              <w:rPr>
                <w:sz w:val="21"/>
              </w:rPr>
              <w:t>河湖整治：涉及清淤且底泥存在重金属污染的</w:t>
            </w:r>
          </w:p>
          <w:p>
            <w:pPr>
              <w:pStyle w:val="TableParagraph"/>
              <w:spacing w:before="44"/>
              <w:ind w:left="114"/>
              <w:rPr>
                <w:sz w:val="21"/>
              </w:rPr>
            </w:pPr>
            <w:r>
              <w:rPr>
                <w:sz w:val="21"/>
              </w:rPr>
              <w:t>项目</w:t>
            </w:r>
          </w:p>
        </w:tc>
        <w:tc>
          <w:tcPr>
            <w:tcW w:w="2192" w:type="dxa"/>
            <w:tcBorders>
              <w:top w:val="single" w:sz="6" w:space="0" w:color="000000"/>
              <w:left w:val="single" w:sz="6" w:space="0" w:color="000000"/>
              <w:bottom w:val="single" w:sz="6" w:space="0" w:color="000000"/>
              <w:right w:val="single" w:sz="12" w:space="0" w:color="000000"/>
            </w:tcBorders>
          </w:tcPr>
          <w:p>
            <w:pPr>
              <w:pStyle w:val="TableParagraph"/>
              <w:spacing w:line="278" w:lineRule="auto"/>
              <w:ind w:left="148" w:right="122"/>
              <w:jc w:val="both"/>
              <w:rPr>
                <w:sz w:val="21"/>
              </w:rPr>
            </w:pPr>
            <w:r>
              <w:rPr>
                <w:sz w:val="21"/>
              </w:rPr>
              <w:t>本项目属于防洪除涝工程，不含水库的项目，属于河湖整治， 涉及清淤但是底泥不存在重金属污染的项目，无需设置地表水</w:t>
            </w:r>
          </w:p>
          <w:p>
            <w:pPr>
              <w:pStyle w:val="TableParagraph"/>
              <w:spacing w:before="3"/>
              <w:ind w:left="571"/>
              <w:rPr>
                <w:sz w:val="21"/>
              </w:rPr>
            </w:pPr>
            <w:r>
              <w:rPr>
                <w:sz w:val="21"/>
              </w:rPr>
              <w:t>专项评价；</w:t>
            </w:r>
          </w:p>
        </w:tc>
        <w:tc>
          <w:tcPr>
            <w:tcW w:w="120" w:type="dxa"/>
            <w:tcBorders>
              <w:top w:val="nil"/>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1247"/>
        </w:trPr>
        <w:tc>
          <w:tcPr>
            <w:tcW w:w="865" w:type="dxa"/>
            <w:vMerge/>
            <w:tcBorders>
              <w:top w:val="nil"/>
              <w:right w:val="single" w:sz="4" w:space="0" w:color="000000"/>
            </w:tcBorders>
          </w:tcPr>
          <w:p>
            <w:pPr>
              <w:rPr>
                <w:sz w:val="2"/>
                <w:szCs w:val="2"/>
              </w:rPr>
            </w:pPr>
          </w:p>
        </w:tc>
        <w:tc>
          <w:tcPr>
            <w:tcW w:w="125" w:type="dxa"/>
            <w:vMerge/>
            <w:tcBorders>
              <w:top w:val="nil"/>
              <w:left w:val="single" w:sz="4" w:space="0" w:color="000000"/>
              <w:right w:val="single" w:sz="12" w:space="0" w:color="000000"/>
            </w:tcBorders>
          </w:tcPr>
          <w:p>
            <w:pPr>
              <w:rPr>
                <w:sz w:val="2"/>
                <w:szCs w:val="2"/>
              </w:rPr>
            </w:pPr>
          </w:p>
        </w:tc>
        <w:tc>
          <w:tcPr>
            <w:tcW w:w="1150" w:type="dxa"/>
            <w:tcBorders>
              <w:top w:val="single" w:sz="6" w:space="0" w:color="000000"/>
              <w:left w:val="single" w:sz="12" w:space="0" w:color="000000"/>
              <w:bottom w:val="single" w:sz="6" w:space="0" w:color="000000"/>
              <w:right w:val="single" w:sz="6" w:space="0" w:color="000000"/>
            </w:tcBorders>
          </w:tcPr>
          <w:p>
            <w:pPr>
              <w:pStyle w:val="TableParagraph"/>
              <w:rPr>
                <w:sz w:val="20"/>
              </w:rPr>
            </w:pPr>
          </w:p>
          <w:p>
            <w:pPr>
              <w:pStyle w:val="TableParagraph"/>
              <w:spacing w:before="2"/>
              <w:rPr>
                <w:sz w:val="16"/>
              </w:rPr>
            </w:pPr>
          </w:p>
          <w:p>
            <w:pPr>
              <w:pStyle w:val="TableParagraph"/>
              <w:ind w:left="123" w:right="111"/>
              <w:jc w:val="center"/>
              <w:rPr>
                <w:sz w:val="21"/>
              </w:rPr>
            </w:pPr>
            <w:r>
              <w:rPr>
                <w:sz w:val="21"/>
              </w:rPr>
              <w:t>地下水</w:t>
            </w:r>
          </w:p>
        </w:tc>
        <w:tc>
          <w:tcPr>
            <w:tcW w:w="4422" w:type="dxa"/>
            <w:gridSpan w:val="4"/>
            <w:tcBorders>
              <w:top w:val="single" w:sz="6" w:space="0" w:color="000000"/>
              <w:left w:val="single" w:sz="6" w:space="0" w:color="000000"/>
              <w:bottom w:val="single" w:sz="6" w:space="0" w:color="000000"/>
              <w:right w:val="single" w:sz="6" w:space="0" w:color="000000"/>
            </w:tcBorders>
          </w:tcPr>
          <w:p>
            <w:pPr>
              <w:pStyle w:val="TableParagraph"/>
              <w:spacing w:line="283" w:lineRule="auto"/>
              <w:ind w:left="114" w:right="1137"/>
              <w:rPr>
                <w:sz w:val="21"/>
              </w:rPr>
            </w:pPr>
            <w:r>
              <w:rPr>
                <w:spacing w:val="-3"/>
                <w:sz w:val="21"/>
              </w:rPr>
              <w:t>陆地石油和天然气开采：全部； 地下水（</w:t>
            </w:r>
            <w:r>
              <w:rPr>
                <w:spacing w:val="-2"/>
                <w:sz w:val="21"/>
              </w:rPr>
              <w:t>含矿泉水</w:t>
            </w:r>
            <w:r>
              <w:rPr>
                <w:spacing w:val="-5"/>
                <w:sz w:val="21"/>
              </w:rPr>
              <w:t>）开采：全部；</w:t>
            </w:r>
          </w:p>
          <w:p>
            <w:pPr>
              <w:pStyle w:val="TableParagraph"/>
              <w:spacing w:line="263" w:lineRule="exact"/>
              <w:ind w:left="114"/>
              <w:rPr>
                <w:sz w:val="21"/>
              </w:rPr>
            </w:pPr>
            <w:r>
              <w:rPr>
                <w:sz w:val="21"/>
              </w:rPr>
              <w:t>水利、水电、交通等：含穿越可溶岩地层隧道</w:t>
            </w:r>
          </w:p>
          <w:p>
            <w:pPr>
              <w:pStyle w:val="TableParagraph"/>
              <w:spacing w:before="36"/>
              <w:ind w:left="114"/>
              <w:rPr>
                <w:sz w:val="21"/>
              </w:rPr>
            </w:pPr>
            <w:r>
              <w:rPr>
                <w:sz w:val="21"/>
              </w:rPr>
              <w:t>的项目</w:t>
            </w:r>
          </w:p>
        </w:tc>
        <w:tc>
          <w:tcPr>
            <w:tcW w:w="2192" w:type="dxa"/>
            <w:tcBorders>
              <w:top w:val="single" w:sz="6" w:space="0" w:color="000000"/>
              <w:left w:val="single" w:sz="6" w:space="0" w:color="000000"/>
              <w:bottom w:val="single" w:sz="6" w:space="0" w:color="000000"/>
              <w:right w:val="single" w:sz="12" w:space="0" w:color="000000"/>
            </w:tcBorders>
          </w:tcPr>
          <w:p>
            <w:pPr>
              <w:pStyle w:val="TableParagraph"/>
              <w:spacing w:before="152" w:line="280" w:lineRule="auto"/>
              <w:ind w:left="148" w:right="122"/>
              <w:jc w:val="center"/>
              <w:rPr>
                <w:sz w:val="21"/>
              </w:rPr>
            </w:pPr>
            <w:r>
              <w:rPr>
                <w:spacing w:val="-1"/>
                <w:sz w:val="21"/>
              </w:rPr>
              <w:t xml:space="preserve">本项目不涉及地下 </w:t>
            </w:r>
            <w:r>
              <w:rPr>
                <w:spacing w:val="-4"/>
                <w:sz w:val="21"/>
              </w:rPr>
              <w:t>水，无需设置地下水</w:t>
            </w:r>
            <w:r>
              <w:rPr>
                <w:sz w:val="21"/>
              </w:rPr>
              <w:t>专项评价</w:t>
            </w:r>
          </w:p>
        </w:tc>
        <w:tc>
          <w:tcPr>
            <w:tcW w:w="120" w:type="dxa"/>
            <w:tcBorders>
              <w:top w:val="nil"/>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1252"/>
        </w:trPr>
        <w:tc>
          <w:tcPr>
            <w:tcW w:w="865" w:type="dxa"/>
            <w:vMerge/>
            <w:tcBorders>
              <w:top w:val="nil"/>
              <w:right w:val="single" w:sz="4" w:space="0" w:color="000000"/>
            </w:tcBorders>
          </w:tcPr>
          <w:p>
            <w:pPr>
              <w:rPr>
                <w:sz w:val="2"/>
                <w:szCs w:val="2"/>
              </w:rPr>
            </w:pPr>
          </w:p>
        </w:tc>
        <w:tc>
          <w:tcPr>
            <w:tcW w:w="125" w:type="dxa"/>
            <w:vMerge/>
            <w:tcBorders>
              <w:top w:val="nil"/>
              <w:left w:val="single" w:sz="4" w:space="0" w:color="000000"/>
              <w:right w:val="single" w:sz="12" w:space="0" w:color="000000"/>
            </w:tcBorders>
          </w:tcPr>
          <w:p>
            <w:pPr>
              <w:rPr>
                <w:sz w:val="2"/>
                <w:szCs w:val="2"/>
              </w:rPr>
            </w:pPr>
          </w:p>
        </w:tc>
        <w:tc>
          <w:tcPr>
            <w:tcW w:w="1150" w:type="dxa"/>
            <w:tcBorders>
              <w:top w:val="single" w:sz="6" w:space="0" w:color="000000"/>
              <w:left w:val="single" w:sz="12" w:space="0" w:color="000000"/>
              <w:bottom w:val="single" w:sz="6" w:space="0" w:color="000000"/>
              <w:right w:val="single" w:sz="6" w:space="0" w:color="000000"/>
            </w:tcBorders>
          </w:tcPr>
          <w:p>
            <w:pPr>
              <w:pStyle w:val="TableParagraph"/>
              <w:rPr>
                <w:sz w:val="20"/>
              </w:rPr>
            </w:pPr>
          </w:p>
          <w:p>
            <w:pPr>
              <w:pStyle w:val="TableParagraph"/>
              <w:spacing w:before="3"/>
              <w:rPr>
                <w:sz w:val="16"/>
              </w:rPr>
            </w:pPr>
          </w:p>
          <w:p>
            <w:pPr>
              <w:pStyle w:val="TableParagraph"/>
              <w:ind w:left="123" w:right="111"/>
              <w:jc w:val="center"/>
              <w:rPr>
                <w:sz w:val="21"/>
              </w:rPr>
            </w:pPr>
            <w:r>
              <w:rPr>
                <w:sz w:val="21"/>
              </w:rPr>
              <w:t>生态</w:t>
            </w:r>
          </w:p>
        </w:tc>
        <w:tc>
          <w:tcPr>
            <w:tcW w:w="4422" w:type="dxa"/>
            <w:gridSpan w:val="4"/>
            <w:tcBorders>
              <w:top w:val="single" w:sz="6" w:space="0" w:color="000000"/>
              <w:left w:val="single" w:sz="6" w:space="0" w:color="000000"/>
              <w:bottom w:val="single" w:sz="6" w:space="0" w:color="000000"/>
              <w:right w:val="single" w:sz="6" w:space="0" w:color="000000"/>
            </w:tcBorders>
          </w:tcPr>
          <w:p>
            <w:pPr>
              <w:pStyle w:val="TableParagraph"/>
              <w:spacing w:line="278" w:lineRule="auto"/>
              <w:ind w:left="114" w:right="86"/>
              <w:jc w:val="both"/>
              <w:rPr>
                <w:sz w:val="21"/>
              </w:rPr>
            </w:pPr>
            <w:r>
              <w:rPr>
                <w:sz w:val="21"/>
              </w:rPr>
              <w:t>涉及环境敏感区（不包括饮用水水源保护区， 以居住、医疗卫生、文化教育、科研、行政办公为主要功能的区域，以及文物保护单位）的</w:t>
            </w:r>
          </w:p>
          <w:p>
            <w:pPr>
              <w:pStyle w:val="TableParagraph"/>
              <w:ind w:left="114"/>
              <w:rPr>
                <w:sz w:val="21"/>
              </w:rPr>
            </w:pPr>
            <w:r>
              <w:rPr>
                <w:sz w:val="21"/>
              </w:rPr>
              <w:t>项目</w:t>
            </w:r>
          </w:p>
        </w:tc>
        <w:tc>
          <w:tcPr>
            <w:tcW w:w="2192" w:type="dxa"/>
            <w:tcBorders>
              <w:top w:val="single" w:sz="6" w:space="0" w:color="000000"/>
              <w:left w:val="single" w:sz="6" w:space="0" w:color="000000"/>
              <w:bottom w:val="single" w:sz="6" w:space="0" w:color="000000"/>
              <w:right w:val="single" w:sz="12" w:space="0" w:color="000000"/>
            </w:tcBorders>
          </w:tcPr>
          <w:p>
            <w:pPr>
              <w:pStyle w:val="TableParagraph"/>
              <w:spacing w:before="152" w:line="280" w:lineRule="auto"/>
              <w:ind w:left="148" w:right="122"/>
              <w:jc w:val="center"/>
              <w:rPr>
                <w:sz w:val="21"/>
              </w:rPr>
            </w:pPr>
            <w:r>
              <w:rPr>
                <w:sz w:val="21"/>
              </w:rPr>
              <w:t>项目不涉及环境敏感区，无需设置生态专项评价</w:t>
            </w:r>
          </w:p>
        </w:tc>
        <w:tc>
          <w:tcPr>
            <w:tcW w:w="120" w:type="dxa"/>
            <w:tcBorders>
              <w:top w:val="nil"/>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586"/>
        </w:trPr>
        <w:tc>
          <w:tcPr>
            <w:tcW w:w="865" w:type="dxa"/>
            <w:vMerge/>
            <w:tcBorders>
              <w:top w:val="nil"/>
              <w:right w:val="single" w:sz="4" w:space="0" w:color="000000"/>
            </w:tcBorders>
          </w:tcPr>
          <w:p>
            <w:pPr>
              <w:rPr>
                <w:sz w:val="2"/>
                <w:szCs w:val="2"/>
              </w:rPr>
            </w:pPr>
          </w:p>
        </w:tc>
        <w:tc>
          <w:tcPr>
            <w:tcW w:w="125" w:type="dxa"/>
            <w:vMerge/>
            <w:tcBorders>
              <w:top w:val="nil"/>
              <w:left w:val="single" w:sz="4" w:space="0" w:color="000000"/>
              <w:right w:val="single" w:sz="12" w:space="0" w:color="000000"/>
            </w:tcBorders>
          </w:tcPr>
          <w:p>
            <w:pPr>
              <w:rPr>
                <w:sz w:val="2"/>
                <w:szCs w:val="2"/>
              </w:rPr>
            </w:pPr>
          </w:p>
        </w:tc>
        <w:tc>
          <w:tcPr>
            <w:tcW w:w="1150" w:type="dxa"/>
            <w:tcBorders>
              <w:top w:val="single" w:sz="6" w:space="0" w:color="000000"/>
              <w:left w:val="single" w:sz="12" w:space="0" w:color="000000"/>
              <w:bottom w:val="single" w:sz="24" w:space="0" w:color="000000"/>
              <w:right w:val="single" w:sz="6" w:space="0" w:color="000000"/>
            </w:tcBorders>
          </w:tcPr>
          <w:p>
            <w:pPr>
              <w:pStyle w:val="TableParagraph"/>
              <w:spacing w:before="147"/>
              <w:ind w:left="123" w:right="111"/>
              <w:jc w:val="center"/>
              <w:rPr>
                <w:sz w:val="21"/>
              </w:rPr>
            </w:pPr>
            <w:r>
              <w:rPr>
                <w:sz w:val="21"/>
              </w:rPr>
              <w:t>大气</w:t>
            </w:r>
          </w:p>
        </w:tc>
        <w:tc>
          <w:tcPr>
            <w:tcW w:w="4422" w:type="dxa"/>
            <w:gridSpan w:val="4"/>
            <w:tcBorders>
              <w:top w:val="single" w:sz="6" w:space="0" w:color="000000"/>
              <w:left w:val="single" w:sz="6" w:space="0" w:color="000000"/>
              <w:bottom w:val="single" w:sz="24" w:space="0" w:color="000000"/>
              <w:right w:val="single" w:sz="6" w:space="0" w:color="000000"/>
            </w:tcBorders>
          </w:tcPr>
          <w:p>
            <w:pPr>
              <w:pStyle w:val="TableParagraph"/>
              <w:spacing w:before="32"/>
              <w:ind w:left="114"/>
              <w:rPr>
                <w:sz w:val="21"/>
              </w:rPr>
            </w:pPr>
            <w:r>
              <w:rPr>
                <w:sz w:val="21"/>
              </w:rPr>
              <w:t xml:space="preserve">油气、液体化工码头：全部； </w:t>
            </w:r>
          </w:p>
          <w:p>
            <w:pPr>
              <w:pStyle w:val="TableParagraph"/>
              <w:spacing w:before="4" w:line="261" w:lineRule="exact"/>
              <w:ind w:left="114"/>
              <w:rPr>
                <w:sz w:val="21"/>
              </w:rPr>
            </w:pPr>
            <w:r>
              <w:rPr>
                <w:sz w:val="21"/>
              </w:rPr>
              <w:t>干散货（含煤炭、矿石）、件杂、多用途、通</w:t>
            </w:r>
          </w:p>
        </w:tc>
        <w:tc>
          <w:tcPr>
            <w:tcW w:w="2192" w:type="dxa"/>
            <w:tcBorders>
              <w:top w:val="single" w:sz="6" w:space="0" w:color="000000"/>
              <w:left w:val="single" w:sz="6" w:space="0" w:color="000000"/>
              <w:bottom w:val="single" w:sz="24" w:space="0" w:color="000000"/>
              <w:right w:val="single" w:sz="12" w:space="0" w:color="000000"/>
            </w:tcBorders>
          </w:tcPr>
          <w:p>
            <w:pPr>
              <w:pStyle w:val="TableParagraph"/>
              <w:spacing w:line="263" w:lineRule="exact"/>
              <w:ind w:left="148"/>
              <w:rPr>
                <w:sz w:val="21"/>
              </w:rPr>
            </w:pPr>
            <w:r>
              <w:rPr>
                <w:spacing w:val="-1"/>
                <w:sz w:val="21"/>
              </w:rPr>
              <w:t>项目不涉及油气、液</w:t>
            </w:r>
          </w:p>
          <w:p>
            <w:pPr>
              <w:pStyle w:val="TableParagraph"/>
              <w:spacing w:before="43" w:line="261" w:lineRule="exact"/>
              <w:ind w:left="148"/>
              <w:rPr>
                <w:sz w:val="21"/>
              </w:rPr>
            </w:pPr>
            <w:r>
              <w:rPr>
                <w:spacing w:val="-1"/>
                <w:sz w:val="21"/>
              </w:rPr>
              <w:t>体化工码头和干散货</w:t>
            </w:r>
          </w:p>
        </w:tc>
        <w:tc>
          <w:tcPr>
            <w:tcW w:w="120" w:type="dxa"/>
            <w:tcBorders>
              <w:top w:val="nil"/>
              <w:left w:val="single" w:sz="12" w:space="0" w:color="000000"/>
            </w:tcBorders>
          </w:tcPr>
          <w:p>
            <w:pPr>
              <w:pStyle w:val="TableParagraph"/>
              <w:rPr>
                <w:rFonts w:ascii="Times New Roman"/>
                <w:sz w:val="22"/>
              </w:rPr>
            </w:pPr>
          </w:p>
        </w:tc>
      </w:tr>
    </w:tbl>
    <w:p>
      <w:pPr>
        <w:pStyle w:val="BodyText"/>
        <w:rPr>
          <w:sz w:val="20"/>
        </w:rPr>
      </w:pPr>
    </w:p>
    <w:p>
      <w:pPr>
        <w:pStyle w:val="BodyText"/>
        <w:spacing w:before="6"/>
        <w:rPr>
          <w:sz w:val="22"/>
        </w:rPr>
      </w:pPr>
    </w:p>
    <w:p>
      <w:pPr>
        <w:spacing w:before="59"/>
        <w:ind w:left="551" w:right="0" w:firstLine="0"/>
        <w:jc w:val="left"/>
        <w:rPr>
          <w:sz w:val="28"/>
        </w:rPr>
      </w:pPr>
      <w:r>
        <w:rPr>
          <w:sz w:val="28"/>
        </w:rPr>
        <w:t>—</w:t>
      </w:r>
      <w:r>
        <w:rPr>
          <w:sz w:val="26"/>
        </w:rPr>
        <w:t>2</w:t>
      </w:r>
      <w:r>
        <w:rPr>
          <w:sz w:val="28"/>
        </w:rPr>
        <w:t>—</w:t>
      </w:r>
    </w:p>
    <w:p>
      <w:pPr>
        <w:spacing w:after="0"/>
        <w:jc w:val="left"/>
        <w:rPr>
          <w:sz w:val="28"/>
        </w:rPr>
        <w:sectPr>
          <w:pgSz w:w="11910" w:h="16840"/>
          <w:pgMar w:top="1580" w:right="820" w:bottom="280" w:left="980" w:header="720" w:footer="720" w:gutter="0"/>
          <w:pgNumType w:start="4"/>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865"/>
        <w:gridCol w:w="125"/>
        <w:gridCol w:w="1150"/>
        <w:gridCol w:w="247"/>
        <w:gridCol w:w="4175"/>
        <w:gridCol w:w="2192"/>
        <w:gridCol w:w="120"/>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257"/>
        </w:trPr>
        <w:tc>
          <w:tcPr>
            <w:tcW w:w="865" w:type="dxa"/>
            <w:vMerge w:val="restart"/>
            <w:tcBorders>
              <w:bottom w:val="single" w:sz="4" w:space="0" w:color="000000"/>
              <w:right w:val="single" w:sz="4" w:space="0" w:color="000000"/>
            </w:tcBorders>
          </w:tcPr>
          <w:p>
            <w:pPr>
              <w:pStyle w:val="TableParagraph"/>
              <w:rPr>
                <w:rFonts w:ascii="Times New Roman"/>
                <w:sz w:val="20"/>
              </w:rPr>
            </w:pPr>
          </w:p>
        </w:tc>
        <w:tc>
          <w:tcPr>
            <w:tcW w:w="125" w:type="dxa"/>
            <w:vMerge w:val="restart"/>
            <w:tcBorders>
              <w:left w:val="single" w:sz="4" w:space="0" w:color="000000"/>
              <w:bottom w:val="nil"/>
              <w:right w:val="single" w:sz="12" w:space="0" w:color="000000"/>
            </w:tcBorders>
          </w:tcPr>
          <w:p>
            <w:pPr>
              <w:pStyle w:val="TableParagraph"/>
              <w:rPr>
                <w:rFonts w:ascii="Times New Roman"/>
                <w:sz w:val="20"/>
              </w:rPr>
            </w:pPr>
          </w:p>
        </w:tc>
        <w:tc>
          <w:tcPr>
            <w:tcW w:w="1150" w:type="dxa"/>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4422" w:type="dxa"/>
            <w:gridSpan w:val="2"/>
            <w:tcBorders>
              <w:top w:val="thinThickMediumGap" w:sz="6" w:space="0" w:color="000000"/>
              <w:left w:val="single" w:sz="6" w:space="0" w:color="000000"/>
              <w:bottom w:val="single" w:sz="6" w:space="0" w:color="000000"/>
              <w:right w:val="single" w:sz="6" w:space="0" w:color="000000"/>
            </w:tcBorders>
          </w:tcPr>
          <w:p>
            <w:pPr>
              <w:pStyle w:val="TableParagraph"/>
              <w:ind w:left="114" w:right="-15"/>
              <w:rPr>
                <w:sz w:val="21"/>
              </w:rPr>
            </w:pPr>
            <w:r>
              <w:rPr>
                <w:spacing w:val="-5"/>
                <w:sz w:val="21"/>
              </w:rPr>
              <w:t>用码头：涉及粉尘、挥发性有机物排放的项目</w:t>
            </w:r>
            <w:r>
              <w:rPr>
                <w:sz w:val="21"/>
              </w:rPr>
              <w:t xml:space="preserve"> </w:t>
            </w:r>
          </w:p>
        </w:tc>
        <w:tc>
          <w:tcPr>
            <w:tcW w:w="2192" w:type="dxa"/>
            <w:tcBorders>
              <w:top w:val="thinThickMediumGap" w:sz="6" w:space="0" w:color="000000"/>
              <w:left w:val="single" w:sz="6" w:space="0" w:color="000000"/>
              <w:bottom w:val="single" w:sz="6" w:space="0" w:color="000000"/>
              <w:right w:val="single" w:sz="12" w:space="0" w:color="000000"/>
            </w:tcBorders>
          </w:tcPr>
          <w:p>
            <w:pPr>
              <w:pStyle w:val="TableParagraph"/>
              <w:spacing w:line="278" w:lineRule="auto"/>
              <w:ind w:left="148" w:right="122"/>
              <w:jc w:val="both"/>
              <w:rPr>
                <w:sz w:val="21"/>
              </w:rPr>
            </w:pPr>
            <w:r>
              <w:rPr>
                <w:sz w:val="21"/>
              </w:rPr>
              <w:t>（含煤炭、矿石）、件杂、多用途、通用码头，无需设置大气</w:t>
            </w:r>
          </w:p>
          <w:p>
            <w:pPr>
              <w:pStyle w:val="TableParagraph"/>
              <w:spacing w:before="5"/>
              <w:ind w:left="676"/>
              <w:rPr>
                <w:sz w:val="21"/>
              </w:rPr>
            </w:pPr>
            <w:r>
              <w:rPr>
                <w:sz w:val="21"/>
              </w:rPr>
              <w:t>专项评价</w:t>
            </w:r>
          </w:p>
        </w:tc>
        <w:tc>
          <w:tcPr>
            <w:tcW w:w="120"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876"/>
        </w:trPr>
        <w:tc>
          <w:tcPr>
            <w:tcW w:w="865" w:type="dxa"/>
            <w:vMerge/>
            <w:tcBorders>
              <w:top w:val="nil"/>
              <w:bottom w:val="single" w:sz="4" w:space="0" w:color="000000"/>
              <w:right w:val="single" w:sz="4" w:space="0" w:color="000000"/>
            </w:tcBorders>
          </w:tcPr>
          <w:p>
            <w:pPr>
              <w:rPr>
                <w:sz w:val="2"/>
                <w:szCs w:val="2"/>
              </w:rPr>
            </w:pPr>
          </w:p>
        </w:tc>
        <w:tc>
          <w:tcPr>
            <w:tcW w:w="125" w:type="dxa"/>
            <w:vMerge/>
            <w:tcBorders>
              <w:top w:val="nil"/>
              <w:left w:val="single" w:sz="4" w:space="0" w:color="000000"/>
              <w:bottom w:val="nil"/>
              <w:right w:val="single" w:sz="12" w:space="0" w:color="000000"/>
            </w:tcBorders>
          </w:tcPr>
          <w:p>
            <w:pPr>
              <w:rPr>
                <w:sz w:val="2"/>
                <w:szCs w:val="2"/>
              </w:rPr>
            </w:pPr>
          </w:p>
        </w:tc>
        <w:tc>
          <w:tcPr>
            <w:tcW w:w="1150" w:type="dxa"/>
            <w:tcBorders>
              <w:top w:val="single" w:sz="6" w:space="0" w:color="000000"/>
              <w:left w:val="single" w:sz="12"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spacing w:before="9"/>
              <w:rPr>
                <w:sz w:val="20"/>
              </w:rPr>
            </w:pPr>
          </w:p>
          <w:p>
            <w:pPr>
              <w:pStyle w:val="TableParagraph"/>
              <w:ind w:left="123" w:right="111"/>
              <w:jc w:val="center"/>
              <w:rPr>
                <w:sz w:val="21"/>
              </w:rPr>
            </w:pPr>
            <w:r>
              <w:rPr>
                <w:sz w:val="21"/>
              </w:rPr>
              <w:t>噪声</w:t>
            </w:r>
          </w:p>
        </w:tc>
        <w:tc>
          <w:tcPr>
            <w:tcW w:w="4422" w:type="dxa"/>
            <w:gridSpan w:val="2"/>
            <w:tcBorders>
              <w:top w:val="single" w:sz="6" w:space="0" w:color="000000"/>
              <w:left w:val="single" w:sz="6" w:space="0" w:color="000000"/>
              <w:bottom w:val="single" w:sz="6" w:space="0" w:color="000000"/>
              <w:right w:val="single" w:sz="6" w:space="0" w:color="000000"/>
            </w:tcBorders>
          </w:tcPr>
          <w:p>
            <w:pPr>
              <w:pStyle w:val="TableParagraph"/>
              <w:spacing w:before="154" w:line="278" w:lineRule="auto"/>
              <w:ind w:left="114" w:right="86"/>
              <w:jc w:val="both"/>
              <w:rPr>
                <w:sz w:val="21"/>
              </w:rPr>
            </w:pPr>
            <w:r>
              <w:rPr>
                <w:sz w:val="21"/>
              </w:rPr>
              <w:t>公路、铁路、机场等交通运输业涉及环境敏感区（以居住、医疗卫生、文化教育、科研、行政办公为主要功能的区域）的项目；</w:t>
            </w:r>
          </w:p>
          <w:p>
            <w:pPr>
              <w:pStyle w:val="TableParagraph"/>
              <w:spacing w:line="283" w:lineRule="auto"/>
              <w:ind w:left="114" w:right="86"/>
              <w:rPr>
                <w:sz w:val="21"/>
              </w:rPr>
            </w:pPr>
            <w:r>
              <w:rPr>
                <w:sz w:val="21"/>
              </w:rPr>
              <w:t>城市道路（不含维护，不含支路、人行天桥、人行地道）：全部</w:t>
            </w:r>
          </w:p>
        </w:tc>
        <w:tc>
          <w:tcPr>
            <w:tcW w:w="2192" w:type="dxa"/>
            <w:tcBorders>
              <w:top w:val="single" w:sz="6" w:space="0" w:color="000000"/>
              <w:left w:val="single" w:sz="6" w:space="0" w:color="000000"/>
              <w:bottom w:val="single" w:sz="6" w:space="0" w:color="000000"/>
              <w:right w:val="single" w:sz="12" w:space="0" w:color="000000"/>
            </w:tcBorders>
          </w:tcPr>
          <w:p>
            <w:pPr>
              <w:pStyle w:val="TableParagraph"/>
              <w:spacing w:line="278" w:lineRule="auto"/>
              <w:ind w:left="148" w:right="122"/>
              <w:jc w:val="both"/>
              <w:rPr>
                <w:sz w:val="21"/>
              </w:rPr>
            </w:pPr>
            <w:r>
              <w:rPr>
                <w:sz w:val="21"/>
              </w:rPr>
              <w:t>项目不属于公路、铁路、机场等交通运输业涉及环境敏感区的项目，不属于城市道路，无需设置噪声专</w:t>
            </w:r>
          </w:p>
          <w:p>
            <w:pPr>
              <w:pStyle w:val="TableParagraph"/>
              <w:ind w:left="148" w:right="120"/>
              <w:jc w:val="center"/>
              <w:rPr>
                <w:sz w:val="21"/>
              </w:rPr>
            </w:pPr>
            <w:r>
              <w:rPr>
                <w:sz w:val="21"/>
              </w:rPr>
              <w:t>项评价</w:t>
            </w:r>
          </w:p>
        </w:tc>
        <w:tc>
          <w:tcPr>
            <w:tcW w:w="120"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569"/>
        </w:trPr>
        <w:tc>
          <w:tcPr>
            <w:tcW w:w="865" w:type="dxa"/>
            <w:vMerge/>
            <w:tcBorders>
              <w:top w:val="nil"/>
              <w:bottom w:val="single" w:sz="4" w:space="0" w:color="000000"/>
              <w:right w:val="single" w:sz="4" w:space="0" w:color="000000"/>
            </w:tcBorders>
          </w:tcPr>
          <w:p>
            <w:pPr>
              <w:rPr>
                <w:sz w:val="2"/>
                <w:szCs w:val="2"/>
              </w:rPr>
            </w:pPr>
          </w:p>
        </w:tc>
        <w:tc>
          <w:tcPr>
            <w:tcW w:w="125" w:type="dxa"/>
            <w:vMerge/>
            <w:tcBorders>
              <w:top w:val="nil"/>
              <w:left w:val="single" w:sz="4" w:space="0" w:color="000000"/>
              <w:bottom w:val="nil"/>
              <w:right w:val="single" w:sz="12" w:space="0" w:color="000000"/>
            </w:tcBorders>
          </w:tcPr>
          <w:p>
            <w:pPr>
              <w:rPr>
                <w:sz w:val="2"/>
                <w:szCs w:val="2"/>
              </w:rPr>
            </w:pPr>
          </w:p>
        </w:tc>
        <w:tc>
          <w:tcPr>
            <w:tcW w:w="1150" w:type="dxa"/>
            <w:tcBorders>
              <w:top w:val="single" w:sz="6" w:space="0" w:color="000000"/>
              <w:left w:val="single" w:sz="12" w:space="0" w:color="000000"/>
              <w:bottom w:val="single" w:sz="12" w:space="0" w:color="000000"/>
              <w:right w:val="single" w:sz="6" w:space="0" w:color="000000"/>
            </w:tcBorders>
          </w:tcPr>
          <w:p>
            <w:pPr>
              <w:pStyle w:val="TableParagraph"/>
              <w:rPr>
                <w:sz w:val="20"/>
              </w:rPr>
            </w:pPr>
          </w:p>
          <w:p>
            <w:pPr>
              <w:pStyle w:val="TableParagraph"/>
              <w:spacing w:before="9"/>
              <w:rPr>
                <w:sz w:val="28"/>
              </w:rPr>
            </w:pPr>
          </w:p>
          <w:p>
            <w:pPr>
              <w:pStyle w:val="TableParagraph"/>
              <w:spacing w:before="1"/>
              <w:ind w:left="123" w:right="111"/>
              <w:jc w:val="center"/>
              <w:rPr>
                <w:sz w:val="21"/>
              </w:rPr>
            </w:pPr>
            <w:r>
              <w:rPr>
                <w:sz w:val="21"/>
              </w:rPr>
              <w:t>环境风险</w:t>
            </w:r>
          </w:p>
        </w:tc>
        <w:tc>
          <w:tcPr>
            <w:tcW w:w="4422" w:type="dxa"/>
            <w:gridSpan w:val="2"/>
            <w:tcBorders>
              <w:top w:val="single" w:sz="6" w:space="0" w:color="000000"/>
              <w:left w:val="single" w:sz="6" w:space="0" w:color="000000"/>
              <w:bottom w:val="single" w:sz="12" w:space="0" w:color="000000"/>
              <w:right w:val="single" w:sz="6" w:space="0" w:color="000000"/>
            </w:tcBorders>
          </w:tcPr>
          <w:p>
            <w:pPr>
              <w:pStyle w:val="TableParagraph"/>
              <w:spacing w:before="1" w:line="278" w:lineRule="auto"/>
              <w:ind w:left="114" w:right="1554"/>
              <w:rPr>
                <w:sz w:val="21"/>
              </w:rPr>
            </w:pPr>
            <w:r>
              <w:rPr>
                <w:spacing w:val="-2"/>
                <w:sz w:val="21"/>
              </w:rPr>
              <w:t xml:space="preserve">石油和天然气开采：全部； </w:t>
            </w:r>
            <w:r>
              <w:rPr>
                <w:spacing w:val="-5"/>
                <w:sz w:val="21"/>
              </w:rPr>
              <w:t>油气、液体化工码头：全部；</w:t>
            </w:r>
          </w:p>
          <w:p>
            <w:pPr>
              <w:pStyle w:val="TableParagraph"/>
              <w:spacing w:line="278" w:lineRule="auto"/>
              <w:ind w:left="114" w:right="86"/>
              <w:rPr>
                <w:sz w:val="21"/>
              </w:rPr>
            </w:pPr>
            <w:r>
              <w:rPr>
                <w:sz w:val="21"/>
              </w:rPr>
              <w:t>原油、成品油、天然气管线（不含城镇天然气管线、企业厂区内管线），危险化学品输送管</w:t>
            </w:r>
          </w:p>
          <w:p>
            <w:pPr>
              <w:pStyle w:val="TableParagraph"/>
              <w:spacing w:before="5"/>
              <w:ind w:left="114"/>
              <w:rPr>
                <w:sz w:val="21"/>
              </w:rPr>
            </w:pPr>
            <w:r>
              <w:rPr>
                <w:sz w:val="21"/>
              </w:rPr>
              <w:t>线（不含企业厂区内管线）：全部</w:t>
            </w:r>
          </w:p>
        </w:tc>
        <w:tc>
          <w:tcPr>
            <w:tcW w:w="2192" w:type="dxa"/>
            <w:tcBorders>
              <w:top w:val="single" w:sz="6" w:space="0" w:color="000000"/>
              <w:left w:val="single" w:sz="6" w:space="0" w:color="000000"/>
              <w:bottom w:val="single" w:sz="12" w:space="0" w:color="000000"/>
              <w:right w:val="single" w:sz="12" w:space="0" w:color="000000"/>
            </w:tcBorders>
          </w:tcPr>
          <w:p>
            <w:pPr>
              <w:pStyle w:val="TableParagraph"/>
              <w:rPr>
                <w:sz w:val="20"/>
              </w:rPr>
            </w:pPr>
          </w:p>
          <w:p>
            <w:pPr>
              <w:pStyle w:val="TableParagraph"/>
              <w:spacing w:before="5"/>
              <w:rPr>
                <w:sz w:val="16"/>
              </w:rPr>
            </w:pPr>
          </w:p>
          <w:p>
            <w:pPr>
              <w:pStyle w:val="TableParagraph"/>
              <w:spacing w:line="283" w:lineRule="auto"/>
              <w:ind w:left="148" w:right="122"/>
              <w:rPr>
                <w:sz w:val="21"/>
              </w:rPr>
            </w:pPr>
            <w:r>
              <w:rPr>
                <w:sz w:val="21"/>
              </w:rPr>
              <w:t>项目不涉及，无需设置环境风险专项评价</w:t>
            </w:r>
          </w:p>
        </w:tc>
        <w:tc>
          <w:tcPr>
            <w:tcW w:w="120"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584"/>
        </w:trPr>
        <w:tc>
          <w:tcPr>
            <w:tcW w:w="865" w:type="dxa"/>
            <w:vMerge/>
            <w:tcBorders>
              <w:top w:val="nil"/>
              <w:bottom w:val="single" w:sz="4" w:space="0" w:color="000000"/>
              <w:right w:val="single" w:sz="4" w:space="0" w:color="000000"/>
            </w:tcBorders>
          </w:tcPr>
          <w:p>
            <w:pPr>
              <w:rPr>
                <w:sz w:val="2"/>
                <w:szCs w:val="2"/>
              </w:rPr>
            </w:pPr>
          </w:p>
        </w:tc>
        <w:tc>
          <w:tcPr>
            <w:tcW w:w="8009" w:type="dxa"/>
            <w:gridSpan w:val="6"/>
            <w:tcBorders>
              <w:top w:val="single" w:sz="12" w:space="0" w:color="000000"/>
              <w:left w:val="single" w:sz="4" w:space="0" w:color="000000"/>
              <w:bottom w:val="single" w:sz="4" w:space="0" w:color="000000"/>
            </w:tcBorders>
          </w:tcPr>
          <w:p>
            <w:pPr>
              <w:pStyle w:val="TableParagraph"/>
              <w:spacing w:before="119"/>
              <w:ind w:left="594"/>
              <w:rPr>
                <w:sz w:val="24"/>
              </w:rPr>
            </w:pPr>
            <w:r>
              <w:rPr>
                <w:sz w:val="24"/>
              </w:rPr>
              <w:t>由上表分析可知，项目无需设置专项评价。</w:t>
            </w:r>
          </w:p>
        </w:tc>
      </w:tr>
      <w:tr>
        <w:tblPrEx>
          <w:tblW w:w="0" w:type="auto"/>
          <w:tblInd w:w="547" w:type="dxa"/>
          <w:tblLayout w:type="fixed"/>
          <w:tblCellMar>
            <w:top w:w="0" w:type="dxa"/>
            <w:left w:w="0" w:type="dxa"/>
            <w:bottom w:w="0" w:type="dxa"/>
            <w:right w:w="0" w:type="dxa"/>
          </w:tblCellMar>
        </w:tblPrEx>
        <w:trPr>
          <w:trHeight w:val="2539"/>
        </w:trPr>
        <w:tc>
          <w:tcPr>
            <w:tcW w:w="2387" w:type="dxa"/>
            <w:gridSpan w:val="4"/>
            <w:tcBorders>
              <w:top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spacing w:before="186"/>
              <w:ind w:left="710"/>
              <w:rPr>
                <w:sz w:val="24"/>
              </w:rPr>
            </w:pPr>
            <w:r>
              <w:rPr>
                <w:sz w:val="24"/>
              </w:rPr>
              <w:t>规划情况</w:t>
            </w:r>
          </w:p>
        </w:tc>
        <w:tc>
          <w:tcPr>
            <w:tcW w:w="6487" w:type="dxa"/>
            <w:gridSpan w:val="3"/>
            <w:tcBorders>
              <w:top w:val="single" w:sz="4" w:space="0" w:color="000000"/>
              <w:left w:val="single" w:sz="4" w:space="0" w:color="000000"/>
              <w:bottom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spacing w:before="186"/>
              <w:ind w:left="19"/>
              <w:jc w:val="center"/>
              <w:rPr>
                <w:sz w:val="24"/>
              </w:rPr>
            </w:pPr>
            <w:r>
              <w:rPr>
                <w:sz w:val="24"/>
              </w:rPr>
              <w:t>无</w:t>
            </w:r>
          </w:p>
        </w:tc>
      </w:tr>
      <w:tr>
        <w:tblPrEx>
          <w:tblW w:w="0" w:type="auto"/>
          <w:tblInd w:w="547" w:type="dxa"/>
          <w:tblLayout w:type="fixed"/>
          <w:tblCellMar>
            <w:top w:w="0" w:type="dxa"/>
            <w:left w:w="0" w:type="dxa"/>
            <w:bottom w:w="0" w:type="dxa"/>
            <w:right w:w="0" w:type="dxa"/>
          </w:tblCellMar>
        </w:tblPrEx>
        <w:trPr>
          <w:trHeight w:val="2405"/>
        </w:trPr>
        <w:tc>
          <w:tcPr>
            <w:tcW w:w="2387" w:type="dxa"/>
            <w:gridSpan w:val="4"/>
            <w:tcBorders>
              <w:top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4"/>
              <w:rPr>
                <w:sz w:val="21"/>
              </w:rPr>
            </w:pPr>
          </w:p>
          <w:p>
            <w:pPr>
              <w:pStyle w:val="TableParagraph"/>
              <w:spacing w:line="242" w:lineRule="auto"/>
              <w:ind w:left="710" w:right="459" w:hanging="241"/>
              <w:rPr>
                <w:sz w:val="24"/>
              </w:rPr>
            </w:pPr>
            <w:r>
              <w:rPr>
                <w:sz w:val="24"/>
              </w:rPr>
              <w:t>规划环境影响评价情况</w:t>
            </w:r>
          </w:p>
        </w:tc>
        <w:tc>
          <w:tcPr>
            <w:tcW w:w="6487" w:type="dxa"/>
            <w:gridSpan w:val="3"/>
            <w:tcBorders>
              <w:top w:val="single" w:sz="4" w:space="0" w:color="000000"/>
              <w:left w:val="single" w:sz="4" w:space="0" w:color="000000"/>
              <w:bottom w:val="single" w:sz="4" w:space="0" w:color="000000"/>
            </w:tcBorders>
          </w:tcPr>
          <w:p>
            <w:pPr>
              <w:pStyle w:val="TableParagraph"/>
              <w:rPr>
                <w:sz w:val="24"/>
              </w:rPr>
            </w:pPr>
          </w:p>
          <w:p>
            <w:pPr>
              <w:pStyle w:val="TableParagraph"/>
              <w:rPr>
                <w:sz w:val="24"/>
              </w:rPr>
            </w:pPr>
          </w:p>
          <w:p>
            <w:pPr>
              <w:pStyle w:val="TableParagraph"/>
              <w:spacing w:before="3"/>
              <w:rPr>
                <w:sz w:val="33"/>
              </w:rPr>
            </w:pPr>
          </w:p>
          <w:p>
            <w:pPr>
              <w:pStyle w:val="TableParagraph"/>
              <w:spacing w:before="1"/>
              <w:ind w:left="19"/>
              <w:jc w:val="center"/>
              <w:rPr>
                <w:sz w:val="24"/>
              </w:rPr>
            </w:pPr>
            <w:r>
              <w:rPr>
                <w:sz w:val="24"/>
              </w:rPr>
              <w:t>无</w:t>
            </w:r>
          </w:p>
        </w:tc>
      </w:tr>
      <w:tr>
        <w:tblPrEx>
          <w:tblW w:w="0" w:type="auto"/>
          <w:tblInd w:w="547" w:type="dxa"/>
          <w:tblLayout w:type="fixed"/>
          <w:tblCellMar>
            <w:top w:w="0" w:type="dxa"/>
            <w:left w:w="0" w:type="dxa"/>
            <w:bottom w:w="0" w:type="dxa"/>
            <w:right w:w="0" w:type="dxa"/>
          </w:tblCellMar>
        </w:tblPrEx>
        <w:trPr>
          <w:trHeight w:val="2668"/>
        </w:trPr>
        <w:tc>
          <w:tcPr>
            <w:tcW w:w="2387" w:type="dxa"/>
            <w:gridSpan w:val="4"/>
            <w:tcBorders>
              <w:top w:val="single" w:sz="4" w:space="0" w:color="000000"/>
              <w:right w:val="single" w:sz="4" w:space="0" w:color="000000"/>
            </w:tcBorders>
          </w:tcPr>
          <w:p>
            <w:pPr>
              <w:pStyle w:val="TableParagraph"/>
              <w:rPr>
                <w:sz w:val="24"/>
              </w:rPr>
            </w:pPr>
          </w:p>
          <w:p>
            <w:pPr>
              <w:pStyle w:val="TableParagraph"/>
              <w:rPr>
                <w:sz w:val="24"/>
              </w:rPr>
            </w:pPr>
          </w:p>
          <w:p>
            <w:pPr>
              <w:pStyle w:val="TableParagraph"/>
              <w:spacing w:before="5"/>
              <w:rPr>
                <w:sz w:val="31"/>
              </w:rPr>
            </w:pPr>
          </w:p>
          <w:p>
            <w:pPr>
              <w:pStyle w:val="TableParagraph"/>
              <w:spacing w:line="244" w:lineRule="auto"/>
              <w:ind w:left="349" w:right="101" w:hanging="240"/>
              <w:rPr>
                <w:sz w:val="24"/>
              </w:rPr>
            </w:pPr>
            <w:r>
              <w:rPr>
                <w:sz w:val="24"/>
              </w:rPr>
              <w:t>规划及规划环境影响评价符合性分析</w:t>
            </w:r>
          </w:p>
        </w:tc>
        <w:tc>
          <w:tcPr>
            <w:tcW w:w="6487" w:type="dxa"/>
            <w:gridSpan w:val="3"/>
            <w:tcBorders>
              <w:top w:val="single" w:sz="4" w:space="0" w:color="000000"/>
              <w:lef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spacing w:before="10"/>
              <w:rPr>
                <w:sz w:val="19"/>
              </w:rPr>
            </w:pPr>
          </w:p>
          <w:p>
            <w:pPr>
              <w:pStyle w:val="TableParagraph"/>
              <w:ind w:left="19"/>
              <w:jc w:val="center"/>
              <w:rPr>
                <w:sz w:val="24"/>
              </w:rPr>
            </w:pPr>
            <w:r>
              <w:rPr>
                <w:sz w:val="24"/>
              </w:rPr>
              <w:t>无</w:t>
            </w:r>
          </w:p>
        </w:tc>
      </w:tr>
    </w:tbl>
    <w:p>
      <w:pPr>
        <w:pStyle w:val="BodyText"/>
        <w:rPr>
          <w:sz w:val="20"/>
        </w:rPr>
      </w:pPr>
    </w:p>
    <w:p>
      <w:pPr>
        <w:pStyle w:val="BodyText"/>
        <w:rPr>
          <w:sz w:val="20"/>
        </w:rPr>
      </w:pPr>
    </w:p>
    <w:p>
      <w:pPr>
        <w:pStyle w:val="BodyText"/>
        <w:spacing w:before="10"/>
        <w:rPr>
          <w:sz w:val="17"/>
        </w:rPr>
      </w:pPr>
    </w:p>
    <w:p>
      <w:pPr>
        <w:spacing w:before="60"/>
        <w:ind w:left="0" w:right="705" w:firstLine="0"/>
        <w:jc w:val="right"/>
        <w:rPr>
          <w:sz w:val="28"/>
        </w:rPr>
      </w:pPr>
      <w:r>
        <w:rPr>
          <w:w w:val="95"/>
          <w:sz w:val="28"/>
        </w:rPr>
        <w:t>—</w:t>
      </w:r>
      <w:r>
        <w:rPr>
          <w:w w:val="95"/>
          <w:sz w:val="26"/>
        </w:rPr>
        <w:t>3</w:t>
      </w:r>
      <w:r>
        <w:rPr>
          <w:w w:val="95"/>
          <w:sz w:val="28"/>
        </w:rPr>
        <w:t>—</w:t>
      </w:r>
    </w:p>
    <w:p>
      <w:pPr>
        <w:spacing w:after="0"/>
        <w:jc w:val="right"/>
        <w:rPr>
          <w:sz w:val="28"/>
        </w:rPr>
        <w:sectPr>
          <w:pgSz w:w="11910" w:h="16840"/>
          <w:pgMar w:top="1580" w:right="820" w:bottom="280" w:left="980" w:header="720" w:footer="720" w:gutter="0"/>
          <w:pgNumType w:start="5"/>
          <w:cols w:num="1" w:space="720"/>
        </w:sectPr>
      </w:pPr>
    </w:p>
    <w:p>
      <w:pPr>
        <w:pStyle w:val="BodyText"/>
        <w:spacing w:before="11"/>
        <w:rPr>
          <w:sz w:val="7"/>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3868"/>
        <w:gridCol w:w="2035"/>
        <w:gridCol w:w="124"/>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4867"/>
        </w:trPr>
        <w:tc>
          <w:tcPr>
            <w:tcW w:w="725" w:type="dxa"/>
            <w:vMerge w:val="restart"/>
            <w:tcBorders>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8" w:line="242" w:lineRule="auto"/>
              <w:ind w:left="119" w:right="107"/>
              <w:jc w:val="both"/>
              <w:rPr>
                <w:sz w:val="24"/>
              </w:rPr>
            </w:pPr>
            <w:r>
              <w:rPr>
                <w:sz w:val="24"/>
              </w:rPr>
              <w:t xml:space="preserve">其他符合性分析 </w:t>
            </w:r>
          </w:p>
        </w:tc>
        <w:tc>
          <w:tcPr>
            <w:tcW w:w="8146" w:type="dxa"/>
            <w:gridSpan w:val="6"/>
            <w:tcBorders>
              <w:left w:val="single" w:sz="4" w:space="0" w:color="000000"/>
              <w:bottom w:val="single" w:sz="12" w:space="0" w:color="000000"/>
            </w:tcBorders>
          </w:tcPr>
          <w:p>
            <w:pPr>
              <w:pStyle w:val="TableParagraph"/>
              <w:spacing w:before="124"/>
              <w:ind w:left="590"/>
              <w:rPr>
                <w:b/>
                <w:sz w:val="24"/>
              </w:rPr>
            </w:pPr>
            <w:r>
              <w:rPr>
                <w:rFonts w:ascii="Times New Roman" w:eastAsia="Times New Roman"/>
                <w:b/>
                <w:sz w:val="24"/>
              </w:rPr>
              <w:t>1</w:t>
            </w:r>
            <w:r>
              <w:rPr>
                <w:b/>
                <w:sz w:val="24"/>
              </w:rPr>
              <w:t>、产业政策符合性分析</w:t>
            </w:r>
          </w:p>
          <w:p>
            <w:pPr>
              <w:pStyle w:val="TableParagraph"/>
              <w:spacing w:before="158" w:line="364" w:lineRule="auto"/>
              <w:ind w:left="110" w:right="87" w:firstLine="480"/>
              <w:jc w:val="both"/>
              <w:rPr>
                <w:sz w:val="24"/>
              </w:rPr>
            </w:pPr>
            <w:r>
              <w:rPr>
                <w:spacing w:val="-5"/>
                <w:sz w:val="24"/>
              </w:rPr>
              <w:t>根据《产业结构调整指导目录</w:t>
            </w:r>
            <w:r>
              <w:rPr>
                <w:rFonts w:ascii="Times New Roman" w:eastAsia="Times New Roman" w:hAnsi="Times New Roman"/>
                <w:sz w:val="24"/>
              </w:rPr>
              <w:t xml:space="preserve">(2019 </w:t>
            </w:r>
            <w:r>
              <w:rPr>
                <w:sz w:val="24"/>
              </w:rPr>
              <w:t>年本</w:t>
            </w:r>
            <w:r>
              <w:rPr>
                <w:rFonts w:ascii="Times New Roman" w:eastAsia="Times New Roman" w:hAnsi="Times New Roman"/>
                <w:sz w:val="24"/>
              </w:rPr>
              <w:t>)</w:t>
            </w:r>
            <w:r>
              <w:rPr>
                <w:spacing w:val="-24"/>
                <w:sz w:val="24"/>
              </w:rPr>
              <w:t>》</w:t>
            </w:r>
            <w:r>
              <w:rPr>
                <w:rFonts w:ascii="Times New Roman" w:eastAsia="Times New Roman" w:hAnsi="Times New Roman"/>
                <w:sz w:val="24"/>
              </w:rPr>
              <w:t>(</w:t>
            </w:r>
            <w:r>
              <w:rPr>
                <w:spacing w:val="-3"/>
                <w:sz w:val="24"/>
              </w:rPr>
              <w:t>国家发展和改革委员会令第</w:t>
            </w:r>
            <w:r>
              <w:rPr>
                <w:rFonts w:ascii="Times New Roman" w:eastAsia="Times New Roman" w:hAnsi="Times New Roman"/>
                <w:sz w:val="24"/>
              </w:rPr>
              <w:t xml:space="preserve">29 </w:t>
            </w:r>
            <w:r>
              <w:rPr>
                <w:sz w:val="24"/>
              </w:rPr>
              <w:t>号</w:t>
            </w:r>
            <w:r>
              <w:rPr>
                <w:rFonts w:ascii="Times New Roman" w:eastAsia="Times New Roman" w:hAnsi="Times New Roman"/>
                <w:spacing w:val="-10"/>
                <w:sz w:val="24"/>
              </w:rPr>
              <w:t>)</w:t>
            </w:r>
            <w:r>
              <w:rPr>
                <w:spacing w:val="-8"/>
                <w:sz w:val="24"/>
              </w:rPr>
              <w:t xml:space="preserve">，本项目属于国家产业政策鼓励类“二、水利的 </w:t>
            </w:r>
            <w:r>
              <w:rPr>
                <w:rFonts w:ascii="Times New Roman" w:eastAsia="Times New Roman" w:hAnsi="Times New Roman"/>
                <w:sz w:val="24"/>
              </w:rPr>
              <w:t>1</w:t>
            </w:r>
            <w:r>
              <w:rPr>
                <w:spacing w:val="-5"/>
                <w:sz w:val="24"/>
              </w:rPr>
              <w:t>、江河湖海堤防建设及河道治理工程”。本项目的建设符合国家产业政策要求。</w:t>
            </w:r>
          </w:p>
          <w:p>
            <w:pPr>
              <w:pStyle w:val="TableParagraph"/>
              <w:ind w:left="590"/>
              <w:rPr>
                <w:b/>
                <w:sz w:val="24"/>
              </w:rPr>
            </w:pPr>
            <w:r>
              <w:rPr>
                <w:rFonts w:ascii="Times New Roman" w:eastAsia="Times New Roman" w:hAnsi="Times New Roman"/>
                <w:b/>
                <w:sz w:val="24"/>
              </w:rPr>
              <w:t>2.“</w:t>
            </w:r>
            <w:r>
              <w:rPr>
                <w:b/>
                <w:sz w:val="24"/>
              </w:rPr>
              <w:t>三线一单</w:t>
            </w:r>
            <w:r>
              <w:rPr>
                <w:rFonts w:ascii="Times New Roman" w:eastAsia="Times New Roman" w:hAnsi="Times New Roman"/>
                <w:b/>
                <w:sz w:val="24"/>
              </w:rPr>
              <w:t>”</w:t>
            </w:r>
            <w:r>
              <w:rPr>
                <w:b/>
                <w:sz w:val="24"/>
              </w:rPr>
              <w:t>符合性分析</w:t>
            </w:r>
          </w:p>
          <w:p>
            <w:pPr>
              <w:pStyle w:val="TableParagraph"/>
              <w:spacing w:before="158" w:line="364" w:lineRule="auto"/>
              <w:ind w:left="110" w:right="-29" w:firstLine="480"/>
              <w:rPr>
                <w:sz w:val="24"/>
              </w:rPr>
            </w:pPr>
            <w:r>
              <w:rPr>
                <w:sz w:val="24"/>
              </w:rPr>
              <w:t>本项目与《德州市人民政府关于印发德州市“三线一单”生态环境分区管控方案的通知》（德政字</w:t>
            </w:r>
            <w:r>
              <w:rPr>
                <w:rFonts w:ascii="Times New Roman" w:eastAsia="Times New Roman" w:hAnsi="Times New Roman"/>
                <w:sz w:val="24"/>
              </w:rPr>
              <w:t>[2021]19</w:t>
            </w:r>
            <w:r>
              <w:rPr>
                <w:rFonts w:ascii="Times New Roman" w:eastAsia="Times New Roman" w:hAnsi="Times New Roman"/>
                <w:spacing w:val="33"/>
                <w:sz w:val="24"/>
              </w:rPr>
              <w:t xml:space="preserve"> </w:t>
            </w:r>
            <w:r>
              <w:rPr>
                <w:sz w:val="24"/>
              </w:rPr>
              <w:t>号）</w:t>
            </w:r>
            <w:r>
              <w:rPr>
                <w:spacing w:val="-2"/>
                <w:sz w:val="24"/>
              </w:rPr>
              <w:t>及德州市生态环境保护委员会办公</w:t>
            </w:r>
            <w:r>
              <w:rPr>
                <w:spacing w:val="-19"/>
                <w:sz w:val="24"/>
              </w:rPr>
              <w:t xml:space="preserve">室关于印发《德州市“三线一单”生态环境分区管控方案 </w:t>
            </w:r>
            <w:r>
              <w:rPr>
                <w:rFonts w:ascii="Times New Roman" w:eastAsia="Times New Roman" w:hAnsi="Times New Roman"/>
                <w:sz w:val="24"/>
              </w:rPr>
              <w:t>2022</w:t>
            </w:r>
            <w:r>
              <w:rPr>
                <w:rFonts w:ascii="Times New Roman" w:eastAsia="Times New Roman" w:hAnsi="Times New Roman"/>
                <w:spacing w:val="-2"/>
                <w:sz w:val="24"/>
              </w:rPr>
              <w:t xml:space="preserve"> </w:t>
            </w:r>
            <w:r>
              <w:rPr>
                <w:spacing w:val="-3"/>
                <w:sz w:val="24"/>
              </w:rPr>
              <w:t>年度更新内容》</w:t>
            </w:r>
            <w:r>
              <w:rPr>
                <w:sz w:val="24"/>
              </w:rPr>
              <w:t>的通知（德环委办字【</w:t>
            </w:r>
            <w:r>
              <w:rPr>
                <w:rFonts w:ascii="Times New Roman" w:eastAsia="Times New Roman" w:hAnsi="Times New Roman"/>
                <w:sz w:val="24"/>
              </w:rPr>
              <w:t>2023</w:t>
            </w:r>
            <w:r>
              <w:rPr>
                <w:sz w:val="24"/>
              </w:rPr>
              <w:t>】</w:t>
            </w:r>
            <w:r>
              <w:rPr>
                <w:rFonts w:ascii="Times New Roman" w:eastAsia="Times New Roman" w:hAnsi="Times New Roman"/>
                <w:sz w:val="24"/>
              </w:rPr>
              <w:t>8</w:t>
            </w:r>
            <w:r>
              <w:rPr>
                <w:rFonts w:ascii="Times New Roman" w:eastAsia="Times New Roman" w:hAnsi="Times New Roman"/>
                <w:spacing w:val="-3"/>
                <w:sz w:val="24"/>
              </w:rPr>
              <w:t xml:space="preserve"> </w:t>
            </w:r>
            <w:r>
              <w:rPr>
                <w:sz w:val="24"/>
              </w:rPr>
              <w:t>号）要求的符合性分析如下</w:t>
            </w:r>
          </w:p>
          <w:p>
            <w:pPr>
              <w:pStyle w:val="TableParagraph"/>
              <w:spacing w:line="264" w:lineRule="exact"/>
              <w:ind w:left="-48"/>
              <w:rPr>
                <w:b/>
                <w:sz w:val="21"/>
              </w:rPr>
            </w:pPr>
            <w:r>
              <w:rPr>
                <w:b/>
                <w:sz w:val="21"/>
              </w:rPr>
              <w:t>表</w:t>
            </w:r>
            <w:r>
              <w:rPr>
                <w:rFonts w:ascii="Times New Roman" w:eastAsia="Times New Roman" w:hAnsi="Times New Roman"/>
                <w:b/>
                <w:sz w:val="21"/>
              </w:rPr>
              <w:t xml:space="preserve">2 </w:t>
            </w:r>
            <w:r>
              <w:rPr>
                <w:b/>
                <w:sz w:val="21"/>
              </w:rPr>
              <w:t>项目与《德州市人民政府关于印发德州市“三线一单”生态环境分区管控方案的通</w:t>
            </w:r>
          </w:p>
          <w:p>
            <w:pPr>
              <w:pStyle w:val="TableParagraph"/>
              <w:spacing w:before="5" w:line="252" w:lineRule="exact"/>
              <w:ind w:left="3025"/>
              <w:rPr>
                <w:b/>
                <w:sz w:val="21"/>
              </w:rPr>
            </w:pPr>
            <w:r>
              <w:rPr>
                <w:b/>
                <w:sz w:val="21"/>
              </w:rPr>
              <w:t>知》符合性分析一览表</w:t>
            </w:r>
          </w:p>
        </w:tc>
      </w:tr>
      <w:tr>
        <w:tblPrEx>
          <w:tblW w:w="0" w:type="auto"/>
          <w:tblInd w:w="547" w:type="dxa"/>
          <w:tblLayout w:type="fixed"/>
          <w:tblCellMar>
            <w:top w:w="0" w:type="dxa"/>
            <w:left w:w="0" w:type="dxa"/>
            <w:bottom w:w="0" w:type="dxa"/>
            <w:right w:w="0" w:type="dxa"/>
          </w:tblCellMar>
        </w:tblPrEx>
        <w:trPr>
          <w:trHeight w:val="625"/>
        </w:trPr>
        <w:tc>
          <w:tcPr>
            <w:tcW w:w="725" w:type="dxa"/>
            <w:vMerge/>
            <w:tcBorders>
              <w:top w:val="nil"/>
              <w:right w:val="single" w:sz="4" w:space="0" w:color="000000"/>
            </w:tcBorders>
          </w:tcPr>
          <w:p>
            <w:pPr>
              <w:rPr>
                <w:sz w:val="2"/>
                <w:szCs w:val="2"/>
              </w:rPr>
            </w:pPr>
          </w:p>
        </w:tc>
        <w:tc>
          <w:tcPr>
            <w:tcW w:w="120" w:type="dxa"/>
            <w:vMerge w:val="restart"/>
            <w:tcBorders>
              <w:top w:val="nil"/>
              <w:left w:val="single" w:sz="4" w:space="0" w:color="000000"/>
              <w:right w:val="single" w:sz="12" w:space="0" w:color="000000"/>
            </w:tcBorders>
          </w:tcPr>
          <w:p>
            <w:pPr>
              <w:pStyle w:val="TableParagraph"/>
              <w:rPr>
                <w:rFonts w:ascii="Times New Roman"/>
                <w:sz w:val="20"/>
              </w:rPr>
            </w:pPr>
          </w:p>
        </w:tc>
        <w:tc>
          <w:tcPr>
            <w:tcW w:w="655" w:type="dxa"/>
            <w:tcBorders>
              <w:top w:val="single" w:sz="12" w:space="0" w:color="000000"/>
              <w:left w:val="single" w:sz="12" w:space="0" w:color="000000"/>
              <w:bottom w:val="single" w:sz="6" w:space="0" w:color="000000"/>
              <w:right w:val="single" w:sz="6" w:space="0" w:color="000000"/>
            </w:tcBorders>
          </w:tcPr>
          <w:p>
            <w:pPr>
              <w:pStyle w:val="TableParagraph"/>
              <w:spacing w:before="154"/>
              <w:ind w:left="110"/>
              <w:rPr>
                <w:b/>
                <w:sz w:val="21"/>
              </w:rPr>
            </w:pPr>
            <w:r>
              <w:rPr>
                <w:b/>
                <w:sz w:val="21"/>
              </w:rPr>
              <w:t>类别</w:t>
            </w:r>
          </w:p>
        </w:tc>
        <w:tc>
          <w:tcPr>
            <w:tcW w:w="1344" w:type="dxa"/>
            <w:tcBorders>
              <w:top w:val="single" w:sz="12" w:space="0" w:color="000000"/>
              <w:left w:val="single" w:sz="6" w:space="0" w:color="000000"/>
              <w:bottom w:val="single" w:sz="6" w:space="0" w:color="000000"/>
              <w:right w:val="single" w:sz="6" w:space="0" w:color="000000"/>
            </w:tcBorders>
          </w:tcPr>
          <w:p>
            <w:pPr>
              <w:pStyle w:val="TableParagraph"/>
              <w:ind w:left="123" w:right="107"/>
              <w:jc w:val="center"/>
              <w:rPr>
                <w:b/>
                <w:sz w:val="21"/>
              </w:rPr>
            </w:pPr>
            <w:r>
              <w:rPr>
                <w:b/>
                <w:sz w:val="21"/>
              </w:rPr>
              <w:t>所属管控分</w:t>
            </w:r>
          </w:p>
          <w:p>
            <w:pPr>
              <w:pStyle w:val="TableParagraph"/>
              <w:spacing w:before="43"/>
              <w:ind w:left="16"/>
              <w:jc w:val="center"/>
              <w:rPr>
                <w:b/>
                <w:sz w:val="21"/>
              </w:rPr>
            </w:pPr>
            <w:r>
              <w:rPr>
                <w:b/>
                <w:w w:val="100"/>
                <w:sz w:val="21"/>
              </w:rPr>
              <w:t>区</w:t>
            </w:r>
          </w:p>
        </w:tc>
        <w:tc>
          <w:tcPr>
            <w:tcW w:w="3868" w:type="dxa"/>
            <w:tcBorders>
              <w:top w:val="single" w:sz="12" w:space="0" w:color="000000"/>
              <w:left w:val="single" w:sz="6" w:space="0" w:color="000000"/>
              <w:bottom w:val="single" w:sz="6" w:space="0" w:color="000000"/>
              <w:right w:val="single" w:sz="6" w:space="0" w:color="000000"/>
            </w:tcBorders>
          </w:tcPr>
          <w:p>
            <w:pPr>
              <w:pStyle w:val="TableParagraph"/>
              <w:spacing w:before="154"/>
              <w:ind w:left="50" w:right="57"/>
              <w:jc w:val="center"/>
              <w:rPr>
                <w:b/>
                <w:sz w:val="21"/>
              </w:rPr>
            </w:pPr>
            <w:r>
              <w:rPr>
                <w:b/>
                <w:sz w:val="21"/>
              </w:rPr>
              <w:t>管控要求</w:t>
            </w:r>
          </w:p>
        </w:tc>
        <w:tc>
          <w:tcPr>
            <w:tcW w:w="2035" w:type="dxa"/>
            <w:tcBorders>
              <w:top w:val="single" w:sz="12" w:space="0" w:color="000000"/>
              <w:left w:val="single" w:sz="6" w:space="0" w:color="000000"/>
              <w:bottom w:val="single" w:sz="6" w:space="0" w:color="000000"/>
              <w:right w:val="single" w:sz="12" w:space="0" w:color="000000"/>
            </w:tcBorders>
          </w:tcPr>
          <w:p>
            <w:pPr>
              <w:pStyle w:val="TableParagraph"/>
              <w:spacing w:before="154"/>
              <w:ind w:left="272"/>
              <w:rPr>
                <w:b/>
                <w:sz w:val="21"/>
              </w:rPr>
            </w:pPr>
            <w:r>
              <w:rPr>
                <w:b/>
                <w:sz w:val="21"/>
              </w:rPr>
              <w:t>建设符合性分析</w:t>
            </w:r>
          </w:p>
        </w:tc>
        <w:tc>
          <w:tcPr>
            <w:tcW w:w="124"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1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7902" w:type="dxa"/>
            <w:gridSpan w:val="4"/>
            <w:tcBorders>
              <w:top w:val="single" w:sz="6" w:space="0" w:color="000000"/>
              <w:left w:val="single" w:sz="12" w:space="0" w:color="000000"/>
              <w:bottom w:val="single" w:sz="6" w:space="0" w:color="000000"/>
              <w:right w:val="single" w:sz="12" w:space="0" w:color="000000"/>
            </w:tcBorders>
          </w:tcPr>
          <w:p>
            <w:pPr>
              <w:pStyle w:val="TableParagraph"/>
              <w:spacing w:line="263" w:lineRule="exact"/>
              <w:ind w:left="2055" w:right="2030"/>
              <w:jc w:val="center"/>
              <w:rPr>
                <w:b/>
                <w:sz w:val="21"/>
              </w:rPr>
            </w:pPr>
            <w:r>
              <w:rPr>
                <w:rFonts w:ascii="Times New Roman" w:eastAsia="Times New Roman"/>
                <w:b/>
                <w:sz w:val="21"/>
              </w:rPr>
              <w:t>1.</w:t>
            </w:r>
            <w:r>
              <w:rPr>
                <w:b/>
                <w:sz w:val="21"/>
              </w:rPr>
              <w:t>生态保护红线与一般生态空间管控</w:t>
            </w:r>
          </w:p>
        </w:tc>
        <w:tc>
          <w:tcPr>
            <w:tcW w:w="124"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99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val="restart"/>
            <w:tcBorders>
              <w:top w:val="single" w:sz="6" w:space="0" w:color="000000"/>
              <w:left w:val="single" w:sz="12" w:space="0" w:color="000000"/>
              <w:bottom w:val="single" w:sz="6" w:space="0" w:color="000000"/>
              <w:right w:val="single" w:sz="6" w:space="0" w:color="000000"/>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9"/>
              <w:ind w:left="191"/>
              <w:rPr>
                <w:rFonts w:ascii="Times New Roman"/>
                <w:sz w:val="21"/>
              </w:rPr>
            </w:pPr>
            <w:r>
              <w:rPr>
                <w:rFonts w:ascii="Times New Roman"/>
                <w:sz w:val="21"/>
              </w:rPr>
              <w:t>1.1</w:t>
            </w:r>
          </w:p>
          <w:p>
            <w:pPr>
              <w:pStyle w:val="TableParagraph"/>
              <w:spacing w:before="47" w:line="278" w:lineRule="auto"/>
              <w:ind w:left="114" w:right="93"/>
              <w:jc w:val="both"/>
              <w:rPr>
                <w:sz w:val="21"/>
              </w:rPr>
            </w:pPr>
            <w:r>
              <w:rPr>
                <w:spacing w:val="-9"/>
                <w:sz w:val="21"/>
              </w:rPr>
              <w:t>生态保护红线</w:t>
            </w:r>
          </w:p>
        </w:tc>
        <w:tc>
          <w:tcPr>
            <w:tcW w:w="1344" w:type="dxa"/>
            <w:tcBorders>
              <w:top w:val="single" w:sz="6" w:space="0" w:color="000000"/>
              <w:left w:val="single" w:sz="6" w:space="0" w:color="000000"/>
              <w:bottom w:val="single" w:sz="6" w:space="0" w:color="000000"/>
              <w:right w:val="single" w:sz="6" w:space="0" w:color="000000"/>
            </w:tcBorders>
          </w:tcPr>
          <w:p>
            <w:pPr>
              <w:pStyle w:val="TableParagraph"/>
              <w:spacing w:before="1"/>
              <w:rPr>
                <w:sz w:val="26"/>
              </w:rPr>
            </w:pPr>
          </w:p>
          <w:p>
            <w:pPr>
              <w:pStyle w:val="TableParagraph"/>
              <w:ind w:left="125" w:right="100"/>
              <w:jc w:val="center"/>
              <w:rPr>
                <w:sz w:val="21"/>
              </w:rPr>
            </w:pPr>
            <w:r>
              <w:rPr>
                <w:sz w:val="21"/>
              </w:rPr>
              <w:t>大运河</w:t>
            </w:r>
          </w:p>
        </w:tc>
        <w:tc>
          <w:tcPr>
            <w:tcW w:w="3868"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spacing w:before="168" w:line="242" w:lineRule="auto"/>
              <w:ind w:left="111" w:right="57" w:firstLine="52"/>
              <w:jc w:val="both"/>
              <w:rPr>
                <w:sz w:val="21"/>
              </w:rPr>
            </w:pPr>
            <w:r>
              <w:rPr>
                <w:spacing w:val="-3"/>
                <w:sz w:val="21"/>
              </w:rPr>
              <w:t>生态保护红线原则上按禁止开发区域的</w:t>
            </w:r>
            <w:r>
              <w:rPr>
                <w:spacing w:val="-13"/>
                <w:sz w:val="21"/>
              </w:rPr>
              <w:t>要求进行管理。严禁不符合主体功能定位</w:t>
            </w:r>
            <w:r>
              <w:rPr>
                <w:spacing w:val="-12"/>
                <w:sz w:val="21"/>
              </w:rPr>
              <w:t>的各类开发活动，严禁任意改变用途，确保生态功能不降低、面积不减少、性质不</w:t>
            </w:r>
            <w:r>
              <w:rPr>
                <w:spacing w:val="-13"/>
                <w:sz w:val="21"/>
              </w:rPr>
              <w:t>改变。生态保护红线内，自然保护地按照</w:t>
            </w:r>
            <w:r>
              <w:rPr>
                <w:spacing w:val="-3"/>
                <w:sz w:val="21"/>
              </w:rPr>
              <w:t>法律法规及主管部门发布的管理制度和</w:t>
            </w:r>
            <w:r>
              <w:rPr>
                <w:spacing w:val="-14"/>
                <w:sz w:val="21"/>
              </w:rPr>
              <w:t>保护性规划进行管理，核心保护区原则上</w:t>
            </w:r>
            <w:r>
              <w:rPr>
                <w:spacing w:val="-12"/>
                <w:sz w:val="21"/>
              </w:rPr>
              <w:t>禁止人为活动，一般管控区严格禁止开发性、生产性建设活动，在符合现行法律法</w:t>
            </w:r>
            <w:r>
              <w:rPr>
                <w:spacing w:val="-13"/>
                <w:sz w:val="21"/>
              </w:rPr>
              <w:t>规前提下，除国家重大战略外，仅允许对</w:t>
            </w:r>
            <w:r>
              <w:rPr>
                <w:spacing w:val="-3"/>
                <w:sz w:val="21"/>
              </w:rPr>
              <w:t>生态功能不造成破坏的有限人为活动。</w:t>
            </w:r>
          </w:p>
        </w:tc>
        <w:tc>
          <w:tcPr>
            <w:tcW w:w="2035" w:type="dxa"/>
            <w:vMerge w:val="restart"/>
            <w:tcBorders>
              <w:top w:val="single" w:sz="6" w:space="0" w:color="000000"/>
              <w:left w:val="single" w:sz="6" w:space="0" w:color="000000"/>
              <w:bottom w:val="single" w:sz="6" w:space="0" w:color="000000"/>
              <w:right w:val="single" w:sz="12" w:space="0" w:color="000000"/>
            </w:tcBorders>
          </w:tcPr>
          <w:p>
            <w:pPr>
              <w:pStyle w:val="TableParagraph"/>
              <w:rPr>
                <w:sz w:val="20"/>
              </w:rPr>
            </w:pPr>
          </w:p>
          <w:p>
            <w:pPr>
              <w:pStyle w:val="TableParagraph"/>
              <w:rPr>
                <w:sz w:val="20"/>
              </w:rPr>
            </w:pPr>
          </w:p>
          <w:p>
            <w:pPr>
              <w:pStyle w:val="TableParagraph"/>
              <w:spacing w:before="168" w:line="242" w:lineRule="auto"/>
              <w:ind w:left="142" w:right="-44" w:firstLine="52"/>
              <w:rPr>
                <w:sz w:val="21"/>
              </w:rPr>
            </w:pPr>
            <w:r>
              <w:rPr>
                <w:spacing w:val="-1"/>
                <w:sz w:val="21"/>
              </w:rPr>
              <w:t>本项目位于山东省</w:t>
            </w:r>
            <w:r>
              <w:rPr>
                <w:spacing w:val="-2"/>
                <w:sz w:val="21"/>
              </w:rPr>
              <w:t xml:space="preserve">德州市经济技术开 </w:t>
            </w:r>
            <w:r>
              <w:rPr>
                <w:spacing w:val="-14"/>
                <w:sz w:val="21"/>
              </w:rPr>
              <w:t>发区，所在区域无生</w:t>
            </w:r>
            <w:r>
              <w:rPr>
                <w:spacing w:val="-19"/>
                <w:sz w:val="21"/>
              </w:rPr>
              <w:t>态保护红线区，距离</w:t>
            </w:r>
            <w:r>
              <w:rPr>
                <w:spacing w:val="-12"/>
                <w:sz w:val="21"/>
              </w:rPr>
              <w:t xml:space="preserve">项目最近的生态红 </w:t>
            </w:r>
            <w:r>
              <w:rPr>
                <w:spacing w:val="-8"/>
                <w:sz w:val="21"/>
              </w:rPr>
              <w:t xml:space="preserve">线为山东减河国家 </w:t>
            </w:r>
            <w:r>
              <w:rPr>
                <w:spacing w:val="-7"/>
                <w:sz w:val="21"/>
              </w:rPr>
              <w:t>湿地自然公园</w:t>
            </w:r>
            <w:r>
              <w:rPr>
                <w:sz w:val="21"/>
              </w:rPr>
              <w:t>（试 点</w:t>
            </w:r>
            <w:r>
              <w:rPr>
                <w:spacing w:val="-51"/>
                <w:sz w:val="21"/>
              </w:rPr>
              <w:t>）</w:t>
            </w:r>
            <w:r>
              <w:rPr>
                <w:spacing w:val="-14"/>
                <w:sz w:val="21"/>
              </w:rPr>
              <w:t>，距离约</w:t>
            </w:r>
            <w:r>
              <w:rPr>
                <w:rFonts w:ascii="Times New Roman" w:eastAsia="Times New Roman"/>
                <w:sz w:val="21"/>
              </w:rPr>
              <w:t>900</w:t>
            </w:r>
            <w:r>
              <w:rPr>
                <w:sz w:val="21"/>
              </w:rPr>
              <w:t xml:space="preserve">米， </w:t>
            </w:r>
            <w:r>
              <w:rPr>
                <w:spacing w:val="-1"/>
                <w:sz w:val="21"/>
              </w:rPr>
              <w:t xml:space="preserve">不涉及占用或穿越 </w:t>
            </w:r>
            <w:r>
              <w:rPr>
                <w:spacing w:val="-2"/>
                <w:sz w:val="21"/>
              </w:rPr>
              <w:t>生态保护红线。符</w:t>
            </w:r>
          </w:p>
          <w:p>
            <w:pPr>
              <w:pStyle w:val="TableParagraph"/>
              <w:spacing w:before="4"/>
              <w:ind w:left="829"/>
              <w:rPr>
                <w:sz w:val="21"/>
              </w:rPr>
            </w:pPr>
            <w:r>
              <w:rPr>
                <w:sz w:val="21"/>
              </w:rPr>
              <w:t>合。</w:t>
            </w:r>
          </w:p>
        </w:tc>
        <w:tc>
          <w:tcPr>
            <w:tcW w:w="124"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9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single" w:sz="6" w:space="0" w:color="000000"/>
              <w:left w:val="single" w:sz="6" w:space="0" w:color="000000"/>
              <w:bottom w:val="single" w:sz="6" w:space="0" w:color="000000"/>
              <w:right w:val="single" w:sz="6" w:space="0" w:color="000000"/>
            </w:tcBorders>
          </w:tcPr>
          <w:p>
            <w:pPr>
              <w:pStyle w:val="TableParagraph"/>
              <w:spacing w:before="6"/>
              <w:rPr>
                <w:sz w:val="26"/>
              </w:rPr>
            </w:pPr>
          </w:p>
          <w:p>
            <w:pPr>
              <w:pStyle w:val="TableParagraph"/>
              <w:ind w:left="125" w:right="100"/>
              <w:jc w:val="center"/>
              <w:rPr>
                <w:sz w:val="21"/>
              </w:rPr>
            </w:pPr>
            <w:r>
              <w:rPr>
                <w:sz w:val="21"/>
              </w:rPr>
              <w:t>沟盘河水库</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16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spacing w:before="165"/>
              <w:ind w:left="125" w:right="100"/>
              <w:jc w:val="center"/>
              <w:rPr>
                <w:sz w:val="21"/>
              </w:rPr>
            </w:pPr>
            <w:r>
              <w:rPr>
                <w:sz w:val="21"/>
              </w:rPr>
              <w:t>马颊河</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15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single" w:sz="6" w:space="0" w:color="000000"/>
              <w:left w:val="single" w:sz="6" w:space="0" w:color="000000"/>
              <w:bottom w:val="single" w:sz="6" w:space="0" w:color="000000"/>
              <w:right w:val="single" w:sz="6" w:space="0" w:color="000000"/>
            </w:tcBorders>
          </w:tcPr>
          <w:p>
            <w:pPr>
              <w:pStyle w:val="TableParagraph"/>
              <w:spacing w:before="104" w:line="280" w:lineRule="auto"/>
              <w:ind w:left="149" w:right="121"/>
              <w:jc w:val="center"/>
              <w:rPr>
                <w:sz w:val="21"/>
              </w:rPr>
            </w:pPr>
            <w:r>
              <w:rPr>
                <w:sz w:val="21"/>
              </w:rPr>
              <w:t>山东减河国家湿地自然公园</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5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single" w:sz="24" w:space="0" w:color="000000"/>
              <w:right w:val="single" w:sz="6" w:space="0" w:color="000000"/>
            </w:tcBorders>
          </w:tcPr>
          <w:p>
            <w:pPr>
              <w:pStyle w:val="TableParagraph"/>
              <w:rPr>
                <w:sz w:val="22"/>
              </w:rPr>
            </w:pPr>
          </w:p>
          <w:p>
            <w:pPr>
              <w:pStyle w:val="TableParagraph"/>
              <w:rPr>
                <w:sz w:val="22"/>
              </w:rPr>
            </w:pPr>
          </w:p>
          <w:p>
            <w:pPr>
              <w:pStyle w:val="TableParagraph"/>
              <w:rPr>
                <w:sz w:val="24"/>
              </w:rPr>
            </w:pPr>
          </w:p>
          <w:p>
            <w:pPr>
              <w:pStyle w:val="TableParagraph"/>
              <w:ind w:left="191"/>
              <w:rPr>
                <w:rFonts w:ascii="Times New Roman"/>
                <w:sz w:val="21"/>
              </w:rPr>
            </w:pPr>
            <w:r>
              <w:rPr>
                <w:rFonts w:ascii="Times New Roman"/>
                <w:sz w:val="21"/>
              </w:rPr>
              <w:t>1.2</w:t>
            </w:r>
          </w:p>
          <w:p>
            <w:pPr>
              <w:pStyle w:val="TableParagraph"/>
              <w:spacing w:before="47" w:line="280" w:lineRule="auto"/>
              <w:ind w:left="114" w:right="93"/>
              <w:jc w:val="both"/>
              <w:rPr>
                <w:sz w:val="21"/>
              </w:rPr>
            </w:pPr>
            <w:r>
              <w:rPr>
                <w:spacing w:val="-9"/>
                <w:sz w:val="21"/>
              </w:rPr>
              <w:t>一般生态空间</w:t>
            </w:r>
          </w:p>
        </w:tc>
        <w:tc>
          <w:tcPr>
            <w:tcW w:w="1344" w:type="dxa"/>
            <w:tcBorders>
              <w:top w:val="single" w:sz="6" w:space="0" w:color="000000"/>
              <w:left w:val="single" w:sz="6" w:space="0" w:color="000000"/>
              <w:bottom w:val="single" w:sz="24" w:space="0" w:color="000000"/>
              <w:right w:val="single" w:sz="6" w:space="0" w:color="000000"/>
            </w:tcBorders>
          </w:tcPr>
          <w:p>
            <w:pPr>
              <w:pStyle w:val="TableParagraph"/>
              <w:spacing w:before="109" w:line="280" w:lineRule="auto"/>
              <w:ind w:left="197" w:right="284"/>
              <w:jc w:val="center"/>
              <w:rPr>
                <w:sz w:val="21"/>
              </w:rPr>
            </w:pPr>
            <w:r>
              <w:rPr>
                <w:spacing w:val="-5"/>
                <w:sz w:val="21"/>
              </w:rPr>
              <w:t>包括未纳入生态保护红线的</w:t>
            </w:r>
            <w:r>
              <w:rPr>
                <w:sz w:val="21"/>
              </w:rPr>
              <w:t xml:space="preserve">森林公 </w:t>
            </w:r>
            <w:r>
              <w:rPr>
                <w:spacing w:val="-5"/>
                <w:sz w:val="21"/>
              </w:rPr>
              <w:t>园、湿地公园、饮用水水源</w:t>
            </w:r>
          </w:p>
          <w:p>
            <w:pPr>
              <w:pStyle w:val="TableParagraph"/>
              <w:spacing w:line="278" w:lineRule="auto"/>
              <w:ind w:left="197" w:right="284"/>
              <w:jc w:val="center"/>
              <w:rPr>
                <w:sz w:val="21"/>
              </w:rPr>
            </w:pPr>
            <w:r>
              <w:rPr>
                <w:spacing w:val="-5"/>
                <w:sz w:val="21"/>
              </w:rPr>
              <w:t>地保护区以及拟划</w:t>
            </w:r>
          </w:p>
        </w:tc>
        <w:tc>
          <w:tcPr>
            <w:tcW w:w="3868" w:type="dxa"/>
            <w:tcBorders>
              <w:top w:val="single" w:sz="6" w:space="0" w:color="000000"/>
              <w:left w:val="single" w:sz="6" w:space="0" w:color="000000"/>
              <w:bottom w:val="single" w:sz="24" w:space="0" w:color="000000"/>
              <w:right w:val="single" w:sz="6" w:space="0" w:color="000000"/>
            </w:tcBorders>
          </w:tcPr>
          <w:p>
            <w:pPr>
              <w:pStyle w:val="TableParagraph"/>
              <w:spacing w:line="242" w:lineRule="auto"/>
              <w:ind w:left="111" w:right="57"/>
              <w:jc w:val="center"/>
              <w:rPr>
                <w:sz w:val="21"/>
              </w:rPr>
            </w:pPr>
            <w:r>
              <w:rPr>
                <w:spacing w:val="-3"/>
                <w:sz w:val="21"/>
              </w:rPr>
              <w:t>一般生态空间原则上按禁止开发区和限</w:t>
            </w:r>
            <w:r>
              <w:rPr>
                <w:spacing w:val="-14"/>
                <w:sz w:val="21"/>
              </w:rPr>
              <w:t>制开发区域的要求进行管理。对一般生态</w:t>
            </w:r>
            <w:r>
              <w:rPr>
                <w:spacing w:val="-3"/>
                <w:sz w:val="21"/>
              </w:rPr>
              <w:t>空间依法实行区域准入和用途转用许可</w:t>
            </w:r>
            <w:r>
              <w:rPr>
                <w:spacing w:val="-13"/>
                <w:sz w:val="21"/>
              </w:rPr>
              <w:t>制度，严格控制各类开发利用活动对生态</w:t>
            </w:r>
            <w:r>
              <w:rPr>
                <w:spacing w:val="-12"/>
                <w:sz w:val="21"/>
              </w:rPr>
              <w:t>空间的占用和扰动，确保依法保护的生态空间面积不减少，生态功能不降低，生态</w:t>
            </w:r>
            <w:r>
              <w:rPr>
                <w:spacing w:val="-2"/>
                <w:sz w:val="21"/>
              </w:rPr>
              <w:t>服务保障能力逐渐提高。</w:t>
            </w:r>
          </w:p>
          <w:p>
            <w:pPr>
              <w:pStyle w:val="TableParagraph"/>
              <w:spacing w:line="244" w:lineRule="auto"/>
              <w:ind w:left="111" w:right="57"/>
              <w:jc w:val="both"/>
              <w:rPr>
                <w:sz w:val="21"/>
              </w:rPr>
            </w:pPr>
            <w:r>
              <w:rPr>
                <w:spacing w:val="-11"/>
                <w:sz w:val="21"/>
              </w:rPr>
              <w:t>严格限制农业开发占用一般生态空间，符</w:t>
            </w:r>
            <w:r>
              <w:rPr>
                <w:spacing w:val="-12"/>
                <w:sz w:val="21"/>
              </w:rPr>
              <w:t>合条件的农业开发项目，须依法由市县级</w:t>
            </w:r>
            <w:r>
              <w:rPr>
                <w:spacing w:val="-11"/>
                <w:sz w:val="21"/>
              </w:rPr>
              <w:t>及以上地方人民政府统筹安排。生态保护</w:t>
            </w:r>
          </w:p>
          <w:p>
            <w:pPr>
              <w:pStyle w:val="TableParagraph"/>
              <w:spacing w:line="215" w:lineRule="exact"/>
              <w:ind w:left="108" w:right="57"/>
              <w:jc w:val="center"/>
              <w:rPr>
                <w:sz w:val="21"/>
              </w:rPr>
            </w:pPr>
            <w:r>
              <w:rPr>
                <w:spacing w:val="-3"/>
                <w:sz w:val="21"/>
              </w:rPr>
              <w:t>红线外的耕地，除符合国家生态退耕条</w:t>
            </w:r>
          </w:p>
        </w:tc>
        <w:tc>
          <w:tcPr>
            <w:tcW w:w="2035" w:type="dxa"/>
            <w:tcBorders>
              <w:top w:val="single" w:sz="6" w:space="0" w:color="000000"/>
              <w:left w:val="single" w:sz="6" w:space="0" w:color="000000"/>
              <w:bottom w:val="single" w:sz="24" w:space="0" w:color="000000"/>
              <w:right w:val="single" w:sz="12" w:space="0" w:color="000000"/>
            </w:tcBorders>
          </w:tcPr>
          <w:p>
            <w:pPr>
              <w:pStyle w:val="TableParagraph"/>
              <w:rPr>
                <w:sz w:val="20"/>
              </w:rPr>
            </w:pPr>
          </w:p>
          <w:p>
            <w:pPr>
              <w:pStyle w:val="TableParagraph"/>
              <w:rPr>
                <w:sz w:val="20"/>
              </w:rPr>
            </w:pPr>
          </w:p>
          <w:p>
            <w:pPr>
              <w:pStyle w:val="TableParagraph"/>
              <w:spacing w:before="2"/>
              <w:rPr>
                <w:sz w:val="23"/>
              </w:rPr>
            </w:pPr>
          </w:p>
          <w:p>
            <w:pPr>
              <w:pStyle w:val="TableParagraph"/>
              <w:ind w:left="135" w:right="72"/>
              <w:jc w:val="center"/>
              <w:rPr>
                <w:sz w:val="21"/>
              </w:rPr>
            </w:pPr>
            <w:r>
              <w:rPr>
                <w:sz w:val="21"/>
              </w:rPr>
              <w:t>本项目为河湖整治</w:t>
            </w:r>
          </w:p>
          <w:p>
            <w:pPr>
              <w:pStyle w:val="TableParagraph"/>
              <w:spacing w:before="5" w:line="242" w:lineRule="auto"/>
              <w:ind w:left="142" w:right="72"/>
              <w:jc w:val="center"/>
              <w:rPr>
                <w:sz w:val="21"/>
              </w:rPr>
            </w:pPr>
            <w:r>
              <w:rPr>
                <w:sz w:val="21"/>
              </w:rPr>
              <w:t>（</w:t>
            </w:r>
            <w:r>
              <w:rPr>
                <w:spacing w:val="-17"/>
                <w:sz w:val="21"/>
              </w:rPr>
              <w:t>不含农村塘堰、水</w:t>
            </w:r>
            <w:r>
              <w:rPr>
                <w:sz w:val="21"/>
              </w:rPr>
              <w:t>渠）</w:t>
            </w:r>
            <w:r>
              <w:rPr>
                <w:spacing w:val="-2"/>
                <w:sz w:val="21"/>
              </w:rPr>
              <w:t>及防洪除涝工</w:t>
            </w:r>
            <w:r>
              <w:rPr>
                <w:spacing w:val="-16"/>
                <w:sz w:val="21"/>
              </w:rPr>
              <w:t>程，属于对生态有力</w:t>
            </w:r>
            <w:r>
              <w:rPr>
                <w:spacing w:val="-1"/>
                <w:sz w:val="21"/>
              </w:rPr>
              <w:t>的建设。符合。</w:t>
            </w:r>
          </w:p>
        </w:tc>
        <w:tc>
          <w:tcPr>
            <w:tcW w:w="124"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spacing w:before="11"/>
        <w:rPr>
          <w:sz w:val="19"/>
        </w:rPr>
      </w:pPr>
    </w:p>
    <w:p>
      <w:pPr>
        <w:spacing w:before="59"/>
        <w:ind w:left="551" w:right="0" w:firstLine="0"/>
        <w:jc w:val="left"/>
        <w:rPr>
          <w:sz w:val="28"/>
        </w:rPr>
      </w:pPr>
      <w:r>
        <w:rPr>
          <w:sz w:val="28"/>
        </w:rPr>
        <w:t>—</w:t>
      </w:r>
      <w:r>
        <w:rPr>
          <w:sz w:val="26"/>
        </w:rPr>
        <w:t>1</w:t>
      </w:r>
      <w:r>
        <w:rPr>
          <w:sz w:val="28"/>
        </w:rPr>
        <w:t>—</w:t>
      </w:r>
    </w:p>
    <w:p>
      <w:pPr>
        <w:spacing w:after="0"/>
        <w:jc w:val="left"/>
        <w:rPr>
          <w:sz w:val="28"/>
        </w:rPr>
        <w:sectPr>
          <w:pgSz w:w="11910" w:h="16840"/>
          <w:pgMar w:top="1580" w:right="820" w:bottom="280" w:left="980" w:header="720" w:footer="720" w:gutter="0"/>
          <w:pgNumType w:start="6"/>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3868"/>
        <w:gridCol w:w="2035"/>
        <w:gridCol w:w="124"/>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80"/>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nil"/>
              <w:right w:val="single" w:sz="6" w:space="0" w:color="000000"/>
            </w:tcBorders>
          </w:tcPr>
          <w:p>
            <w:pPr>
              <w:pStyle w:val="TableParagraph"/>
              <w:spacing w:line="260" w:lineRule="exact"/>
              <w:ind w:left="197"/>
              <w:rPr>
                <w:sz w:val="21"/>
              </w:rPr>
            </w:pPr>
            <w:r>
              <w:rPr>
                <w:sz w:val="21"/>
              </w:rPr>
              <w:t>定的饮用</w:t>
            </w:r>
          </w:p>
        </w:tc>
        <w:tc>
          <w:tcPr>
            <w:tcW w:w="3868"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spacing w:line="242" w:lineRule="auto"/>
              <w:ind w:left="111" w:right="57"/>
              <w:jc w:val="center"/>
              <w:rPr>
                <w:sz w:val="21"/>
              </w:rPr>
            </w:pPr>
            <w:r>
              <w:rPr>
                <w:spacing w:val="-12"/>
                <w:sz w:val="21"/>
              </w:rPr>
              <w:t>件，并纳入国家生态退耕总体安排，或因</w:t>
            </w:r>
            <w:r>
              <w:rPr>
                <w:spacing w:val="-11"/>
                <w:sz w:val="21"/>
              </w:rPr>
              <w:t>国家重大生态工程建设需要外，不得随意</w:t>
            </w:r>
            <w:r>
              <w:rPr>
                <w:spacing w:val="-12"/>
                <w:sz w:val="21"/>
              </w:rPr>
              <w:t>转用。有序引导生态空间用途之间的相互转变，鼓励向有利于生态功能提升的方向转变，严格禁止不符合生态保护要求或有</w:t>
            </w:r>
            <w:r>
              <w:rPr>
                <w:spacing w:val="-2"/>
                <w:sz w:val="21"/>
              </w:rPr>
              <w:t>损生态功能的相互转换。</w:t>
            </w:r>
          </w:p>
          <w:p>
            <w:pPr>
              <w:pStyle w:val="TableParagraph"/>
              <w:spacing w:before="2" w:line="242" w:lineRule="auto"/>
              <w:ind w:left="111" w:right="57" w:hanging="1"/>
              <w:jc w:val="center"/>
              <w:rPr>
                <w:sz w:val="21"/>
              </w:rPr>
            </w:pPr>
            <w:r>
              <w:rPr>
                <w:spacing w:val="-11"/>
                <w:sz w:val="21"/>
              </w:rPr>
              <w:t>严格控制新增建设占用一般生态空间。符合区域准入条件的建设项目，涉及占用生</w:t>
            </w:r>
            <w:r>
              <w:rPr>
                <w:spacing w:val="-13"/>
                <w:sz w:val="21"/>
              </w:rPr>
              <w:t>态空间中的林地、草地等，按有关法律法</w:t>
            </w:r>
            <w:r>
              <w:rPr>
                <w:spacing w:val="-12"/>
                <w:sz w:val="21"/>
              </w:rPr>
              <w:t>规规定办理；涉及占用生态空间中其他未</w:t>
            </w:r>
            <w:r>
              <w:rPr>
                <w:spacing w:val="-11"/>
                <w:sz w:val="21"/>
              </w:rPr>
              <w:t>作明确规定的用地，加强论证和管理。鼓</w:t>
            </w:r>
            <w:r>
              <w:rPr>
                <w:spacing w:val="-12"/>
                <w:sz w:val="21"/>
              </w:rPr>
              <w:t>励结合土地综合整治、工矿废弃地复垦利用等各类工程实施，引导生态空间建设用</w:t>
            </w:r>
            <w:r>
              <w:rPr>
                <w:spacing w:val="-1"/>
                <w:sz w:val="21"/>
              </w:rPr>
              <w:t>地逐步有序退出。</w:t>
            </w:r>
          </w:p>
        </w:tc>
        <w:tc>
          <w:tcPr>
            <w:tcW w:w="2035" w:type="dxa"/>
            <w:vMerge w:val="restart"/>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4"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水水源地</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3" w:lineRule="exact"/>
              <w:ind w:left="197"/>
              <w:rPr>
                <w:sz w:val="21"/>
              </w:rPr>
            </w:pPr>
            <w:r>
              <w:rPr>
                <w:sz w:val="21"/>
              </w:rPr>
              <w:t>保护区、</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4" w:line="260" w:lineRule="exact"/>
              <w:ind w:left="303"/>
              <w:rPr>
                <w:sz w:val="21"/>
              </w:rPr>
            </w:pPr>
            <w:r>
              <w:rPr>
                <w:sz w:val="21"/>
              </w:rPr>
              <w:t>公园绿</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地、公益</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林，除此</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2" w:lineRule="exact"/>
              <w:ind w:left="197"/>
              <w:rPr>
                <w:sz w:val="21"/>
              </w:rPr>
            </w:pPr>
            <w:r>
              <w:rPr>
                <w:sz w:val="21"/>
              </w:rPr>
              <w:t>之外还包</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4" w:line="260" w:lineRule="exact"/>
              <w:ind w:left="197"/>
              <w:rPr>
                <w:sz w:val="21"/>
              </w:rPr>
            </w:pPr>
            <w:r>
              <w:rPr>
                <w:sz w:val="21"/>
              </w:rPr>
              <w:t>括评价确</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定的生态</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系统服务</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3" w:lineRule="exact"/>
              <w:ind w:left="197"/>
              <w:rPr>
                <w:sz w:val="21"/>
              </w:rPr>
            </w:pPr>
            <w:r>
              <w:rPr>
                <w:sz w:val="21"/>
              </w:rPr>
              <w:t>功能极重</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4" w:line="260" w:lineRule="exact"/>
              <w:ind w:left="110"/>
              <w:rPr>
                <w:sz w:val="21"/>
              </w:rPr>
            </w:pPr>
            <w:r>
              <w:rPr>
                <w:sz w:val="21"/>
              </w:rPr>
              <w:t>要区、重要</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区及生态</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97"/>
              <w:rPr>
                <w:sz w:val="21"/>
              </w:rPr>
            </w:pPr>
            <w:r>
              <w:rPr>
                <w:sz w:val="21"/>
              </w:rPr>
              <w:t>环境极敏</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spacing w:before="12" w:line="263" w:lineRule="exact"/>
              <w:ind w:left="110"/>
              <w:rPr>
                <w:sz w:val="21"/>
              </w:rPr>
            </w:pPr>
            <w:r>
              <w:rPr>
                <w:sz w:val="21"/>
              </w:rPr>
              <w:t>感区、敏感</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tcBorders>
              <w:top w:val="nil"/>
              <w:left w:val="single" w:sz="6" w:space="0" w:color="000000"/>
              <w:bottom w:val="single" w:sz="6" w:space="0" w:color="000000"/>
              <w:right w:val="single" w:sz="6" w:space="0" w:color="000000"/>
            </w:tcBorders>
          </w:tcPr>
          <w:p>
            <w:pPr>
              <w:pStyle w:val="TableParagraph"/>
              <w:spacing w:before="14"/>
              <w:ind w:left="408"/>
              <w:rPr>
                <w:sz w:val="21"/>
              </w:rPr>
            </w:pPr>
            <w:r>
              <w:rPr>
                <w:sz w:val="21"/>
              </w:rPr>
              <w:t>区。</w:t>
            </w:r>
          </w:p>
        </w:tc>
        <w:tc>
          <w:tcPr>
            <w:tcW w:w="3868" w:type="dxa"/>
            <w:vMerge/>
            <w:tcBorders>
              <w:top w:val="nil"/>
              <w:left w:val="single" w:sz="6" w:space="0" w:color="000000"/>
              <w:bottom w:val="single" w:sz="6" w:space="0" w:color="000000"/>
              <w:right w:val="single" w:sz="6" w:space="0" w:color="000000"/>
            </w:tcBorders>
          </w:tcPr>
          <w:p>
            <w:pPr>
              <w:rPr>
                <w:sz w:val="2"/>
                <w:szCs w:val="2"/>
              </w:rPr>
            </w:pP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0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7902" w:type="dxa"/>
            <w:gridSpan w:val="4"/>
            <w:tcBorders>
              <w:top w:val="single" w:sz="6" w:space="0" w:color="000000"/>
              <w:left w:val="single" w:sz="12" w:space="0" w:color="000000"/>
              <w:bottom w:val="single" w:sz="6" w:space="0" w:color="000000"/>
              <w:right w:val="single" w:sz="12" w:space="0" w:color="000000"/>
            </w:tcBorders>
          </w:tcPr>
          <w:p>
            <w:pPr>
              <w:pStyle w:val="TableParagraph"/>
              <w:spacing w:line="263" w:lineRule="exact"/>
              <w:ind w:left="2055" w:right="2030"/>
              <w:jc w:val="center"/>
              <w:rPr>
                <w:b/>
                <w:sz w:val="21"/>
              </w:rPr>
            </w:pPr>
            <w:r>
              <w:rPr>
                <w:rFonts w:ascii="Times New Roman" w:eastAsia="Times New Roman"/>
                <w:b/>
                <w:sz w:val="21"/>
              </w:rPr>
              <w:t>2.</w:t>
            </w:r>
            <w:r>
              <w:rPr>
                <w:b/>
                <w:sz w:val="21"/>
              </w:rPr>
              <w:t>环境质量底线及分区管控</w:t>
            </w:r>
          </w:p>
        </w:tc>
        <w:tc>
          <w:tcPr>
            <w:tcW w:w="124"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3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rPr>
                <w:rFonts w:ascii="Times New Roman"/>
                <w:sz w:val="20"/>
              </w:rPr>
            </w:pPr>
          </w:p>
        </w:tc>
        <w:tc>
          <w:tcPr>
            <w:tcW w:w="1344" w:type="dxa"/>
            <w:tcBorders>
              <w:top w:val="single" w:sz="6" w:space="0" w:color="000000"/>
              <w:left w:val="single" w:sz="6" w:space="0" w:color="000000"/>
              <w:bottom w:val="nil"/>
              <w:right w:val="single" w:sz="6" w:space="0" w:color="000000"/>
            </w:tcBorders>
          </w:tcPr>
          <w:p>
            <w:pPr>
              <w:pStyle w:val="TableParagraph"/>
              <w:rPr>
                <w:rFonts w:ascii="Times New Roman"/>
                <w:sz w:val="20"/>
              </w:rPr>
            </w:pPr>
          </w:p>
        </w:tc>
        <w:tc>
          <w:tcPr>
            <w:tcW w:w="3868" w:type="dxa"/>
            <w:tcBorders>
              <w:top w:val="single" w:sz="6" w:space="0" w:color="000000"/>
              <w:left w:val="single" w:sz="6" w:space="0" w:color="000000"/>
              <w:bottom w:val="nil"/>
              <w:right w:val="single" w:sz="6" w:space="0" w:color="000000"/>
            </w:tcBorders>
          </w:tcPr>
          <w:p>
            <w:pPr>
              <w:pStyle w:val="TableParagraph"/>
              <w:spacing w:before="56" w:line="257" w:lineRule="exact"/>
              <w:ind w:left="59" w:right="178"/>
              <w:jc w:val="center"/>
              <w:rPr>
                <w:sz w:val="21"/>
              </w:rPr>
            </w:pPr>
            <w:r>
              <w:rPr>
                <w:sz w:val="21"/>
              </w:rPr>
              <w:t>执行《区域性大气污染物综合排放标</w:t>
            </w:r>
          </w:p>
        </w:tc>
        <w:tc>
          <w:tcPr>
            <w:tcW w:w="2035" w:type="dxa"/>
            <w:tcBorders>
              <w:top w:val="single" w:sz="6" w:space="0" w:color="000000"/>
              <w:left w:val="single" w:sz="6" w:space="0" w:color="000000"/>
              <w:bottom w:val="nil"/>
              <w:right w:val="single" w:sz="12" w:space="0" w:color="000000"/>
            </w:tcBorders>
          </w:tcPr>
          <w:p>
            <w:pPr>
              <w:pStyle w:val="TableParagraph"/>
              <w:rPr>
                <w:rFonts w:ascii="Times New Roman"/>
                <w:sz w:val="20"/>
              </w:rPr>
            </w:pPr>
          </w:p>
        </w:tc>
        <w:tc>
          <w:tcPr>
            <w:tcW w:w="124"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0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15"/>
              <w:ind w:left="65" w:right="178"/>
              <w:jc w:val="center"/>
              <w:rPr>
                <w:sz w:val="21"/>
              </w:rPr>
            </w:pPr>
            <w:r>
              <w:rPr>
                <w:sz w:val="21"/>
              </w:rPr>
              <w:t>准》（</w:t>
            </w:r>
            <w:r>
              <w:rPr>
                <w:rFonts w:ascii="Times New Roman" w:eastAsia="Times New Roman"/>
                <w:sz w:val="21"/>
              </w:rPr>
              <w:t>DB37/2376-2019</w:t>
            </w:r>
            <w:r>
              <w:rPr>
                <w:sz w:val="21"/>
              </w:rPr>
              <w:t>）规定的重点控</w:t>
            </w:r>
          </w:p>
        </w:tc>
        <w:tc>
          <w:tcPr>
            <w:tcW w:w="2035" w:type="dxa"/>
            <w:tcBorders>
              <w:top w:val="nil"/>
              <w:left w:val="single" w:sz="6" w:space="0" w:color="000000"/>
              <w:bottom w:val="nil"/>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4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6"/>
              <w:ind w:left="183"/>
              <w:rPr>
                <w:sz w:val="21"/>
              </w:rPr>
            </w:pPr>
            <w:r>
              <w:rPr>
                <w:spacing w:val="-3"/>
                <w:sz w:val="21"/>
              </w:rPr>
              <w:t>制区标准。该区域为大气环境存量污</w:t>
            </w:r>
          </w:p>
          <w:p>
            <w:pPr>
              <w:pStyle w:val="TableParagraph"/>
              <w:spacing w:before="43" w:line="207" w:lineRule="exact"/>
              <w:ind w:left="183"/>
              <w:rPr>
                <w:sz w:val="21"/>
              </w:rPr>
            </w:pPr>
            <w:r>
              <w:rPr>
                <w:spacing w:val="-3"/>
                <w:sz w:val="21"/>
              </w:rPr>
              <w:t>染源重点治理和新增污染源严格管控</w:t>
            </w:r>
          </w:p>
        </w:tc>
        <w:tc>
          <w:tcPr>
            <w:tcW w:w="2035" w:type="dxa"/>
            <w:tcBorders>
              <w:top w:val="nil"/>
              <w:left w:val="single" w:sz="6" w:space="0" w:color="000000"/>
              <w:bottom w:val="nil"/>
              <w:right w:val="single" w:sz="12" w:space="0" w:color="000000"/>
            </w:tcBorders>
          </w:tcPr>
          <w:p>
            <w:pPr>
              <w:pStyle w:val="TableParagraph"/>
              <w:spacing w:before="7"/>
              <w:rPr>
                <w:sz w:val="16"/>
              </w:rPr>
            </w:pPr>
          </w:p>
          <w:p>
            <w:pPr>
              <w:pStyle w:val="TableParagraph"/>
              <w:spacing w:before="1"/>
              <w:ind w:left="77" w:right="72"/>
              <w:jc w:val="center"/>
              <w:rPr>
                <w:sz w:val="21"/>
              </w:rPr>
            </w:pPr>
            <w:r>
              <w:rPr>
                <w:sz w:val="21"/>
              </w:rPr>
              <w:t>本项目为河湖整治</w:t>
            </w: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64" w:line="207" w:lineRule="exact"/>
              <w:ind w:left="59" w:right="178"/>
              <w:jc w:val="center"/>
              <w:rPr>
                <w:sz w:val="21"/>
              </w:rPr>
            </w:pPr>
            <w:r>
              <w:rPr>
                <w:sz w:val="21"/>
              </w:rPr>
              <w:t>区域，根据区域产业性质和污染排放</w:t>
            </w:r>
          </w:p>
        </w:tc>
        <w:tc>
          <w:tcPr>
            <w:tcW w:w="2035" w:type="dxa"/>
            <w:tcBorders>
              <w:top w:val="nil"/>
              <w:left w:val="single" w:sz="6" w:space="0" w:color="000000"/>
              <w:bottom w:val="nil"/>
              <w:right w:val="single" w:sz="12" w:space="0" w:color="000000"/>
            </w:tcBorders>
          </w:tcPr>
          <w:p>
            <w:pPr>
              <w:pStyle w:val="TableParagraph"/>
              <w:spacing w:line="228" w:lineRule="exact"/>
              <w:ind w:left="46" w:right="36"/>
              <w:jc w:val="center"/>
              <w:rPr>
                <w:sz w:val="21"/>
              </w:rPr>
            </w:pPr>
            <w:r>
              <w:rPr>
                <w:sz w:val="21"/>
              </w:rPr>
              <w:t>（不含农村塘堰、水</w:t>
            </w: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7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before="11"/>
              <w:rPr>
                <w:sz w:val="21"/>
              </w:rPr>
            </w:pPr>
          </w:p>
          <w:p>
            <w:pPr>
              <w:pStyle w:val="TableParagraph"/>
              <w:ind w:left="114"/>
              <w:rPr>
                <w:rFonts w:ascii="Times New Roman"/>
                <w:sz w:val="21"/>
              </w:rPr>
            </w:pPr>
            <w:r>
              <w:rPr>
                <w:rFonts w:ascii="Times New Roman"/>
                <w:sz w:val="21"/>
              </w:rPr>
              <w:t>2.1.1</w:t>
            </w:r>
          </w:p>
          <w:p>
            <w:pPr>
              <w:pStyle w:val="TableParagraph"/>
              <w:spacing w:before="47" w:line="280" w:lineRule="auto"/>
              <w:ind w:left="114" w:right="93"/>
              <w:jc w:val="both"/>
              <w:rPr>
                <w:sz w:val="21"/>
              </w:rPr>
            </w:pPr>
            <w:r>
              <w:rPr>
                <w:spacing w:val="-9"/>
                <w:sz w:val="21"/>
              </w:rPr>
              <w:t>大气环境质量底线</w:t>
            </w:r>
          </w:p>
        </w:tc>
        <w:tc>
          <w:tcPr>
            <w:tcW w:w="1344" w:type="dxa"/>
            <w:tcBorders>
              <w:top w:val="nil"/>
              <w:left w:val="single" w:sz="6" w:space="0" w:color="000000"/>
              <w:bottom w:val="nil"/>
              <w:right w:val="single" w:sz="6" w:space="0" w:color="000000"/>
            </w:tcBorders>
          </w:tcPr>
          <w:p>
            <w:pPr>
              <w:pStyle w:val="TableParagraph"/>
              <w:spacing w:before="2"/>
              <w:rPr>
                <w:sz w:val="21"/>
              </w:rPr>
            </w:pPr>
          </w:p>
          <w:p>
            <w:pPr>
              <w:pStyle w:val="TableParagraph"/>
              <w:spacing w:line="278" w:lineRule="auto"/>
              <w:ind w:left="149" w:right="121"/>
              <w:jc w:val="center"/>
              <w:rPr>
                <w:sz w:val="21"/>
              </w:rPr>
            </w:pPr>
            <w:r>
              <w:rPr>
                <w:sz w:val="21"/>
              </w:rPr>
              <w:t>大气环境高排放重点管控区（德州经济技术开发区）</w:t>
            </w:r>
          </w:p>
        </w:tc>
        <w:tc>
          <w:tcPr>
            <w:tcW w:w="3868" w:type="dxa"/>
            <w:tcBorders>
              <w:top w:val="nil"/>
              <w:left w:val="single" w:sz="6" w:space="0" w:color="000000"/>
              <w:bottom w:val="nil"/>
              <w:right w:val="single" w:sz="6" w:space="0" w:color="000000"/>
            </w:tcBorders>
          </w:tcPr>
          <w:p>
            <w:pPr>
              <w:pStyle w:val="TableParagraph"/>
              <w:spacing w:before="64" w:line="283" w:lineRule="auto"/>
              <w:ind w:left="183" w:right="302"/>
              <w:jc w:val="center"/>
              <w:rPr>
                <w:sz w:val="21"/>
              </w:rPr>
            </w:pPr>
            <w:r>
              <w:rPr>
                <w:sz w:val="21"/>
              </w:rPr>
              <w:t>特征实施重点减排。控制工业园及产业聚集区发展规模，严格控制“两</w:t>
            </w:r>
          </w:p>
          <w:p>
            <w:pPr>
              <w:pStyle w:val="TableParagraph"/>
              <w:spacing w:line="280" w:lineRule="auto"/>
              <w:ind w:left="111" w:right="225" w:hanging="1"/>
              <w:jc w:val="center"/>
              <w:rPr>
                <w:sz w:val="21"/>
              </w:rPr>
            </w:pPr>
            <w:r>
              <w:rPr>
                <w:spacing w:val="-11"/>
                <w:sz w:val="21"/>
              </w:rPr>
              <w:t>高”项目建设</w:t>
            </w:r>
            <w:r>
              <w:rPr>
                <w:sz w:val="21"/>
              </w:rPr>
              <w:t>（</w:t>
            </w:r>
            <w:r>
              <w:rPr>
                <w:spacing w:val="-6"/>
                <w:sz w:val="21"/>
              </w:rPr>
              <w:t>按照山东省“两高”项</w:t>
            </w:r>
            <w:r>
              <w:rPr>
                <w:spacing w:val="-1"/>
                <w:sz w:val="21"/>
              </w:rPr>
              <w:t>目管理名录确定</w:t>
            </w:r>
            <w:r>
              <w:rPr>
                <w:spacing w:val="-32"/>
                <w:sz w:val="21"/>
              </w:rPr>
              <w:t>）</w:t>
            </w:r>
            <w:r>
              <w:rPr>
                <w:spacing w:val="-8"/>
                <w:sz w:val="21"/>
              </w:rPr>
              <w:t>，建设项目新增主要</w:t>
            </w:r>
            <w:r>
              <w:rPr>
                <w:spacing w:val="-3"/>
                <w:sz w:val="21"/>
              </w:rPr>
              <w:t>污染物总量指标原则上实施二倍量替代”（按鲁环发</w:t>
            </w:r>
            <w:r>
              <w:rPr>
                <w:rFonts w:ascii="Times New Roman" w:eastAsia="Times New Roman" w:hAnsi="Times New Roman"/>
                <w:sz w:val="21"/>
              </w:rPr>
              <w:t xml:space="preserve">[2019]132 </w:t>
            </w:r>
            <w:r>
              <w:rPr>
                <w:spacing w:val="-2"/>
                <w:sz w:val="21"/>
              </w:rPr>
              <w:t>号要求执</w:t>
            </w:r>
          </w:p>
          <w:p>
            <w:pPr>
              <w:pStyle w:val="TableParagraph"/>
              <w:spacing w:line="201" w:lineRule="exact"/>
              <w:ind w:left="59" w:right="178"/>
              <w:jc w:val="center"/>
              <w:rPr>
                <w:sz w:val="21"/>
              </w:rPr>
            </w:pPr>
            <w:r>
              <w:rPr>
                <w:sz w:val="21"/>
              </w:rPr>
              <w:t>行），持续降低园区内污染物排放总</w:t>
            </w:r>
          </w:p>
        </w:tc>
        <w:tc>
          <w:tcPr>
            <w:tcW w:w="2035" w:type="dxa"/>
            <w:tcBorders>
              <w:top w:val="nil"/>
              <w:left w:val="single" w:sz="6" w:space="0" w:color="000000"/>
              <w:bottom w:val="nil"/>
              <w:right w:val="single" w:sz="12" w:space="0" w:color="000000"/>
            </w:tcBorders>
          </w:tcPr>
          <w:p>
            <w:pPr>
              <w:pStyle w:val="TableParagraph"/>
              <w:spacing w:line="228" w:lineRule="exact"/>
              <w:ind w:left="166"/>
              <w:rPr>
                <w:sz w:val="21"/>
              </w:rPr>
            </w:pPr>
            <w:r>
              <w:rPr>
                <w:sz w:val="21"/>
              </w:rPr>
              <w:t>渠）及防洪除涝工</w:t>
            </w:r>
          </w:p>
          <w:p>
            <w:pPr>
              <w:pStyle w:val="TableParagraph"/>
              <w:spacing w:before="43" w:line="278" w:lineRule="auto"/>
              <w:ind w:left="85" w:right="29"/>
              <w:jc w:val="both"/>
              <w:rPr>
                <w:sz w:val="21"/>
              </w:rPr>
            </w:pPr>
            <w:r>
              <w:rPr>
                <w:sz w:val="21"/>
              </w:rPr>
              <w:t>程，营运期不涉及大气污染物排放。项目不属于火电、石化、化工、冶金、钢铁和建材等项目，运营期</w:t>
            </w:r>
          </w:p>
          <w:p>
            <w:pPr>
              <w:pStyle w:val="TableParagraph"/>
              <w:spacing w:before="9"/>
              <w:ind w:left="85"/>
              <w:rPr>
                <w:sz w:val="21"/>
              </w:rPr>
            </w:pPr>
            <w:r>
              <w:rPr>
                <w:sz w:val="21"/>
              </w:rPr>
              <w:t>无大气污染物排放，</w:t>
            </w: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64" w:line="207" w:lineRule="exact"/>
              <w:ind w:left="59" w:right="178"/>
              <w:jc w:val="center"/>
              <w:rPr>
                <w:sz w:val="21"/>
              </w:rPr>
            </w:pPr>
            <w:r>
              <w:rPr>
                <w:sz w:val="21"/>
              </w:rPr>
              <w:t>量。新上天然气锅炉配套低氮燃烧设</w:t>
            </w:r>
          </w:p>
        </w:tc>
        <w:tc>
          <w:tcPr>
            <w:tcW w:w="2035" w:type="dxa"/>
            <w:tcBorders>
              <w:top w:val="nil"/>
              <w:left w:val="single" w:sz="6" w:space="0" w:color="000000"/>
              <w:bottom w:val="nil"/>
              <w:right w:val="single" w:sz="12" w:space="0" w:color="000000"/>
            </w:tcBorders>
          </w:tcPr>
          <w:p>
            <w:pPr>
              <w:pStyle w:val="TableParagraph"/>
              <w:spacing w:line="228" w:lineRule="exact"/>
              <w:ind w:left="77" w:right="72"/>
              <w:jc w:val="center"/>
              <w:rPr>
                <w:sz w:val="21"/>
              </w:rPr>
            </w:pPr>
            <w:r>
              <w:rPr>
                <w:sz w:val="21"/>
              </w:rPr>
              <w:t>不涉及总量控制指</w:t>
            </w: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4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65" w:line="263" w:lineRule="exact"/>
              <w:ind w:left="59" w:right="178"/>
              <w:jc w:val="center"/>
              <w:rPr>
                <w:sz w:val="21"/>
              </w:rPr>
            </w:pPr>
            <w:r>
              <w:rPr>
                <w:sz w:val="21"/>
              </w:rPr>
              <w:t>施。严格落实大气污染物达标排放、</w:t>
            </w:r>
          </w:p>
        </w:tc>
        <w:tc>
          <w:tcPr>
            <w:tcW w:w="2035" w:type="dxa"/>
            <w:tcBorders>
              <w:top w:val="nil"/>
              <w:left w:val="single" w:sz="6" w:space="0" w:color="000000"/>
              <w:bottom w:val="nil"/>
              <w:right w:val="single" w:sz="12" w:space="0" w:color="000000"/>
            </w:tcBorders>
          </w:tcPr>
          <w:p>
            <w:pPr>
              <w:pStyle w:val="TableParagraph"/>
              <w:spacing w:line="228" w:lineRule="exact"/>
              <w:ind w:left="82" w:right="72"/>
              <w:jc w:val="center"/>
              <w:rPr>
                <w:sz w:val="21"/>
              </w:rPr>
            </w:pPr>
            <w:r>
              <w:rPr>
                <w:sz w:val="21"/>
              </w:rPr>
              <w:t>标。符合。</w:t>
            </w: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68" w:type="dxa"/>
            <w:tcBorders>
              <w:top w:val="nil"/>
              <w:left w:val="single" w:sz="6" w:space="0" w:color="000000"/>
              <w:bottom w:val="nil"/>
              <w:right w:val="single" w:sz="6" w:space="0" w:color="000000"/>
            </w:tcBorders>
          </w:tcPr>
          <w:p>
            <w:pPr>
              <w:pStyle w:val="TableParagraph"/>
              <w:spacing w:before="14" w:line="260" w:lineRule="exact"/>
              <w:ind w:left="60" w:right="178"/>
              <w:jc w:val="center"/>
              <w:rPr>
                <w:sz w:val="21"/>
              </w:rPr>
            </w:pPr>
            <w:r>
              <w:rPr>
                <w:sz w:val="21"/>
              </w:rPr>
              <w:t>总量控制、环保设施“三同时”、在</w:t>
            </w:r>
          </w:p>
        </w:tc>
        <w:tc>
          <w:tcPr>
            <w:tcW w:w="2035" w:type="dxa"/>
            <w:tcBorders>
              <w:top w:val="nil"/>
              <w:left w:val="single" w:sz="6" w:space="0" w:color="000000"/>
              <w:bottom w:val="nil"/>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tcBorders>
              <w:top w:val="nil"/>
              <w:left w:val="single" w:sz="6" w:space="0" w:color="000000"/>
              <w:bottom w:val="single" w:sz="6" w:space="0" w:color="000000"/>
              <w:right w:val="single" w:sz="6" w:space="0" w:color="000000"/>
            </w:tcBorders>
          </w:tcPr>
          <w:p>
            <w:pPr>
              <w:pStyle w:val="TableParagraph"/>
              <w:rPr>
                <w:rFonts w:ascii="Times New Roman"/>
                <w:sz w:val="20"/>
              </w:rPr>
            </w:pPr>
          </w:p>
        </w:tc>
        <w:tc>
          <w:tcPr>
            <w:tcW w:w="3868" w:type="dxa"/>
            <w:tcBorders>
              <w:top w:val="nil"/>
              <w:left w:val="single" w:sz="6" w:space="0" w:color="000000"/>
              <w:bottom w:val="single" w:sz="6" w:space="0" w:color="000000"/>
              <w:right w:val="single" w:sz="6" w:space="0" w:color="000000"/>
            </w:tcBorders>
          </w:tcPr>
          <w:p>
            <w:pPr>
              <w:pStyle w:val="TableParagraph"/>
              <w:spacing w:before="12"/>
              <w:ind w:left="59" w:right="178"/>
              <w:jc w:val="center"/>
              <w:rPr>
                <w:sz w:val="21"/>
              </w:rPr>
            </w:pPr>
            <w:r>
              <w:rPr>
                <w:sz w:val="21"/>
              </w:rPr>
              <w:t>线监测和排污许可等环保制度。</w:t>
            </w:r>
          </w:p>
        </w:tc>
        <w:tc>
          <w:tcPr>
            <w:tcW w:w="2035" w:type="dxa"/>
            <w:tcBorders>
              <w:top w:val="nil"/>
              <w:left w:val="single" w:sz="6" w:space="0" w:color="000000"/>
              <w:bottom w:val="single" w:sz="6" w:space="0" w:color="000000"/>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3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rPr>
                <w:rFonts w:ascii="Times New Roman"/>
                <w:sz w:val="20"/>
              </w:rPr>
            </w:pPr>
          </w:p>
        </w:tc>
        <w:tc>
          <w:tcPr>
            <w:tcW w:w="1344" w:type="dxa"/>
            <w:tcBorders>
              <w:top w:val="single" w:sz="6" w:space="0" w:color="000000"/>
              <w:left w:val="single" w:sz="6" w:space="0" w:color="000000"/>
              <w:bottom w:val="nil"/>
              <w:right w:val="single" w:sz="6" w:space="0" w:color="000000"/>
            </w:tcBorders>
          </w:tcPr>
          <w:p>
            <w:pPr>
              <w:pStyle w:val="TableParagraph"/>
              <w:spacing w:before="1"/>
              <w:rPr>
                <w:sz w:val="14"/>
              </w:rPr>
            </w:pPr>
          </w:p>
          <w:p>
            <w:pPr>
              <w:pStyle w:val="TableParagraph"/>
              <w:spacing w:line="234" w:lineRule="exact"/>
              <w:ind w:right="121"/>
              <w:jc w:val="right"/>
              <w:rPr>
                <w:sz w:val="21"/>
              </w:rPr>
            </w:pPr>
            <w:r>
              <w:rPr>
                <w:sz w:val="21"/>
              </w:rPr>
              <w:t>水环境工业</w:t>
            </w:r>
          </w:p>
        </w:tc>
        <w:tc>
          <w:tcPr>
            <w:tcW w:w="3868" w:type="dxa"/>
            <w:vMerge w:val="restart"/>
            <w:tcBorders>
              <w:top w:val="single" w:sz="6" w:space="0" w:color="000000"/>
              <w:left w:val="single" w:sz="6" w:space="0" w:color="000000"/>
              <w:bottom w:val="single" w:sz="24" w:space="0" w:color="000000"/>
              <w:right w:val="single" w:sz="6" w:space="0" w:color="000000"/>
            </w:tcBorders>
          </w:tcPr>
          <w:p>
            <w:pPr>
              <w:pStyle w:val="TableParagraph"/>
              <w:spacing w:before="56" w:line="280" w:lineRule="auto"/>
              <w:ind w:left="183" w:right="302"/>
              <w:jc w:val="both"/>
              <w:rPr>
                <w:sz w:val="21"/>
              </w:rPr>
            </w:pPr>
            <w:r>
              <w:rPr>
                <w:spacing w:val="-4"/>
                <w:sz w:val="21"/>
              </w:rPr>
              <w:t>涉及高耗水、高污染物排放、产生有毒有害污染物的建设项目从严审批， 禁止新建、改扩建不符合国家产业政策严重污染水环境的落后产能，禁止建设加剧环境质量超标的建设项目。对造纸、焦化、氮肥、印染、农副产品加工、原料药制造、制革、农药、</w:t>
            </w:r>
          </w:p>
          <w:p>
            <w:pPr>
              <w:pStyle w:val="TableParagraph"/>
              <w:spacing w:line="251" w:lineRule="exact"/>
              <w:ind w:left="183"/>
              <w:rPr>
                <w:sz w:val="21"/>
              </w:rPr>
            </w:pPr>
            <w:r>
              <w:rPr>
                <w:spacing w:val="-1"/>
                <w:sz w:val="21"/>
              </w:rPr>
              <w:t>电镀等重点行业</w:t>
            </w:r>
            <w:r>
              <w:rPr>
                <w:sz w:val="21"/>
              </w:rPr>
              <w:t>（</w:t>
            </w:r>
            <w:r>
              <w:rPr>
                <w:spacing w:val="-3"/>
                <w:sz w:val="21"/>
              </w:rPr>
              <w:t>国家鼓励发展的除</w:t>
            </w:r>
          </w:p>
        </w:tc>
        <w:tc>
          <w:tcPr>
            <w:tcW w:w="2035" w:type="dxa"/>
            <w:vMerge w:val="restart"/>
            <w:tcBorders>
              <w:top w:val="single" w:sz="6" w:space="0" w:color="000000"/>
              <w:left w:val="single" w:sz="6" w:space="0" w:color="000000"/>
              <w:bottom w:val="single" w:sz="24" w:space="0" w:color="000000"/>
              <w:right w:val="single" w:sz="12" w:space="0" w:color="000000"/>
            </w:tcBorders>
          </w:tcPr>
          <w:p>
            <w:pPr>
              <w:pStyle w:val="TableParagraph"/>
              <w:spacing w:before="27"/>
              <w:ind w:left="166"/>
              <w:rPr>
                <w:sz w:val="21"/>
              </w:rPr>
            </w:pPr>
            <w:r>
              <w:rPr>
                <w:sz w:val="21"/>
              </w:rPr>
              <w:t>本项目为河湖整治</w:t>
            </w:r>
          </w:p>
          <w:p>
            <w:pPr>
              <w:pStyle w:val="TableParagraph"/>
              <w:spacing w:before="43" w:line="278" w:lineRule="auto"/>
              <w:ind w:left="85" w:right="29"/>
              <w:rPr>
                <w:sz w:val="21"/>
              </w:rPr>
            </w:pPr>
            <w:r>
              <w:rPr>
                <w:sz w:val="21"/>
              </w:rPr>
              <w:t>（</w:t>
            </w:r>
            <w:r>
              <w:rPr>
                <w:spacing w:val="-7"/>
                <w:sz w:val="21"/>
              </w:rPr>
              <w:t>不含农村塘堰、水渠）</w:t>
            </w:r>
            <w:r>
              <w:rPr>
                <w:spacing w:val="-5"/>
                <w:sz w:val="21"/>
              </w:rPr>
              <w:t xml:space="preserve">及防洪除涝工 </w:t>
            </w:r>
            <w:r>
              <w:rPr>
                <w:spacing w:val="-8"/>
                <w:sz w:val="21"/>
              </w:rPr>
              <w:t>程，包含清淤疏浚技术，不属于高污染物排放、产生有毒有害污染物的建设项目，</w:t>
            </w:r>
          </w:p>
          <w:p>
            <w:pPr>
              <w:pStyle w:val="TableParagraph"/>
              <w:spacing w:before="9"/>
              <w:ind w:left="85"/>
              <w:rPr>
                <w:sz w:val="21"/>
              </w:rPr>
            </w:pPr>
            <w:r>
              <w:rPr>
                <w:spacing w:val="-1"/>
                <w:sz w:val="21"/>
              </w:rPr>
              <w:t>不属于造纸、焦化、</w:t>
            </w:r>
          </w:p>
        </w:tc>
        <w:tc>
          <w:tcPr>
            <w:tcW w:w="124"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5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before="6" w:line="230" w:lineRule="exact"/>
              <w:ind w:left="87" w:right="68"/>
              <w:jc w:val="center"/>
              <w:rPr>
                <w:rFonts w:ascii="Times New Roman"/>
                <w:sz w:val="21"/>
              </w:rPr>
            </w:pPr>
            <w:r>
              <w:rPr>
                <w:rFonts w:ascii="Times New Roman"/>
                <w:sz w:val="21"/>
              </w:rPr>
              <w:t>2.2.1</w:t>
            </w:r>
          </w:p>
        </w:tc>
        <w:tc>
          <w:tcPr>
            <w:tcW w:w="1344" w:type="dxa"/>
            <w:tcBorders>
              <w:top w:val="nil"/>
              <w:left w:val="single" w:sz="6" w:space="0" w:color="000000"/>
              <w:bottom w:val="nil"/>
              <w:right w:val="single" w:sz="6" w:space="0" w:color="000000"/>
            </w:tcBorders>
          </w:tcPr>
          <w:p>
            <w:pPr>
              <w:pStyle w:val="TableParagraph"/>
              <w:spacing w:before="2" w:line="234" w:lineRule="exact"/>
              <w:ind w:right="121"/>
              <w:jc w:val="right"/>
              <w:rPr>
                <w:sz w:val="21"/>
              </w:rPr>
            </w:pPr>
            <w:r>
              <w:rPr>
                <w:sz w:val="21"/>
              </w:rPr>
              <w:t>污染重点管</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4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29" w:lineRule="exact"/>
              <w:ind w:left="87" w:right="68"/>
              <w:jc w:val="center"/>
              <w:rPr>
                <w:sz w:val="21"/>
              </w:rPr>
            </w:pPr>
            <w:r>
              <w:rPr>
                <w:sz w:val="21"/>
              </w:rPr>
              <w:t>水环</w:t>
            </w:r>
          </w:p>
        </w:tc>
        <w:tc>
          <w:tcPr>
            <w:tcW w:w="1344" w:type="dxa"/>
            <w:tcBorders>
              <w:top w:val="nil"/>
              <w:left w:val="single" w:sz="6" w:space="0" w:color="000000"/>
              <w:bottom w:val="nil"/>
              <w:right w:val="single" w:sz="6" w:space="0" w:color="000000"/>
            </w:tcBorders>
          </w:tcPr>
          <w:p>
            <w:pPr>
              <w:pStyle w:val="TableParagraph"/>
              <w:spacing w:line="229" w:lineRule="exact"/>
              <w:ind w:right="121"/>
              <w:jc w:val="right"/>
              <w:rPr>
                <w:sz w:val="21"/>
              </w:rPr>
            </w:pPr>
            <w:r>
              <w:rPr>
                <w:sz w:val="21"/>
              </w:rPr>
              <w:t>控区（宋官</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4" w:lineRule="exact"/>
              <w:ind w:left="87" w:right="68"/>
              <w:jc w:val="center"/>
              <w:rPr>
                <w:sz w:val="21"/>
              </w:rPr>
            </w:pPr>
            <w:r>
              <w:rPr>
                <w:sz w:val="21"/>
              </w:rPr>
              <w:t>境质</w:t>
            </w:r>
          </w:p>
        </w:tc>
        <w:tc>
          <w:tcPr>
            <w:tcW w:w="1344" w:type="dxa"/>
            <w:tcBorders>
              <w:top w:val="nil"/>
              <w:left w:val="single" w:sz="6" w:space="0" w:color="000000"/>
              <w:bottom w:val="nil"/>
              <w:right w:val="single" w:sz="6" w:space="0" w:color="000000"/>
            </w:tcBorders>
          </w:tcPr>
          <w:p>
            <w:pPr>
              <w:pStyle w:val="TableParagraph"/>
              <w:spacing w:before="1" w:line="233" w:lineRule="exact"/>
              <w:ind w:right="121"/>
              <w:jc w:val="right"/>
              <w:rPr>
                <w:sz w:val="21"/>
              </w:rPr>
            </w:pPr>
            <w:r>
              <w:rPr>
                <w:sz w:val="21"/>
              </w:rPr>
              <w:t>屯街道控制</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2" w:lineRule="exact"/>
              <w:ind w:left="87" w:right="68"/>
              <w:jc w:val="center"/>
              <w:rPr>
                <w:sz w:val="21"/>
              </w:rPr>
            </w:pPr>
            <w:r>
              <w:rPr>
                <w:sz w:val="21"/>
              </w:rPr>
              <w:t>量底</w:t>
            </w:r>
          </w:p>
        </w:tc>
        <w:tc>
          <w:tcPr>
            <w:tcW w:w="1344" w:type="dxa"/>
            <w:tcBorders>
              <w:top w:val="nil"/>
              <w:left w:val="single" w:sz="6" w:space="0" w:color="000000"/>
              <w:bottom w:val="nil"/>
              <w:right w:val="single" w:sz="6" w:space="0" w:color="000000"/>
            </w:tcBorders>
          </w:tcPr>
          <w:p>
            <w:pPr>
              <w:pStyle w:val="TableParagraph"/>
              <w:spacing w:line="232" w:lineRule="exact"/>
              <w:ind w:right="121"/>
              <w:jc w:val="right"/>
              <w:rPr>
                <w:sz w:val="21"/>
              </w:rPr>
            </w:pPr>
            <w:r>
              <w:rPr>
                <w:sz w:val="21"/>
              </w:rPr>
              <w:t>单元及袁桥</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44" w:lineRule="exact"/>
              <w:ind w:left="10"/>
              <w:jc w:val="center"/>
              <w:rPr>
                <w:sz w:val="21"/>
              </w:rPr>
            </w:pPr>
            <w:r>
              <w:rPr>
                <w:w w:val="100"/>
                <w:sz w:val="21"/>
              </w:rPr>
              <w:t>线</w:t>
            </w:r>
          </w:p>
        </w:tc>
        <w:tc>
          <w:tcPr>
            <w:tcW w:w="1344" w:type="dxa"/>
            <w:tcBorders>
              <w:top w:val="nil"/>
              <w:left w:val="single" w:sz="6" w:space="0" w:color="000000"/>
              <w:bottom w:val="nil"/>
              <w:right w:val="single" w:sz="6" w:space="0" w:color="000000"/>
            </w:tcBorders>
          </w:tcPr>
          <w:p>
            <w:pPr>
              <w:pStyle w:val="TableParagraph"/>
              <w:spacing w:before="4" w:line="240" w:lineRule="exact"/>
              <w:ind w:left="255"/>
              <w:rPr>
                <w:sz w:val="21"/>
              </w:rPr>
            </w:pPr>
            <w:r>
              <w:rPr>
                <w:sz w:val="21"/>
              </w:rPr>
              <w:t>镇控制单</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5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24" w:space="0" w:color="000000"/>
              <w:right w:val="single" w:sz="6" w:space="0" w:color="000000"/>
            </w:tcBorders>
          </w:tcPr>
          <w:p>
            <w:pPr>
              <w:pStyle w:val="TableParagraph"/>
              <w:rPr>
                <w:rFonts w:ascii="Times New Roman"/>
                <w:sz w:val="20"/>
              </w:rPr>
            </w:pPr>
          </w:p>
        </w:tc>
        <w:tc>
          <w:tcPr>
            <w:tcW w:w="1344" w:type="dxa"/>
            <w:tcBorders>
              <w:top w:val="nil"/>
              <w:left w:val="single" w:sz="6" w:space="0" w:color="000000"/>
              <w:bottom w:val="single" w:sz="24" w:space="0" w:color="000000"/>
              <w:right w:val="single" w:sz="6" w:space="0" w:color="000000"/>
            </w:tcBorders>
          </w:tcPr>
          <w:p>
            <w:pPr>
              <w:pStyle w:val="TableParagraph"/>
              <w:spacing w:line="261" w:lineRule="exact"/>
              <w:ind w:left="466"/>
              <w:rPr>
                <w:sz w:val="21"/>
              </w:rPr>
            </w:pPr>
            <w:r>
              <w:rPr>
                <w:sz w:val="21"/>
              </w:rPr>
              <w:t>元）</w:t>
            </w:r>
          </w:p>
        </w:tc>
        <w:tc>
          <w:tcPr>
            <w:tcW w:w="3868"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bl>
    <w:p>
      <w:pPr>
        <w:pStyle w:val="BodyText"/>
        <w:rPr>
          <w:sz w:val="20"/>
        </w:rPr>
      </w:pPr>
    </w:p>
    <w:p>
      <w:pPr>
        <w:spacing w:before="203"/>
        <w:ind w:left="0" w:right="705" w:firstLine="0"/>
        <w:jc w:val="right"/>
        <w:rPr>
          <w:sz w:val="28"/>
        </w:rPr>
      </w:pPr>
      <w:r>
        <w:rPr>
          <w:w w:val="95"/>
          <w:sz w:val="28"/>
        </w:rPr>
        <w:t>—</w:t>
      </w:r>
      <w:r>
        <w:rPr>
          <w:w w:val="95"/>
          <w:sz w:val="26"/>
        </w:rPr>
        <w:t>2</w:t>
      </w:r>
      <w:r>
        <w:rPr>
          <w:w w:val="95"/>
          <w:sz w:val="28"/>
        </w:rPr>
        <w:t>—</w:t>
      </w:r>
    </w:p>
    <w:p>
      <w:pPr>
        <w:spacing w:after="0"/>
        <w:jc w:val="right"/>
        <w:rPr>
          <w:sz w:val="28"/>
        </w:rPr>
        <w:sectPr>
          <w:pgSz w:w="11910" w:h="16840"/>
          <w:pgMar w:top="1580" w:right="820" w:bottom="280" w:left="980" w:header="720" w:footer="720" w:gutter="0"/>
          <w:pgNumType w:start="7"/>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3842"/>
        <w:gridCol w:w="2062"/>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80"/>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842" w:type="dxa"/>
            <w:tcBorders>
              <w:top w:val="thinThickMediumGap" w:sz="6" w:space="0" w:color="000000"/>
              <w:left w:val="single" w:sz="6" w:space="0" w:color="000000"/>
              <w:bottom w:val="nil"/>
              <w:right w:val="single" w:sz="6" w:space="0" w:color="000000"/>
            </w:tcBorders>
          </w:tcPr>
          <w:p>
            <w:pPr>
              <w:pStyle w:val="TableParagraph"/>
              <w:spacing w:line="260" w:lineRule="exact"/>
              <w:ind w:left="111"/>
              <w:rPr>
                <w:sz w:val="21"/>
              </w:rPr>
            </w:pPr>
            <w:r>
              <w:rPr>
                <w:sz w:val="21"/>
              </w:rPr>
              <w:t>外</w:t>
            </w:r>
            <w:r>
              <w:rPr>
                <w:spacing w:val="-58"/>
                <w:sz w:val="21"/>
              </w:rPr>
              <w:t>）</w:t>
            </w:r>
            <w:r>
              <w:rPr>
                <w:spacing w:val="-5"/>
                <w:sz w:val="21"/>
              </w:rPr>
              <w:t>实行主要污染物排放等量或减量置</w:t>
            </w:r>
          </w:p>
        </w:tc>
        <w:tc>
          <w:tcPr>
            <w:tcW w:w="2062" w:type="dxa"/>
            <w:tcBorders>
              <w:top w:val="thinThickMediumGap" w:sz="6" w:space="0" w:color="000000"/>
              <w:left w:val="single" w:sz="6" w:space="0" w:color="000000"/>
              <w:bottom w:val="nil"/>
              <w:right w:val="single" w:sz="12" w:space="0" w:color="000000"/>
            </w:tcBorders>
          </w:tcPr>
          <w:p>
            <w:pPr>
              <w:pStyle w:val="TableParagraph"/>
              <w:spacing w:line="260" w:lineRule="exact"/>
              <w:ind w:left="72" w:right="37"/>
              <w:jc w:val="center"/>
              <w:rPr>
                <w:sz w:val="21"/>
              </w:rPr>
            </w:pPr>
            <w:r>
              <w:rPr>
                <w:sz w:val="21"/>
              </w:rPr>
              <w:t>氮肥、印染、农副产</w:t>
            </w:r>
          </w:p>
        </w:tc>
        <w:tc>
          <w:tcPr>
            <w:tcW w:w="125"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2" w:line="260" w:lineRule="exact"/>
              <w:ind w:left="1640" w:right="1727"/>
              <w:jc w:val="center"/>
              <w:rPr>
                <w:sz w:val="21"/>
              </w:rPr>
            </w:pPr>
            <w:r>
              <w:rPr>
                <w:sz w:val="21"/>
              </w:rPr>
              <w:t>换。</w:t>
            </w:r>
          </w:p>
        </w:tc>
        <w:tc>
          <w:tcPr>
            <w:tcW w:w="2062" w:type="dxa"/>
            <w:tcBorders>
              <w:top w:val="nil"/>
              <w:left w:val="single" w:sz="6" w:space="0" w:color="000000"/>
              <w:bottom w:val="nil"/>
              <w:right w:val="single" w:sz="12" w:space="0" w:color="000000"/>
            </w:tcBorders>
          </w:tcPr>
          <w:p>
            <w:pPr>
              <w:pStyle w:val="TableParagraph"/>
              <w:spacing w:before="12" w:line="260" w:lineRule="exact"/>
              <w:ind w:left="67" w:right="37"/>
              <w:jc w:val="center"/>
              <w:rPr>
                <w:sz w:val="21"/>
              </w:rPr>
            </w:pPr>
            <w:r>
              <w:rPr>
                <w:sz w:val="21"/>
              </w:rPr>
              <w:t>品加工、原料药制</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7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single" w:sz="6" w:space="0" w:color="000000"/>
              <w:right w:val="single" w:sz="6" w:space="0" w:color="000000"/>
            </w:tcBorders>
          </w:tcPr>
          <w:p>
            <w:pPr>
              <w:pStyle w:val="TableParagraph"/>
              <w:rPr>
                <w:rFonts w:ascii="Times New Roman"/>
                <w:sz w:val="10"/>
              </w:rPr>
            </w:pPr>
          </w:p>
        </w:tc>
        <w:tc>
          <w:tcPr>
            <w:tcW w:w="2062" w:type="dxa"/>
            <w:vMerge w:val="restart"/>
            <w:tcBorders>
              <w:top w:val="nil"/>
              <w:left w:val="single" w:sz="6" w:space="0" w:color="000000"/>
              <w:bottom w:val="nil"/>
              <w:right w:val="single" w:sz="12" w:space="0" w:color="000000"/>
            </w:tcBorders>
          </w:tcPr>
          <w:p>
            <w:pPr>
              <w:pStyle w:val="TableParagraph"/>
              <w:spacing w:before="12" w:line="222" w:lineRule="exact"/>
              <w:ind w:left="111"/>
              <w:rPr>
                <w:sz w:val="21"/>
              </w:rPr>
            </w:pPr>
            <w:r>
              <w:rPr>
                <w:sz w:val="21"/>
              </w:rPr>
              <w:t>造、制革、农药、电</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single" w:sz="6" w:space="0" w:color="000000"/>
              <w:left w:val="single" w:sz="6" w:space="0" w:color="000000"/>
              <w:bottom w:val="nil"/>
              <w:right w:val="single" w:sz="6" w:space="0" w:color="000000"/>
            </w:tcBorders>
          </w:tcPr>
          <w:p>
            <w:pPr>
              <w:pStyle w:val="TableParagraph"/>
              <w:rPr>
                <w:rFonts w:ascii="Times New Roman"/>
                <w:sz w:val="2"/>
              </w:rPr>
            </w:pPr>
          </w:p>
        </w:tc>
        <w:tc>
          <w:tcPr>
            <w:tcW w:w="2062" w:type="dxa"/>
            <w:vMerge/>
            <w:tcBorders>
              <w:top w:val="nil"/>
              <w:left w:val="single" w:sz="6" w:space="0" w:color="000000"/>
              <w:bottom w:val="nil"/>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line="243" w:lineRule="exact"/>
              <w:ind w:left="183"/>
              <w:rPr>
                <w:sz w:val="21"/>
              </w:rPr>
            </w:pPr>
            <w:r>
              <w:rPr>
                <w:sz w:val="21"/>
              </w:rPr>
              <w:t>加快城镇污水处理设施建设，城区和</w:t>
            </w:r>
          </w:p>
        </w:tc>
        <w:tc>
          <w:tcPr>
            <w:tcW w:w="2062" w:type="dxa"/>
            <w:tcBorders>
              <w:top w:val="nil"/>
              <w:left w:val="single" w:sz="6" w:space="0" w:color="000000"/>
              <w:bottom w:val="nil"/>
              <w:right w:val="single" w:sz="12" w:space="0" w:color="000000"/>
            </w:tcBorders>
          </w:tcPr>
          <w:p>
            <w:pPr>
              <w:pStyle w:val="TableParagraph"/>
              <w:spacing w:before="55" w:line="219" w:lineRule="exact"/>
              <w:ind w:left="67" w:right="37"/>
              <w:jc w:val="center"/>
              <w:rPr>
                <w:sz w:val="21"/>
              </w:rPr>
            </w:pPr>
            <w:r>
              <w:rPr>
                <w:sz w:val="21"/>
              </w:rPr>
              <w:t>镀等项目。符合。</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line="234" w:lineRule="exact"/>
              <w:ind w:left="183"/>
              <w:rPr>
                <w:sz w:val="21"/>
              </w:rPr>
            </w:pPr>
            <w:r>
              <w:rPr>
                <w:sz w:val="21"/>
              </w:rPr>
              <w:t>建制镇应实现生活污水集中处理，同</w:t>
            </w:r>
          </w:p>
        </w:tc>
        <w:tc>
          <w:tcPr>
            <w:tcW w:w="2062" w:type="dxa"/>
            <w:tcBorders>
              <w:top w:val="nil"/>
              <w:left w:val="single" w:sz="6"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4" w:line="260" w:lineRule="exact"/>
              <w:ind w:left="183"/>
              <w:rPr>
                <w:sz w:val="21"/>
              </w:rPr>
            </w:pPr>
            <w:r>
              <w:rPr>
                <w:sz w:val="21"/>
              </w:rPr>
              <w:t>时，加强配套管网建设和改造，新区</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2" w:line="260" w:lineRule="exact"/>
              <w:ind w:left="183"/>
              <w:rPr>
                <w:sz w:val="21"/>
              </w:rPr>
            </w:pPr>
            <w:r>
              <w:rPr>
                <w:sz w:val="21"/>
              </w:rPr>
              <w:t>建设全部按照雨污分流实施，推进老</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2" w:line="260" w:lineRule="exact"/>
              <w:ind w:left="183"/>
              <w:rPr>
                <w:sz w:val="21"/>
              </w:rPr>
            </w:pPr>
            <w:r>
              <w:rPr>
                <w:sz w:val="21"/>
              </w:rPr>
              <w:t>城区旧有市政雨污管网的雨污分流城</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2" w:line="263" w:lineRule="exact"/>
              <w:ind w:left="183"/>
              <w:rPr>
                <w:sz w:val="21"/>
              </w:rPr>
            </w:pPr>
            <w:r>
              <w:rPr>
                <w:sz w:val="21"/>
              </w:rPr>
              <w:t>镇排水系统改造建设。整治建成区黑</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4" w:line="260" w:lineRule="exact"/>
              <w:ind w:left="183"/>
              <w:rPr>
                <w:sz w:val="21"/>
              </w:rPr>
            </w:pPr>
            <w:r>
              <w:rPr>
                <w:sz w:val="21"/>
              </w:rPr>
              <w:t>臭水体，采取控源截污、内源治理、</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2" w:line="260" w:lineRule="exact"/>
              <w:ind w:left="183"/>
              <w:rPr>
                <w:sz w:val="21"/>
              </w:rPr>
            </w:pPr>
            <w:r>
              <w:rPr>
                <w:sz w:val="21"/>
              </w:rPr>
              <w:t>封盖导流、清淤疏浚、生态修复等技</w:t>
            </w:r>
          </w:p>
        </w:tc>
        <w:tc>
          <w:tcPr>
            <w:tcW w:w="2062"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42" w:type="dxa"/>
            <w:tcBorders>
              <w:top w:val="nil"/>
              <w:left w:val="single" w:sz="6" w:space="0" w:color="000000"/>
              <w:bottom w:val="single" w:sz="6" w:space="0" w:color="000000"/>
              <w:right w:val="single" w:sz="6" w:space="0" w:color="000000"/>
            </w:tcBorders>
          </w:tcPr>
          <w:p>
            <w:pPr>
              <w:pStyle w:val="TableParagraph"/>
              <w:spacing w:before="12"/>
              <w:ind w:left="394"/>
              <w:rPr>
                <w:sz w:val="21"/>
              </w:rPr>
            </w:pPr>
            <w:r>
              <w:rPr>
                <w:sz w:val="21"/>
              </w:rPr>
              <w:t>术，制定实施方案和整治计划。</w:t>
            </w:r>
          </w:p>
        </w:tc>
        <w:tc>
          <w:tcPr>
            <w:tcW w:w="2062" w:type="dxa"/>
            <w:tcBorders>
              <w:top w:val="nil"/>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rPr>
                <w:rFonts w:ascii="Times New Roman"/>
                <w:sz w:val="20"/>
              </w:rPr>
            </w:pPr>
          </w:p>
        </w:tc>
        <w:tc>
          <w:tcPr>
            <w:tcW w:w="1344" w:type="dxa"/>
            <w:tcBorders>
              <w:top w:val="single" w:sz="6" w:space="0" w:color="000000"/>
              <w:left w:val="single" w:sz="6" w:space="0" w:color="000000"/>
              <w:bottom w:val="nil"/>
              <w:right w:val="single" w:sz="6" w:space="0" w:color="000000"/>
            </w:tcBorders>
          </w:tcPr>
          <w:p>
            <w:pPr>
              <w:pStyle w:val="TableParagraph"/>
              <w:rPr>
                <w:rFonts w:ascii="Times New Roman"/>
                <w:sz w:val="20"/>
              </w:rPr>
            </w:pPr>
          </w:p>
        </w:tc>
        <w:tc>
          <w:tcPr>
            <w:tcW w:w="3842" w:type="dxa"/>
            <w:tcBorders>
              <w:top w:val="single" w:sz="6" w:space="0" w:color="000000"/>
              <w:left w:val="single" w:sz="6" w:space="0" w:color="000000"/>
              <w:bottom w:val="nil"/>
              <w:right w:val="single" w:sz="6" w:space="0" w:color="000000"/>
            </w:tcBorders>
          </w:tcPr>
          <w:p>
            <w:pPr>
              <w:pStyle w:val="TableParagraph"/>
              <w:spacing w:before="56" w:line="253" w:lineRule="exact"/>
              <w:ind w:left="183"/>
              <w:rPr>
                <w:sz w:val="21"/>
              </w:rPr>
            </w:pPr>
            <w:r>
              <w:rPr>
                <w:sz w:val="21"/>
              </w:rPr>
              <w:t>对农用地实行严格保护，确保其土壤</w:t>
            </w:r>
          </w:p>
        </w:tc>
        <w:tc>
          <w:tcPr>
            <w:tcW w:w="2062" w:type="dxa"/>
            <w:vMerge w:val="restart"/>
            <w:tcBorders>
              <w:top w:val="single" w:sz="6" w:space="0" w:color="000000"/>
              <w:left w:val="single" w:sz="6" w:space="0" w:color="000000"/>
              <w:bottom w:val="single"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62"/>
              <w:ind w:left="72" w:right="154"/>
              <w:jc w:val="center"/>
              <w:rPr>
                <w:sz w:val="21"/>
              </w:rPr>
            </w:pPr>
            <w:r>
              <w:rPr>
                <w:sz w:val="21"/>
              </w:rPr>
              <w:t>本项目为河湖整治</w:t>
            </w:r>
          </w:p>
          <w:p>
            <w:pPr>
              <w:pStyle w:val="TableParagraph"/>
              <w:spacing w:before="43" w:line="278" w:lineRule="auto"/>
              <w:ind w:left="135" w:right="217" w:hanging="1"/>
              <w:jc w:val="center"/>
              <w:rPr>
                <w:sz w:val="21"/>
              </w:rPr>
            </w:pPr>
            <w:r>
              <w:rPr>
                <w:sz w:val="21"/>
              </w:rPr>
              <w:t>（不含农村塘堰、水渠）及防洪除涝工程，位于山东省德州市经济技术开发区，不包含水库工程，涉及清淤工程，四支沟、站前沟、杨庄河无纳污功能，无工业废水排放，土壤环境无污染情况，满足环境质量底线要求。符合。</w:t>
            </w:r>
          </w:p>
        </w:tc>
        <w:tc>
          <w:tcPr>
            <w:tcW w:w="125"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7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4" w:line="251" w:lineRule="exact"/>
              <w:ind w:left="183"/>
              <w:rPr>
                <w:sz w:val="21"/>
              </w:rPr>
            </w:pPr>
            <w:r>
              <w:rPr>
                <w:sz w:val="21"/>
              </w:rPr>
              <w:t>环境质量不降低。基于耕地土壤环境</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 w:line="250" w:lineRule="exact"/>
              <w:ind w:left="183"/>
              <w:rPr>
                <w:sz w:val="21"/>
              </w:rPr>
            </w:pPr>
            <w:r>
              <w:rPr>
                <w:sz w:val="21"/>
              </w:rPr>
              <w:t>质量类别划分结果，组织对高风险区</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 w:line="250" w:lineRule="exact"/>
              <w:ind w:left="183"/>
              <w:rPr>
                <w:sz w:val="21"/>
              </w:rPr>
            </w:pPr>
            <w:r>
              <w:rPr>
                <w:sz w:val="21"/>
              </w:rPr>
              <w:t>域和农产品污染物含量超标等重点区</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 w:line="253" w:lineRule="exact"/>
              <w:ind w:left="183"/>
              <w:rPr>
                <w:sz w:val="21"/>
              </w:rPr>
            </w:pPr>
            <w:r>
              <w:rPr>
                <w:sz w:val="21"/>
              </w:rPr>
              <w:t>域农用地进行深入调查和重点监测，</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4" w:line="251" w:lineRule="exact"/>
              <w:ind w:left="183"/>
              <w:rPr>
                <w:sz w:val="21"/>
              </w:rPr>
            </w:pPr>
            <w:r>
              <w:rPr>
                <w:sz w:val="21"/>
              </w:rPr>
              <w:t>经调查表明污染物含量超过土壤污染</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 w:line="250" w:lineRule="exact"/>
              <w:ind w:left="183"/>
              <w:rPr>
                <w:sz w:val="21"/>
              </w:rPr>
            </w:pPr>
            <w:r>
              <w:rPr>
                <w:sz w:val="21"/>
              </w:rPr>
              <w:t>风险管控标准的，组织开展土壤污染</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11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before="170"/>
              <w:ind w:left="114"/>
              <w:rPr>
                <w:rFonts w:ascii="Times New Roman"/>
                <w:sz w:val="21"/>
              </w:rPr>
            </w:pPr>
            <w:r>
              <w:rPr>
                <w:rFonts w:ascii="Times New Roman"/>
                <w:sz w:val="21"/>
              </w:rPr>
              <w:t>2.3.2</w:t>
            </w:r>
          </w:p>
          <w:p>
            <w:pPr>
              <w:pStyle w:val="TableParagraph"/>
              <w:spacing w:before="47" w:line="278" w:lineRule="auto"/>
              <w:ind w:left="114" w:right="93"/>
              <w:rPr>
                <w:sz w:val="21"/>
              </w:rPr>
            </w:pPr>
            <w:r>
              <w:rPr>
                <w:spacing w:val="-9"/>
                <w:sz w:val="21"/>
              </w:rPr>
              <w:t>土壤环境</w:t>
            </w:r>
          </w:p>
        </w:tc>
        <w:tc>
          <w:tcPr>
            <w:tcW w:w="1344" w:type="dxa"/>
            <w:tcBorders>
              <w:top w:val="nil"/>
              <w:left w:val="single" w:sz="6" w:space="0" w:color="000000"/>
              <w:bottom w:val="nil"/>
              <w:right w:val="single" w:sz="6" w:space="0" w:color="000000"/>
            </w:tcBorders>
          </w:tcPr>
          <w:p>
            <w:pPr>
              <w:pStyle w:val="TableParagraph"/>
              <w:spacing w:before="156" w:line="278" w:lineRule="auto"/>
              <w:ind w:left="149" w:right="121"/>
              <w:rPr>
                <w:sz w:val="21"/>
              </w:rPr>
            </w:pPr>
            <w:r>
              <w:rPr>
                <w:rFonts w:ascii="Times New Roman" w:eastAsia="Times New Roman"/>
                <w:sz w:val="21"/>
              </w:rPr>
              <w:t>2.3.2.1</w:t>
            </w:r>
            <w:r>
              <w:rPr>
                <w:rFonts w:ascii="Times New Roman" w:eastAsia="Times New Roman"/>
                <w:spacing w:val="4"/>
                <w:sz w:val="21"/>
              </w:rPr>
              <w:t xml:space="preserve"> </w:t>
            </w:r>
            <w:r>
              <w:rPr>
                <w:spacing w:val="-9"/>
                <w:sz w:val="21"/>
              </w:rPr>
              <w:t>农用</w:t>
            </w:r>
            <w:r>
              <w:rPr>
                <w:spacing w:val="-4"/>
                <w:sz w:val="21"/>
              </w:rPr>
              <w:t>地土壤环境</w:t>
            </w:r>
          </w:p>
          <w:p>
            <w:pPr>
              <w:pStyle w:val="TableParagraph"/>
              <w:spacing w:before="5"/>
              <w:ind w:left="149"/>
              <w:rPr>
                <w:sz w:val="21"/>
              </w:rPr>
            </w:pPr>
            <w:r>
              <w:rPr>
                <w:sz w:val="21"/>
              </w:rPr>
              <w:t>风险管控区</w:t>
            </w:r>
          </w:p>
        </w:tc>
        <w:tc>
          <w:tcPr>
            <w:tcW w:w="3842" w:type="dxa"/>
            <w:tcBorders>
              <w:top w:val="nil"/>
              <w:left w:val="single" w:sz="6" w:space="0" w:color="000000"/>
              <w:bottom w:val="nil"/>
              <w:right w:val="single" w:sz="6" w:space="0" w:color="000000"/>
            </w:tcBorders>
          </w:tcPr>
          <w:p>
            <w:pPr>
              <w:pStyle w:val="TableParagraph"/>
              <w:spacing w:before="2" w:line="264" w:lineRule="auto"/>
              <w:ind w:left="183" w:right="276"/>
              <w:jc w:val="both"/>
              <w:rPr>
                <w:sz w:val="21"/>
              </w:rPr>
            </w:pPr>
            <w:r>
              <w:rPr>
                <w:spacing w:val="-4"/>
                <w:sz w:val="21"/>
              </w:rPr>
              <w:t>风险评估，严格采取安全利用措施， 落实分类管理制度。排查农用地及其周边污染源，严格源头污染控制，强</w:t>
            </w:r>
          </w:p>
          <w:p>
            <w:pPr>
              <w:pStyle w:val="TableParagraph"/>
              <w:spacing w:line="201" w:lineRule="exact"/>
              <w:ind w:left="183"/>
              <w:rPr>
                <w:sz w:val="21"/>
              </w:rPr>
            </w:pPr>
            <w:r>
              <w:rPr>
                <w:spacing w:val="-3"/>
                <w:sz w:val="21"/>
              </w:rPr>
              <w:t>化风险管控；制定监测计划，完善监</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8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26" w:lineRule="exact"/>
              <w:ind w:left="87" w:right="68"/>
              <w:jc w:val="center"/>
              <w:rPr>
                <w:sz w:val="21"/>
              </w:rPr>
            </w:pPr>
            <w:r>
              <w:rPr>
                <w:sz w:val="21"/>
              </w:rPr>
              <w:t>风险</w:t>
            </w:r>
          </w:p>
        </w:tc>
        <w:tc>
          <w:tcPr>
            <w:tcW w:w="1344" w:type="dxa"/>
            <w:tcBorders>
              <w:top w:val="nil"/>
              <w:left w:val="single" w:sz="6" w:space="0" w:color="000000"/>
              <w:bottom w:val="nil"/>
              <w:right w:val="single" w:sz="6" w:space="0" w:color="000000"/>
            </w:tcBorders>
          </w:tcPr>
          <w:p>
            <w:pPr>
              <w:pStyle w:val="TableParagraph"/>
              <w:spacing w:line="235" w:lineRule="exact"/>
              <w:ind w:left="125" w:right="100"/>
              <w:jc w:val="center"/>
              <w:rPr>
                <w:sz w:val="21"/>
              </w:rPr>
            </w:pPr>
            <w:r>
              <w:rPr>
                <w:sz w:val="21"/>
              </w:rPr>
              <w:t>及管控要求</w:t>
            </w:r>
          </w:p>
        </w:tc>
        <w:tc>
          <w:tcPr>
            <w:tcW w:w="3842" w:type="dxa"/>
            <w:tcBorders>
              <w:top w:val="nil"/>
              <w:left w:val="single" w:sz="6" w:space="0" w:color="000000"/>
              <w:bottom w:val="nil"/>
              <w:right w:val="single" w:sz="6" w:space="0" w:color="000000"/>
            </w:tcBorders>
          </w:tcPr>
          <w:p>
            <w:pPr>
              <w:pStyle w:val="TableParagraph"/>
              <w:spacing w:before="48" w:line="214" w:lineRule="exact"/>
              <w:ind w:left="183"/>
              <w:rPr>
                <w:sz w:val="21"/>
              </w:rPr>
            </w:pPr>
            <w:r>
              <w:rPr>
                <w:sz w:val="21"/>
              </w:rPr>
              <w:t>测网络；严格控制在优先保护类耕地</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8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5" w:lineRule="exact"/>
              <w:ind w:left="87" w:right="68"/>
              <w:jc w:val="center"/>
              <w:rPr>
                <w:sz w:val="21"/>
              </w:rPr>
            </w:pPr>
            <w:r>
              <w:rPr>
                <w:sz w:val="21"/>
              </w:rPr>
              <w:t>防控</w:t>
            </w: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38" w:line="224" w:lineRule="exact"/>
              <w:ind w:left="183"/>
              <w:rPr>
                <w:sz w:val="21"/>
              </w:rPr>
            </w:pPr>
            <w:r>
              <w:rPr>
                <w:sz w:val="21"/>
              </w:rPr>
              <w:t>集中区域新建有色金属冶炼、石油加</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8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45" w:lineRule="exact"/>
              <w:ind w:left="87" w:right="68"/>
              <w:jc w:val="center"/>
              <w:rPr>
                <w:sz w:val="21"/>
              </w:rPr>
            </w:pPr>
            <w:r>
              <w:rPr>
                <w:sz w:val="21"/>
              </w:rPr>
              <w:t>分区</w:t>
            </w: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8" w:line="234" w:lineRule="exact"/>
              <w:ind w:left="183"/>
              <w:rPr>
                <w:sz w:val="21"/>
              </w:rPr>
            </w:pPr>
            <w:r>
              <w:rPr>
                <w:sz w:val="21"/>
              </w:rPr>
              <w:t>工、化工、焦化、电镀、制革等行业</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8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55" w:lineRule="exact"/>
              <w:ind w:left="87" w:right="68"/>
              <w:jc w:val="center"/>
              <w:rPr>
                <w:sz w:val="21"/>
              </w:rPr>
            </w:pPr>
            <w:r>
              <w:rPr>
                <w:sz w:val="21"/>
              </w:rPr>
              <w:t>及管</w:t>
            </w: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4" w:line="243" w:lineRule="exact"/>
              <w:ind w:left="111"/>
              <w:rPr>
                <w:sz w:val="21"/>
              </w:rPr>
            </w:pPr>
            <w:r>
              <w:rPr>
                <w:sz w:val="21"/>
              </w:rPr>
              <w:t>企业；推行秸秆还田、测土配方施肥、</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8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60" w:lineRule="exact"/>
              <w:ind w:left="87" w:right="68"/>
              <w:jc w:val="center"/>
              <w:rPr>
                <w:sz w:val="21"/>
              </w:rPr>
            </w:pPr>
            <w:r>
              <w:rPr>
                <w:sz w:val="21"/>
              </w:rPr>
              <w:t>控要</w:t>
            </w: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9" w:line="250" w:lineRule="exact"/>
              <w:ind w:left="111"/>
              <w:rPr>
                <w:sz w:val="21"/>
              </w:rPr>
            </w:pPr>
            <w:r>
              <w:rPr>
                <w:sz w:val="21"/>
              </w:rPr>
              <w:t>有机肥替代化肥、轮作休耕等土壤环境</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before="7" w:line="248" w:lineRule="exact"/>
              <w:ind w:left="10"/>
              <w:jc w:val="center"/>
              <w:rPr>
                <w:sz w:val="21"/>
              </w:rPr>
            </w:pPr>
            <w:r>
              <w:rPr>
                <w:w w:val="100"/>
                <w:sz w:val="21"/>
              </w:rPr>
              <w:t>求</w:t>
            </w: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before="2" w:line="253" w:lineRule="exact"/>
              <w:ind w:left="183"/>
              <w:rPr>
                <w:sz w:val="21"/>
              </w:rPr>
            </w:pPr>
            <w:r>
              <w:rPr>
                <w:sz w:val="21"/>
              </w:rPr>
              <w:t>质量保护和提升措施，避免因过度施</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3842" w:type="dxa"/>
            <w:tcBorders>
              <w:top w:val="nil"/>
              <w:left w:val="single" w:sz="6" w:space="0" w:color="000000"/>
              <w:bottom w:val="nil"/>
              <w:right w:val="single" w:sz="6" w:space="0" w:color="000000"/>
            </w:tcBorders>
          </w:tcPr>
          <w:p>
            <w:pPr>
              <w:pStyle w:val="TableParagraph"/>
              <w:spacing w:line="253" w:lineRule="exact"/>
              <w:ind w:left="183"/>
              <w:rPr>
                <w:sz w:val="21"/>
              </w:rPr>
            </w:pPr>
            <w:r>
              <w:rPr>
                <w:sz w:val="21"/>
              </w:rPr>
              <w:t>肥、滥用农药等造成土壤环境质量下</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5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single" w:sz="6" w:space="0" w:color="000000"/>
              <w:right w:val="single" w:sz="6" w:space="0" w:color="000000"/>
            </w:tcBorders>
          </w:tcPr>
          <w:p>
            <w:pPr>
              <w:pStyle w:val="TableParagraph"/>
              <w:rPr>
                <w:rFonts w:ascii="Times New Roman"/>
                <w:sz w:val="20"/>
              </w:rPr>
            </w:pPr>
          </w:p>
        </w:tc>
        <w:tc>
          <w:tcPr>
            <w:tcW w:w="3842" w:type="dxa"/>
            <w:tcBorders>
              <w:top w:val="nil"/>
              <w:left w:val="single" w:sz="6" w:space="0" w:color="000000"/>
              <w:bottom w:val="single" w:sz="6" w:space="0" w:color="000000"/>
              <w:right w:val="single" w:sz="6" w:space="0" w:color="000000"/>
            </w:tcBorders>
          </w:tcPr>
          <w:p>
            <w:pPr>
              <w:pStyle w:val="TableParagraph"/>
              <w:spacing w:before="4"/>
              <w:ind w:left="1640" w:right="1727"/>
              <w:jc w:val="center"/>
              <w:rPr>
                <w:sz w:val="21"/>
              </w:rPr>
            </w:pPr>
            <w:r>
              <w:rPr>
                <w:sz w:val="21"/>
              </w:rPr>
              <w:t>降。</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7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single" w:sz="6" w:space="0" w:color="000000"/>
              <w:left w:val="single" w:sz="6" w:space="0" w:color="000000"/>
              <w:bottom w:val="nil"/>
              <w:right w:val="single" w:sz="6" w:space="0" w:color="000000"/>
            </w:tcBorders>
          </w:tcPr>
          <w:p>
            <w:pPr>
              <w:pStyle w:val="TableParagraph"/>
              <w:spacing w:line="257" w:lineRule="exact"/>
              <w:ind w:left="125" w:right="100"/>
              <w:jc w:val="center"/>
              <w:rPr>
                <w:sz w:val="21"/>
              </w:rPr>
            </w:pPr>
            <w:r>
              <w:rPr>
                <w:sz w:val="21"/>
              </w:rPr>
              <w:t>建设用地土</w:t>
            </w:r>
          </w:p>
        </w:tc>
        <w:tc>
          <w:tcPr>
            <w:tcW w:w="3842"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99" w:line="242" w:lineRule="auto"/>
              <w:ind w:left="135" w:right="84" w:hanging="24"/>
              <w:jc w:val="both"/>
              <w:rPr>
                <w:sz w:val="21"/>
              </w:rPr>
            </w:pPr>
            <w:r>
              <w:rPr>
                <w:rFonts w:ascii="Times New Roman" w:eastAsia="Times New Roman"/>
                <w:sz w:val="21"/>
              </w:rPr>
              <w:t>1</w:t>
            </w:r>
            <w:r>
              <w:rPr>
                <w:spacing w:val="-9"/>
                <w:sz w:val="21"/>
              </w:rPr>
              <w:t>、建设用地风险管控严格执行《工矿用</w:t>
            </w:r>
            <w:r>
              <w:rPr>
                <w:spacing w:val="-2"/>
                <w:sz w:val="21"/>
              </w:rPr>
              <w:t>地土壤环境管理办法</w:t>
            </w:r>
            <w:r>
              <w:rPr>
                <w:sz w:val="21"/>
              </w:rPr>
              <w:t>（试行</w:t>
            </w:r>
            <w:r>
              <w:rPr>
                <w:spacing w:val="-5"/>
                <w:sz w:val="21"/>
              </w:rPr>
              <w:t>）</w:t>
            </w:r>
            <w:r>
              <w:rPr>
                <w:sz w:val="21"/>
              </w:rPr>
              <w:t>》和《污</w:t>
            </w:r>
            <w:r>
              <w:rPr>
                <w:spacing w:val="-2"/>
                <w:sz w:val="21"/>
              </w:rPr>
              <w:t>染地块土壤环境管理办法</w:t>
            </w:r>
            <w:r>
              <w:rPr>
                <w:sz w:val="21"/>
              </w:rPr>
              <w:t>（</w:t>
            </w:r>
            <w:r>
              <w:rPr>
                <w:spacing w:val="-3"/>
                <w:sz w:val="21"/>
              </w:rPr>
              <w:t>试行</w:t>
            </w:r>
            <w:r>
              <w:rPr>
                <w:sz w:val="21"/>
              </w:rPr>
              <w:t>）。</w:t>
            </w:r>
          </w:p>
          <w:p>
            <w:pPr>
              <w:pStyle w:val="TableParagraph"/>
              <w:spacing w:before="1" w:line="244" w:lineRule="auto"/>
              <w:ind w:left="769" w:right="-29" w:hanging="658"/>
              <w:rPr>
                <w:sz w:val="21"/>
              </w:rPr>
            </w:pPr>
            <w:r>
              <w:rPr>
                <w:rFonts w:ascii="Times New Roman" w:eastAsia="Times New Roman"/>
                <w:sz w:val="21"/>
              </w:rPr>
              <w:t>2</w:t>
            </w:r>
            <w:r>
              <w:rPr>
                <w:spacing w:val="-14"/>
                <w:sz w:val="21"/>
              </w:rPr>
              <w:t xml:space="preserve">、建立一企一档，标注地块内的风险源， </w:t>
            </w:r>
            <w:r>
              <w:rPr>
                <w:spacing w:val="-9"/>
                <w:sz w:val="21"/>
              </w:rPr>
              <w:t>标明企业的特征污染物。</w:t>
            </w: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spacing w:before="14" w:line="260" w:lineRule="exact"/>
              <w:ind w:left="125" w:right="100"/>
              <w:jc w:val="center"/>
              <w:rPr>
                <w:sz w:val="21"/>
              </w:rPr>
            </w:pPr>
            <w:r>
              <w:rPr>
                <w:sz w:val="21"/>
              </w:rPr>
              <w:t>壤环境风险</w:t>
            </w:r>
          </w:p>
        </w:tc>
        <w:tc>
          <w:tcPr>
            <w:tcW w:w="3842" w:type="dxa"/>
            <w:vMerge/>
            <w:tcBorders>
              <w:top w:val="nil"/>
              <w:left w:val="single" w:sz="6" w:space="0" w:color="000000"/>
              <w:bottom w:val="single" w:sz="6" w:space="0" w:color="000000"/>
              <w:right w:val="single" w:sz="6" w:space="0" w:color="000000"/>
            </w:tcBorders>
          </w:tcPr>
          <w:p>
            <w:pPr>
              <w:rPr>
                <w:sz w:val="2"/>
                <w:szCs w:val="2"/>
              </w:rPr>
            </w:pP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25" w:right="100"/>
              <w:jc w:val="center"/>
              <w:rPr>
                <w:sz w:val="21"/>
              </w:rPr>
            </w:pPr>
            <w:r>
              <w:rPr>
                <w:sz w:val="21"/>
              </w:rPr>
              <w:t>管控区（一</w:t>
            </w:r>
          </w:p>
        </w:tc>
        <w:tc>
          <w:tcPr>
            <w:tcW w:w="3842" w:type="dxa"/>
            <w:vMerge/>
            <w:tcBorders>
              <w:top w:val="nil"/>
              <w:left w:val="single" w:sz="6" w:space="0" w:color="000000"/>
              <w:bottom w:val="single" w:sz="6" w:space="0" w:color="000000"/>
              <w:right w:val="single" w:sz="6" w:space="0" w:color="000000"/>
            </w:tcBorders>
          </w:tcPr>
          <w:p>
            <w:pPr>
              <w:rPr>
                <w:sz w:val="2"/>
                <w:szCs w:val="2"/>
              </w:rPr>
            </w:pP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tcBorders>
              <w:top w:val="nil"/>
              <w:left w:val="single" w:sz="6" w:space="0" w:color="000000"/>
              <w:bottom w:val="nil"/>
              <w:right w:val="single" w:sz="6" w:space="0" w:color="000000"/>
            </w:tcBorders>
          </w:tcPr>
          <w:p>
            <w:pPr>
              <w:pStyle w:val="TableParagraph"/>
              <w:spacing w:before="12" w:line="260" w:lineRule="exact"/>
              <w:ind w:left="125" w:right="100"/>
              <w:jc w:val="center"/>
              <w:rPr>
                <w:sz w:val="21"/>
              </w:rPr>
            </w:pPr>
            <w:r>
              <w:rPr>
                <w:sz w:val="21"/>
              </w:rPr>
              <w:t>般管控单</w:t>
            </w:r>
          </w:p>
        </w:tc>
        <w:tc>
          <w:tcPr>
            <w:tcW w:w="3842" w:type="dxa"/>
            <w:vMerge/>
            <w:tcBorders>
              <w:top w:val="nil"/>
              <w:left w:val="single" w:sz="6" w:space="0" w:color="000000"/>
              <w:bottom w:val="single" w:sz="6" w:space="0" w:color="000000"/>
              <w:right w:val="single" w:sz="6" w:space="0" w:color="000000"/>
            </w:tcBorders>
          </w:tcPr>
          <w:p>
            <w:pPr>
              <w:rPr>
                <w:sz w:val="2"/>
                <w:szCs w:val="2"/>
              </w:rPr>
            </w:pP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2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tcBorders>
              <w:top w:val="nil"/>
              <w:left w:val="single" w:sz="6" w:space="0" w:color="000000"/>
              <w:bottom w:val="single" w:sz="6" w:space="0" w:color="000000"/>
              <w:right w:val="single" w:sz="6" w:space="0" w:color="000000"/>
            </w:tcBorders>
          </w:tcPr>
          <w:p>
            <w:pPr>
              <w:pStyle w:val="TableParagraph"/>
              <w:spacing w:before="12"/>
              <w:ind w:left="125" w:right="100"/>
              <w:jc w:val="center"/>
              <w:rPr>
                <w:sz w:val="21"/>
              </w:rPr>
            </w:pPr>
            <w:r>
              <w:rPr>
                <w:sz w:val="21"/>
              </w:rPr>
              <w:t>元）</w:t>
            </w:r>
          </w:p>
        </w:tc>
        <w:tc>
          <w:tcPr>
            <w:tcW w:w="3842" w:type="dxa"/>
            <w:vMerge/>
            <w:tcBorders>
              <w:top w:val="nil"/>
              <w:left w:val="single" w:sz="6" w:space="0" w:color="000000"/>
              <w:bottom w:val="single" w:sz="6" w:space="0" w:color="000000"/>
              <w:right w:val="single" w:sz="6" w:space="0" w:color="000000"/>
            </w:tcBorders>
          </w:tcPr>
          <w:p>
            <w:pPr>
              <w:rPr>
                <w:sz w:val="2"/>
                <w:szCs w:val="2"/>
              </w:rPr>
            </w:pPr>
          </w:p>
        </w:tc>
        <w:tc>
          <w:tcPr>
            <w:tcW w:w="2062"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0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7903" w:type="dxa"/>
            <w:gridSpan w:val="4"/>
            <w:tcBorders>
              <w:top w:val="single" w:sz="6" w:space="0" w:color="000000"/>
              <w:left w:val="single" w:sz="12" w:space="0" w:color="000000"/>
              <w:bottom w:val="single" w:sz="6" w:space="0" w:color="000000"/>
              <w:right w:val="single" w:sz="12" w:space="0" w:color="000000"/>
            </w:tcBorders>
          </w:tcPr>
          <w:p>
            <w:pPr>
              <w:pStyle w:val="TableParagraph"/>
              <w:spacing w:line="263" w:lineRule="exact"/>
              <w:ind w:left="2690" w:right="2666"/>
              <w:jc w:val="center"/>
              <w:rPr>
                <w:b/>
                <w:sz w:val="21"/>
              </w:rPr>
            </w:pPr>
            <w:r>
              <w:rPr>
                <w:rFonts w:ascii="Times New Roman" w:eastAsia="Times New Roman"/>
                <w:b/>
                <w:sz w:val="21"/>
              </w:rPr>
              <w:t>3.</w:t>
            </w:r>
            <w:r>
              <w:rPr>
                <w:b/>
                <w:sz w:val="21"/>
              </w:rPr>
              <w:t>资源利用上线及分区管控</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9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spacing w:before="32" w:line="238" w:lineRule="exact"/>
              <w:ind w:left="87" w:right="68"/>
              <w:jc w:val="center"/>
              <w:rPr>
                <w:rFonts w:ascii="Times New Roman"/>
                <w:sz w:val="21"/>
              </w:rPr>
            </w:pPr>
            <w:r>
              <w:rPr>
                <w:rFonts w:ascii="Times New Roman"/>
                <w:sz w:val="21"/>
              </w:rPr>
              <w:t>3.1.1</w:t>
            </w:r>
          </w:p>
        </w:tc>
        <w:tc>
          <w:tcPr>
            <w:tcW w:w="1344" w:type="dxa"/>
            <w:vMerge w:val="restart"/>
            <w:tcBorders>
              <w:top w:val="single" w:sz="6" w:space="0" w:color="000000"/>
              <w:left w:val="single" w:sz="6" w:space="0" w:color="000000"/>
              <w:bottom w:val="single" w:sz="24" w:space="0" w:color="000000"/>
              <w:right w:val="single" w:sz="6" w:space="0" w:color="000000"/>
            </w:tcBorders>
          </w:tcPr>
          <w:p>
            <w:pPr>
              <w:pStyle w:val="TableParagraph"/>
              <w:rPr>
                <w:sz w:val="20"/>
              </w:rPr>
            </w:pPr>
          </w:p>
          <w:p>
            <w:pPr>
              <w:pStyle w:val="TableParagraph"/>
              <w:spacing w:before="6"/>
              <w:rPr>
                <w:sz w:val="18"/>
              </w:rPr>
            </w:pPr>
          </w:p>
          <w:p>
            <w:pPr>
              <w:pStyle w:val="TableParagraph"/>
              <w:spacing w:line="278" w:lineRule="auto"/>
              <w:ind w:left="567" w:right="121" w:hanging="418"/>
              <w:rPr>
                <w:sz w:val="21"/>
              </w:rPr>
            </w:pPr>
            <w:r>
              <w:rPr>
                <w:sz w:val="21"/>
              </w:rPr>
              <w:t>重点管控分区</w:t>
            </w:r>
          </w:p>
        </w:tc>
        <w:tc>
          <w:tcPr>
            <w:tcW w:w="3842" w:type="dxa"/>
            <w:tcBorders>
              <w:top w:val="single" w:sz="6" w:space="0" w:color="000000"/>
              <w:left w:val="single" w:sz="6" w:space="0" w:color="000000"/>
              <w:bottom w:val="nil"/>
              <w:right w:val="single" w:sz="6" w:space="0" w:color="000000"/>
            </w:tcBorders>
          </w:tcPr>
          <w:p>
            <w:pPr>
              <w:pStyle w:val="TableParagraph"/>
              <w:spacing w:before="51" w:line="218" w:lineRule="exact"/>
              <w:ind w:left="183"/>
              <w:rPr>
                <w:sz w:val="21"/>
              </w:rPr>
            </w:pPr>
            <w:r>
              <w:rPr>
                <w:sz w:val="21"/>
              </w:rPr>
              <w:t>“禁燃区”范围内，禁止销售、燃用</w:t>
            </w:r>
          </w:p>
        </w:tc>
        <w:tc>
          <w:tcPr>
            <w:tcW w:w="2062" w:type="dxa"/>
            <w:tcBorders>
              <w:top w:val="single" w:sz="6" w:space="0" w:color="000000"/>
              <w:left w:val="single" w:sz="6" w:space="0" w:color="000000"/>
              <w:bottom w:val="nil"/>
              <w:right w:val="single" w:sz="12" w:space="0" w:color="000000"/>
            </w:tcBorders>
          </w:tcPr>
          <w:p>
            <w:pPr>
              <w:pStyle w:val="TableParagraph"/>
              <w:spacing w:before="51" w:line="218" w:lineRule="exact"/>
              <w:ind w:left="72" w:right="154"/>
              <w:jc w:val="center"/>
              <w:rPr>
                <w:sz w:val="21"/>
              </w:rPr>
            </w:pPr>
            <w:r>
              <w:rPr>
                <w:sz w:val="21"/>
              </w:rPr>
              <w:t>本项目不使用煤炭</w:t>
            </w:r>
          </w:p>
        </w:tc>
        <w:tc>
          <w:tcPr>
            <w:tcW w:w="125"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5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4" w:lineRule="exact"/>
              <w:ind w:left="87" w:right="68"/>
              <w:jc w:val="center"/>
              <w:rPr>
                <w:sz w:val="21"/>
              </w:rPr>
            </w:pPr>
            <w:r>
              <w:rPr>
                <w:sz w:val="21"/>
              </w:rPr>
              <w:t>能源</w:t>
            </w:r>
          </w:p>
        </w:tc>
        <w:tc>
          <w:tcPr>
            <w:tcW w:w="1344" w:type="dxa"/>
            <w:vMerge/>
            <w:tcBorders>
              <w:top w:val="nil"/>
              <w:left w:val="single" w:sz="6" w:space="0" w:color="000000"/>
              <w:bottom w:val="single" w:sz="24"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8" w:line="216" w:lineRule="exact"/>
              <w:ind w:left="111"/>
              <w:rPr>
                <w:sz w:val="21"/>
              </w:rPr>
            </w:pPr>
            <w:r>
              <w:rPr>
                <w:sz w:val="21"/>
              </w:rPr>
              <w:t>高污染燃料；禁止新（扩、改）建燃用</w:t>
            </w:r>
          </w:p>
        </w:tc>
        <w:tc>
          <w:tcPr>
            <w:tcW w:w="2062" w:type="dxa"/>
            <w:tcBorders>
              <w:top w:val="nil"/>
              <w:left w:val="single" w:sz="6" w:space="0" w:color="000000"/>
              <w:bottom w:val="nil"/>
              <w:right w:val="single" w:sz="12" w:space="0" w:color="000000"/>
            </w:tcBorders>
          </w:tcPr>
          <w:p>
            <w:pPr>
              <w:pStyle w:val="TableParagraph"/>
              <w:spacing w:before="18" w:line="216" w:lineRule="exact"/>
              <w:ind w:left="72" w:right="154"/>
              <w:jc w:val="center"/>
              <w:rPr>
                <w:sz w:val="21"/>
              </w:rPr>
            </w:pPr>
            <w:r>
              <w:rPr>
                <w:sz w:val="21"/>
              </w:rPr>
              <w:t>等燃料，能源资源</w:t>
            </w: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2" w:lineRule="exact"/>
              <w:ind w:left="87" w:right="68"/>
              <w:jc w:val="center"/>
              <w:rPr>
                <w:sz w:val="21"/>
              </w:rPr>
            </w:pPr>
            <w:r>
              <w:rPr>
                <w:sz w:val="21"/>
              </w:rPr>
              <w:t>资源</w:t>
            </w:r>
          </w:p>
        </w:tc>
        <w:tc>
          <w:tcPr>
            <w:tcW w:w="1344" w:type="dxa"/>
            <w:vMerge/>
            <w:tcBorders>
              <w:top w:val="nil"/>
              <w:left w:val="single" w:sz="6" w:space="0" w:color="000000"/>
              <w:bottom w:val="single" w:sz="24"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6" w:line="216" w:lineRule="exact"/>
              <w:ind w:left="183"/>
              <w:rPr>
                <w:sz w:val="21"/>
              </w:rPr>
            </w:pPr>
            <w:r>
              <w:rPr>
                <w:sz w:val="21"/>
              </w:rPr>
              <w:t>高污染燃料的项目；现有高污染燃料</w:t>
            </w:r>
          </w:p>
        </w:tc>
        <w:tc>
          <w:tcPr>
            <w:tcW w:w="2062" w:type="dxa"/>
            <w:tcBorders>
              <w:top w:val="nil"/>
              <w:left w:val="single" w:sz="6" w:space="0" w:color="000000"/>
              <w:bottom w:val="nil"/>
              <w:right w:val="single" w:sz="12" w:space="0" w:color="000000"/>
            </w:tcBorders>
          </w:tcPr>
          <w:p>
            <w:pPr>
              <w:pStyle w:val="TableParagraph"/>
              <w:spacing w:before="16" w:line="216" w:lineRule="exact"/>
              <w:ind w:left="72" w:right="154"/>
              <w:jc w:val="center"/>
              <w:rPr>
                <w:sz w:val="21"/>
              </w:rPr>
            </w:pPr>
            <w:r>
              <w:rPr>
                <w:sz w:val="21"/>
              </w:rPr>
              <w:t>消耗量较小，不会</w:t>
            </w: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4" w:lineRule="exact"/>
              <w:ind w:left="87" w:right="68"/>
              <w:jc w:val="center"/>
              <w:rPr>
                <w:sz w:val="21"/>
              </w:rPr>
            </w:pPr>
            <w:r>
              <w:rPr>
                <w:sz w:val="21"/>
              </w:rPr>
              <w:t>利用</w:t>
            </w:r>
          </w:p>
        </w:tc>
        <w:tc>
          <w:tcPr>
            <w:tcW w:w="1344" w:type="dxa"/>
            <w:vMerge/>
            <w:tcBorders>
              <w:top w:val="nil"/>
              <w:left w:val="single" w:sz="6" w:space="0" w:color="000000"/>
              <w:bottom w:val="single" w:sz="24" w:space="0" w:color="000000"/>
              <w:right w:val="single" w:sz="6" w:space="0" w:color="000000"/>
            </w:tcBorders>
          </w:tcPr>
          <w:p>
            <w:pPr>
              <w:rPr>
                <w:sz w:val="2"/>
                <w:szCs w:val="2"/>
              </w:rPr>
            </w:pPr>
          </w:p>
        </w:tc>
        <w:tc>
          <w:tcPr>
            <w:tcW w:w="3842" w:type="dxa"/>
            <w:tcBorders>
              <w:top w:val="nil"/>
              <w:left w:val="single" w:sz="6" w:space="0" w:color="000000"/>
              <w:bottom w:val="nil"/>
              <w:right w:val="single" w:sz="6" w:space="0" w:color="000000"/>
            </w:tcBorders>
          </w:tcPr>
          <w:p>
            <w:pPr>
              <w:pStyle w:val="TableParagraph"/>
              <w:spacing w:before="16" w:line="218" w:lineRule="exact"/>
              <w:ind w:left="183"/>
              <w:rPr>
                <w:sz w:val="21"/>
              </w:rPr>
            </w:pPr>
            <w:r>
              <w:rPr>
                <w:sz w:val="21"/>
              </w:rPr>
              <w:t>燃用设施，除用于城市集中供热外，</w:t>
            </w:r>
          </w:p>
        </w:tc>
        <w:tc>
          <w:tcPr>
            <w:tcW w:w="2062" w:type="dxa"/>
            <w:tcBorders>
              <w:top w:val="nil"/>
              <w:left w:val="single" w:sz="6" w:space="0" w:color="000000"/>
              <w:bottom w:val="nil"/>
              <w:right w:val="single" w:sz="12" w:space="0" w:color="000000"/>
            </w:tcBorders>
          </w:tcPr>
          <w:p>
            <w:pPr>
              <w:pStyle w:val="TableParagraph"/>
              <w:spacing w:before="16" w:line="218" w:lineRule="exact"/>
              <w:ind w:left="72" w:right="154"/>
              <w:jc w:val="center"/>
              <w:rPr>
                <w:sz w:val="21"/>
              </w:rPr>
            </w:pPr>
            <w:r>
              <w:rPr>
                <w:sz w:val="21"/>
              </w:rPr>
              <w:t>触及区域能源资源</w:t>
            </w: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24" w:space="0" w:color="000000"/>
              <w:right w:val="single" w:sz="6" w:space="0" w:color="000000"/>
            </w:tcBorders>
          </w:tcPr>
          <w:p>
            <w:pPr>
              <w:pStyle w:val="TableParagraph"/>
              <w:spacing w:line="239" w:lineRule="exact"/>
              <w:ind w:left="87" w:right="68"/>
              <w:jc w:val="center"/>
              <w:rPr>
                <w:sz w:val="21"/>
              </w:rPr>
            </w:pPr>
            <w:r>
              <w:rPr>
                <w:sz w:val="21"/>
              </w:rPr>
              <w:t>上线</w:t>
            </w:r>
          </w:p>
        </w:tc>
        <w:tc>
          <w:tcPr>
            <w:tcW w:w="1344" w:type="dxa"/>
            <w:vMerge/>
            <w:tcBorders>
              <w:top w:val="nil"/>
              <w:left w:val="single" w:sz="6" w:space="0" w:color="000000"/>
              <w:bottom w:val="single" w:sz="24" w:space="0" w:color="000000"/>
              <w:right w:val="single" w:sz="6" w:space="0" w:color="000000"/>
            </w:tcBorders>
          </w:tcPr>
          <w:p>
            <w:pPr>
              <w:rPr>
                <w:sz w:val="2"/>
                <w:szCs w:val="2"/>
              </w:rPr>
            </w:pPr>
          </w:p>
        </w:tc>
        <w:tc>
          <w:tcPr>
            <w:tcW w:w="3842" w:type="dxa"/>
            <w:tcBorders>
              <w:top w:val="nil"/>
              <w:left w:val="single" w:sz="6" w:space="0" w:color="000000"/>
              <w:bottom w:val="single" w:sz="24" w:space="0" w:color="000000"/>
              <w:right w:val="single" w:sz="6" w:space="0" w:color="000000"/>
            </w:tcBorders>
          </w:tcPr>
          <w:p>
            <w:pPr>
              <w:pStyle w:val="TableParagraph"/>
              <w:spacing w:before="18" w:line="261" w:lineRule="exact"/>
              <w:ind w:left="183"/>
              <w:rPr>
                <w:sz w:val="21"/>
              </w:rPr>
            </w:pPr>
            <w:r>
              <w:rPr>
                <w:sz w:val="21"/>
              </w:rPr>
              <w:t>有关单位和个人应当在规定的期限内</w:t>
            </w:r>
          </w:p>
        </w:tc>
        <w:tc>
          <w:tcPr>
            <w:tcW w:w="2062" w:type="dxa"/>
            <w:tcBorders>
              <w:top w:val="nil"/>
              <w:left w:val="single" w:sz="6" w:space="0" w:color="000000"/>
              <w:bottom w:val="single" w:sz="24" w:space="0" w:color="000000"/>
              <w:right w:val="single" w:sz="12" w:space="0" w:color="000000"/>
            </w:tcBorders>
          </w:tcPr>
          <w:p>
            <w:pPr>
              <w:pStyle w:val="TableParagraph"/>
              <w:spacing w:before="18" w:line="261" w:lineRule="exact"/>
              <w:ind w:left="72" w:right="154"/>
              <w:jc w:val="center"/>
              <w:rPr>
                <w:sz w:val="21"/>
              </w:rPr>
            </w:pPr>
            <w:r>
              <w:rPr>
                <w:sz w:val="21"/>
              </w:rPr>
              <w:t>利用上线，符合能</w:t>
            </w:r>
          </w:p>
        </w:tc>
        <w:tc>
          <w:tcPr>
            <w:tcW w:w="125" w:type="dxa"/>
            <w:vMerge/>
            <w:tcBorders>
              <w:top w:val="nil"/>
              <w:left w:val="single" w:sz="12" w:space="0" w:color="000000"/>
            </w:tcBorders>
          </w:tcPr>
          <w:p>
            <w:pPr>
              <w:rPr>
                <w:sz w:val="2"/>
                <w:szCs w:val="2"/>
              </w:rPr>
            </w:pPr>
          </w:p>
        </w:tc>
      </w:tr>
    </w:tbl>
    <w:p>
      <w:pPr>
        <w:pStyle w:val="BodyText"/>
        <w:rPr>
          <w:sz w:val="20"/>
        </w:rPr>
      </w:pPr>
    </w:p>
    <w:p>
      <w:pPr>
        <w:pStyle w:val="BodyText"/>
        <w:spacing w:before="3"/>
        <w:rPr>
          <w:sz w:val="20"/>
        </w:rPr>
      </w:pPr>
    </w:p>
    <w:p>
      <w:pPr>
        <w:spacing w:before="59"/>
        <w:ind w:left="551" w:right="0" w:firstLine="0"/>
        <w:jc w:val="left"/>
        <w:rPr>
          <w:sz w:val="28"/>
        </w:rPr>
      </w:pPr>
      <w:r>
        <w:rPr>
          <w:sz w:val="28"/>
        </w:rPr>
        <w:t>—</w:t>
      </w:r>
      <w:r>
        <w:rPr>
          <w:sz w:val="26"/>
        </w:rPr>
        <w:t>3</w:t>
      </w:r>
      <w:r>
        <w:rPr>
          <w:sz w:val="28"/>
        </w:rPr>
        <w:t>—</w:t>
      </w:r>
    </w:p>
    <w:p>
      <w:pPr>
        <w:spacing w:after="0"/>
        <w:jc w:val="left"/>
        <w:rPr>
          <w:sz w:val="28"/>
        </w:rPr>
        <w:sectPr>
          <w:pgSz w:w="11910" w:h="16840"/>
          <w:pgMar w:top="1580" w:right="820" w:bottom="280" w:left="980" w:header="720" w:footer="720" w:gutter="0"/>
          <w:pgNumType w:start="8"/>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30"/>
        <w:gridCol w:w="2035"/>
        <w:gridCol w:w="124"/>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80"/>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868" w:type="dxa"/>
            <w:gridSpan w:val="2"/>
            <w:tcBorders>
              <w:top w:val="thinThickMediumGap" w:sz="6" w:space="0" w:color="000000"/>
              <w:left w:val="single" w:sz="6" w:space="0" w:color="000000"/>
              <w:bottom w:val="nil"/>
              <w:right w:val="single" w:sz="6" w:space="0" w:color="000000"/>
            </w:tcBorders>
          </w:tcPr>
          <w:p>
            <w:pPr>
              <w:pStyle w:val="TableParagraph"/>
              <w:spacing w:line="260" w:lineRule="exact"/>
              <w:ind w:left="183"/>
              <w:rPr>
                <w:sz w:val="21"/>
              </w:rPr>
            </w:pPr>
            <w:r>
              <w:rPr>
                <w:sz w:val="21"/>
              </w:rPr>
              <w:t>改用天然气、液化石油气、电或其他</w:t>
            </w:r>
          </w:p>
        </w:tc>
        <w:tc>
          <w:tcPr>
            <w:tcW w:w="2035" w:type="dxa"/>
            <w:tcBorders>
              <w:top w:val="thinThickMediumGap" w:sz="6" w:space="0" w:color="000000"/>
              <w:left w:val="single" w:sz="6" w:space="0" w:color="000000"/>
              <w:bottom w:val="nil"/>
              <w:right w:val="single" w:sz="12" w:space="0" w:color="000000"/>
            </w:tcBorders>
          </w:tcPr>
          <w:p>
            <w:pPr>
              <w:pStyle w:val="TableParagraph"/>
              <w:spacing w:line="260" w:lineRule="exact"/>
              <w:ind w:left="109"/>
              <w:rPr>
                <w:sz w:val="21"/>
              </w:rPr>
            </w:pPr>
            <w:r>
              <w:rPr>
                <w:sz w:val="21"/>
              </w:rPr>
              <w:t>源利用上线要求。</w:t>
            </w:r>
          </w:p>
        </w:tc>
        <w:tc>
          <w:tcPr>
            <w:tcW w:w="124"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2" w:line="260" w:lineRule="exact"/>
              <w:ind w:left="183"/>
              <w:rPr>
                <w:sz w:val="21"/>
              </w:rPr>
            </w:pPr>
            <w:r>
              <w:rPr>
                <w:sz w:val="21"/>
              </w:rPr>
              <w:t>清洁能源。逐步取缔热电联产供热管</w:t>
            </w:r>
          </w:p>
        </w:tc>
        <w:tc>
          <w:tcPr>
            <w:tcW w:w="2035" w:type="dxa"/>
            <w:tcBorders>
              <w:top w:val="nil"/>
              <w:left w:val="single" w:sz="6" w:space="0" w:color="000000"/>
              <w:bottom w:val="nil"/>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2" w:line="263" w:lineRule="exact"/>
              <w:ind w:left="183"/>
              <w:rPr>
                <w:sz w:val="21"/>
              </w:rPr>
            </w:pPr>
            <w:r>
              <w:rPr>
                <w:sz w:val="21"/>
              </w:rPr>
              <w:t>网覆盖范围内的供热锅炉、工业蒸汽</w:t>
            </w:r>
          </w:p>
        </w:tc>
        <w:tc>
          <w:tcPr>
            <w:tcW w:w="2035" w:type="dxa"/>
            <w:tcBorders>
              <w:top w:val="nil"/>
              <w:left w:val="single" w:sz="6" w:space="0" w:color="000000"/>
              <w:bottom w:val="nil"/>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4" w:line="260" w:lineRule="exact"/>
              <w:ind w:left="111"/>
              <w:rPr>
                <w:sz w:val="21"/>
              </w:rPr>
            </w:pPr>
            <w:r>
              <w:rPr>
                <w:sz w:val="21"/>
              </w:rPr>
              <w:t>锅炉及各种洗浴锅炉，推进热电联产和</w:t>
            </w:r>
          </w:p>
        </w:tc>
        <w:tc>
          <w:tcPr>
            <w:tcW w:w="2035" w:type="dxa"/>
            <w:tcBorders>
              <w:top w:val="nil"/>
              <w:left w:val="single" w:sz="6" w:space="0" w:color="000000"/>
              <w:bottom w:val="nil"/>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single" w:sz="6" w:space="0" w:color="000000"/>
              <w:right w:val="single" w:sz="6" w:space="0" w:color="000000"/>
            </w:tcBorders>
          </w:tcPr>
          <w:p>
            <w:pPr>
              <w:pStyle w:val="TableParagraph"/>
              <w:spacing w:before="12"/>
              <w:ind w:left="65" w:right="178"/>
              <w:jc w:val="center"/>
              <w:rPr>
                <w:sz w:val="21"/>
              </w:rPr>
            </w:pPr>
            <w:r>
              <w:rPr>
                <w:sz w:val="21"/>
              </w:rPr>
              <w:t>集中供热。</w:t>
            </w:r>
          </w:p>
        </w:tc>
        <w:tc>
          <w:tcPr>
            <w:tcW w:w="2035" w:type="dxa"/>
            <w:tcBorders>
              <w:top w:val="nil"/>
              <w:left w:val="single" w:sz="6" w:space="0" w:color="000000"/>
              <w:bottom w:val="single" w:sz="6" w:space="0" w:color="000000"/>
              <w:right w:val="single" w:sz="12" w:space="0" w:color="000000"/>
            </w:tcBorders>
          </w:tcPr>
          <w:p>
            <w:pPr>
              <w:pStyle w:val="TableParagraph"/>
              <w:rPr>
                <w:rFonts w:ascii="Times New Roman"/>
                <w:sz w:val="20"/>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3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rPr>
                <w:rFonts w:ascii="Times New Roman"/>
                <w:sz w:val="20"/>
              </w:rPr>
            </w:pPr>
          </w:p>
        </w:tc>
        <w:tc>
          <w:tcPr>
            <w:tcW w:w="1344"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6" w:line="278" w:lineRule="auto"/>
              <w:ind w:left="360" w:right="121" w:hanging="212"/>
              <w:rPr>
                <w:sz w:val="21"/>
              </w:rPr>
            </w:pPr>
            <w:r>
              <w:rPr>
                <w:sz w:val="21"/>
              </w:rPr>
              <w:t>深层承压水禁采区</w:t>
            </w:r>
          </w:p>
        </w:tc>
        <w:tc>
          <w:tcPr>
            <w:tcW w:w="3868" w:type="dxa"/>
            <w:gridSpan w:val="2"/>
            <w:tcBorders>
              <w:top w:val="single" w:sz="6" w:space="0" w:color="000000"/>
              <w:left w:val="single" w:sz="6" w:space="0" w:color="000000"/>
              <w:bottom w:val="nil"/>
              <w:right w:val="single" w:sz="6" w:space="0" w:color="000000"/>
            </w:tcBorders>
          </w:tcPr>
          <w:p>
            <w:pPr>
              <w:pStyle w:val="TableParagraph"/>
              <w:spacing w:before="51" w:line="263" w:lineRule="exact"/>
              <w:ind w:left="111"/>
              <w:rPr>
                <w:sz w:val="21"/>
              </w:rPr>
            </w:pPr>
            <w:r>
              <w:rPr>
                <w:sz w:val="21"/>
              </w:rPr>
              <w:t>德州全市属于地下水超采区，根据《山</w:t>
            </w:r>
          </w:p>
        </w:tc>
        <w:tc>
          <w:tcPr>
            <w:tcW w:w="2035" w:type="dxa"/>
            <w:vMerge w:val="restart"/>
            <w:tcBorders>
              <w:top w:val="single" w:sz="6" w:space="0" w:color="000000"/>
              <w:left w:val="single" w:sz="6" w:space="0" w:color="000000"/>
              <w:bottom w:val="single" w:sz="6" w:space="0" w:color="000000"/>
              <w:right w:val="single" w:sz="12" w:space="0" w:color="000000"/>
            </w:tcBorders>
          </w:tcPr>
          <w:p>
            <w:pPr>
              <w:pStyle w:val="TableParagraph"/>
              <w:spacing w:before="9"/>
              <w:rPr>
                <w:sz w:val="28"/>
              </w:rPr>
            </w:pPr>
          </w:p>
          <w:p>
            <w:pPr>
              <w:pStyle w:val="TableParagraph"/>
              <w:spacing w:line="280" w:lineRule="auto"/>
              <w:ind w:left="109" w:right="216"/>
              <w:jc w:val="both"/>
              <w:rPr>
                <w:sz w:val="21"/>
              </w:rPr>
            </w:pPr>
            <w:r>
              <w:rPr>
                <w:sz w:val="21"/>
              </w:rPr>
              <w:t>本项目用水主要为职工用水，由德州市经济技术开发区市政供水管网提</w:t>
            </w:r>
          </w:p>
          <w:p>
            <w:pPr>
              <w:pStyle w:val="TableParagraph"/>
              <w:spacing w:line="278" w:lineRule="auto"/>
              <w:ind w:left="53" w:right="50"/>
              <w:jc w:val="center"/>
              <w:rPr>
                <w:sz w:val="21"/>
              </w:rPr>
            </w:pPr>
            <w:r>
              <w:rPr>
                <w:sz w:val="21"/>
              </w:rPr>
              <w:t>供，不开采地下水， 水资源消耗量较</w:t>
            </w:r>
          </w:p>
          <w:p>
            <w:pPr>
              <w:pStyle w:val="TableParagraph"/>
              <w:spacing w:line="278" w:lineRule="auto"/>
              <w:ind w:left="109" w:right="216"/>
              <w:jc w:val="center"/>
              <w:rPr>
                <w:sz w:val="21"/>
              </w:rPr>
            </w:pPr>
            <w:r>
              <w:rPr>
                <w:sz w:val="21"/>
              </w:rPr>
              <w:t>小，不会触及区域水资源利用上线， 符合水资源利用上线要求。</w:t>
            </w:r>
          </w:p>
        </w:tc>
        <w:tc>
          <w:tcPr>
            <w:tcW w:w="124"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4" w:line="260" w:lineRule="exact"/>
              <w:ind w:left="111"/>
              <w:rPr>
                <w:sz w:val="21"/>
              </w:rPr>
            </w:pPr>
            <w:r>
              <w:rPr>
                <w:sz w:val="21"/>
              </w:rPr>
              <w:t>东省地下水超采区综合整治实施方案》</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2" w:line="263" w:lineRule="exact"/>
              <w:ind w:left="183"/>
              <w:rPr>
                <w:sz w:val="21"/>
              </w:rPr>
            </w:pPr>
            <w:r>
              <w:rPr>
                <w:sz w:val="21"/>
              </w:rPr>
              <w:t>的要求，除居民生活用水与应急供水</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86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before="7"/>
              <w:rPr>
                <w:sz w:val="17"/>
              </w:rPr>
            </w:pPr>
          </w:p>
          <w:p>
            <w:pPr>
              <w:pStyle w:val="TableParagraph"/>
              <w:ind w:left="114"/>
              <w:rPr>
                <w:rFonts w:ascii="Times New Roman"/>
                <w:sz w:val="21"/>
              </w:rPr>
            </w:pPr>
            <w:r>
              <w:rPr>
                <w:rFonts w:ascii="Times New Roman"/>
                <w:sz w:val="21"/>
              </w:rPr>
              <w:t>3.2.1</w:t>
            </w:r>
          </w:p>
          <w:p>
            <w:pPr>
              <w:pStyle w:val="TableParagraph"/>
              <w:spacing w:before="47" w:line="280" w:lineRule="auto"/>
              <w:ind w:left="114" w:right="93"/>
              <w:jc w:val="both"/>
              <w:rPr>
                <w:sz w:val="21"/>
              </w:rPr>
            </w:pPr>
            <w:r>
              <w:rPr>
                <w:sz w:val="21"/>
              </w:rPr>
              <w:t>水资源利用上线</w:t>
            </w: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4" w:line="278" w:lineRule="auto"/>
              <w:ind w:left="183" w:right="302"/>
              <w:jc w:val="both"/>
              <w:rPr>
                <w:sz w:val="21"/>
              </w:rPr>
            </w:pPr>
            <w:r>
              <w:rPr>
                <w:spacing w:val="-4"/>
                <w:sz w:val="21"/>
              </w:rPr>
              <w:t>外，严禁新增地下水取水量；确需取用地下水的，要在现有地下水开采总量控制指标内调剂解决，并逐步削减地下水开采量。取用地下水总量已达到或超过控制指标的地区，暂停审批</w:t>
            </w:r>
          </w:p>
          <w:p>
            <w:pPr>
              <w:pStyle w:val="TableParagraph"/>
              <w:spacing w:before="5" w:line="260" w:lineRule="exact"/>
              <w:ind w:left="183"/>
              <w:rPr>
                <w:sz w:val="21"/>
              </w:rPr>
            </w:pPr>
            <w:r>
              <w:rPr>
                <w:spacing w:val="-3"/>
                <w:sz w:val="21"/>
              </w:rPr>
              <w:t>其建设项目新增取用地下水。实行地</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2" w:line="260" w:lineRule="exact"/>
              <w:ind w:left="183"/>
              <w:rPr>
                <w:sz w:val="21"/>
              </w:rPr>
            </w:pPr>
            <w:r>
              <w:rPr>
                <w:sz w:val="21"/>
              </w:rPr>
              <w:t>下水用水总量和水位双控，加强超采</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rPr>
                <w:rFonts w:ascii="Times New Roman"/>
                <w:sz w:val="20"/>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nil"/>
              <w:right w:val="single" w:sz="6" w:space="0" w:color="000000"/>
            </w:tcBorders>
          </w:tcPr>
          <w:p>
            <w:pPr>
              <w:pStyle w:val="TableParagraph"/>
              <w:spacing w:before="12" w:line="263" w:lineRule="exact"/>
              <w:ind w:left="183"/>
              <w:rPr>
                <w:sz w:val="21"/>
              </w:rPr>
            </w:pPr>
            <w:r>
              <w:rPr>
                <w:sz w:val="21"/>
              </w:rPr>
              <w:t>地区地下水监测和治理，推动实现地</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3868" w:type="dxa"/>
            <w:gridSpan w:val="2"/>
            <w:tcBorders>
              <w:top w:val="nil"/>
              <w:left w:val="single" w:sz="6" w:space="0" w:color="000000"/>
              <w:bottom w:val="single" w:sz="6" w:space="0" w:color="000000"/>
              <w:right w:val="single" w:sz="6" w:space="0" w:color="000000"/>
            </w:tcBorders>
          </w:tcPr>
          <w:p>
            <w:pPr>
              <w:pStyle w:val="TableParagraph"/>
              <w:spacing w:before="14"/>
              <w:ind w:left="1129"/>
              <w:rPr>
                <w:sz w:val="21"/>
              </w:rPr>
            </w:pPr>
            <w:r>
              <w:rPr>
                <w:sz w:val="21"/>
              </w:rPr>
              <w:t>下水水位回升。</w:t>
            </w:r>
          </w:p>
        </w:tc>
        <w:tc>
          <w:tcPr>
            <w:tcW w:w="2035" w:type="dxa"/>
            <w:vMerge/>
            <w:tcBorders>
              <w:top w:val="nil"/>
              <w:left w:val="single" w:sz="6" w:space="0" w:color="000000"/>
              <w:bottom w:val="single" w:sz="6" w:space="0" w:color="000000"/>
              <w:right w:val="single" w:sz="12" w:space="0" w:color="000000"/>
            </w:tcBorders>
          </w:tcPr>
          <w:p>
            <w:pPr>
              <w:rPr>
                <w:sz w:val="2"/>
                <w:szCs w:val="2"/>
              </w:rPr>
            </w:pPr>
          </w:p>
        </w:tc>
        <w:tc>
          <w:tcPr>
            <w:tcW w:w="124"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31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7902" w:type="dxa"/>
            <w:gridSpan w:val="5"/>
            <w:tcBorders>
              <w:top w:val="single" w:sz="6" w:space="0" w:color="000000"/>
              <w:left w:val="single" w:sz="12" w:space="0" w:color="000000"/>
              <w:bottom w:val="single" w:sz="6" w:space="0" w:color="000000"/>
              <w:right w:val="single" w:sz="12" w:space="0" w:color="000000"/>
            </w:tcBorders>
          </w:tcPr>
          <w:p>
            <w:pPr>
              <w:pStyle w:val="TableParagraph"/>
              <w:spacing w:line="263" w:lineRule="exact"/>
              <w:ind w:left="2060" w:right="2030"/>
              <w:jc w:val="center"/>
              <w:rPr>
                <w:b/>
                <w:sz w:val="21"/>
              </w:rPr>
            </w:pPr>
            <w:r>
              <w:rPr>
                <w:rFonts w:ascii="Times New Roman" w:eastAsia="Times New Roman"/>
                <w:b/>
                <w:sz w:val="21"/>
              </w:rPr>
              <w:t>4.</w:t>
            </w:r>
            <w:r>
              <w:rPr>
                <w:b/>
                <w:sz w:val="21"/>
              </w:rPr>
              <w:t>综合管控单元划分及生态环境准入清单</w:t>
            </w:r>
          </w:p>
        </w:tc>
        <w:tc>
          <w:tcPr>
            <w:tcW w:w="124"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23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single" w:sz="6" w:space="0" w:color="000000"/>
              <w:left w:val="single" w:sz="12" w:space="0" w:color="000000"/>
              <w:bottom w:val="nil"/>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15"/>
              </w:rPr>
            </w:pPr>
          </w:p>
          <w:p>
            <w:pPr>
              <w:pStyle w:val="TableParagraph"/>
              <w:spacing w:line="225" w:lineRule="exact"/>
              <w:ind w:left="10"/>
              <w:jc w:val="center"/>
              <w:rPr>
                <w:sz w:val="21"/>
              </w:rPr>
            </w:pPr>
            <w:r>
              <w:rPr>
                <w:w w:val="100"/>
                <w:sz w:val="21"/>
              </w:rPr>
              <w:t>表</w:t>
            </w:r>
          </w:p>
        </w:tc>
        <w:tc>
          <w:tcPr>
            <w:tcW w:w="1344" w:type="dxa"/>
            <w:tcBorders>
              <w:top w:val="single" w:sz="6" w:space="0" w:color="000000"/>
              <w:left w:val="single" w:sz="6" w:space="0" w:color="000000"/>
              <w:bottom w:val="nil"/>
              <w:right w:val="single" w:sz="6" w:space="0" w:color="000000"/>
            </w:tcBorders>
          </w:tcPr>
          <w:p>
            <w:pPr>
              <w:pStyle w:val="TableParagraph"/>
              <w:rPr>
                <w:rFonts w:ascii="Times New Roman"/>
                <w:sz w:val="20"/>
              </w:rPr>
            </w:pPr>
          </w:p>
        </w:tc>
        <w:tc>
          <w:tcPr>
            <w:tcW w:w="538" w:type="dxa"/>
            <w:vMerge w:val="restart"/>
            <w:tcBorders>
              <w:top w:val="single" w:sz="6" w:space="0" w:color="000000"/>
              <w:left w:val="single" w:sz="6" w:space="0" w:color="000000"/>
              <w:bottom w:val="single" w:sz="24"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1"/>
              </w:rPr>
            </w:pPr>
          </w:p>
          <w:p>
            <w:pPr>
              <w:pStyle w:val="TableParagraph"/>
              <w:spacing w:line="278" w:lineRule="auto"/>
              <w:ind w:left="164" w:right="145"/>
              <w:jc w:val="both"/>
              <w:rPr>
                <w:sz w:val="21"/>
              </w:rPr>
            </w:pPr>
            <w:r>
              <w:rPr>
                <w:sz w:val="21"/>
              </w:rPr>
              <w:t>禁止开发建设活动的要求</w:t>
            </w:r>
          </w:p>
        </w:tc>
        <w:tc>
          <w:tcPr>
            <w:tcW w:w="3330" w:type="dxa"/>
            <w:vMerge w:val="restart"/>
            <w:tcBorders>
              <w:top w:val="single" w:sz="6" w:space="0" w:color="000000"/>
              <w:left w:val="single" w:sz="6" w:space="0" w:color="000000"/>
              <w:bottom w:val="single" w:sz="24" w:space="0" w:color="000000"/>
              <w:right w:val="single" w:sz="6" w:space="0" w:color="000000"/>
            </w:tcBorders>
          </w:tcPr>
          <w:p>
            <w:pPr>
              <w:pStyle w:val="TableParagraph"/>
              <w:spacing w:line="242" w:lineRule="auto"/>
              <w:ind w:left="116" w:right="24"/>
              <w:rPr>
                <w:sz w:val="21"/>
              </w:rPr>
            </w:pPr>
            <w:r>
              <w:rPr>
                <w:rFonts w:ascii="Times New Roman" w:eastAsia="Times New Roman"/>
                <w:sz w:val="21"/>
              </w:rPr>
              <w:t>1</w:t>
            </w:r>
            <w:r>
              <w:rPr>
                <w:sz w:val="21"/>
              </w:rPr>
              <w:t>、禁止新建国家《产业结构调整指导目录》规定的限制类和淘汰类工艺、技术、装备及产品的生产项目。</w:t>
            </w:r>
          </w:p>
          <w:p>
            <w:pPr>
              <w:pStyle w:val="TableParagraph"/>
              <w:spacing w:line="244" w:lineRule="auto"/>
              <w:ind w:left="116" w:right="149"/>
              <w:rPr>
                <w:sz w:val="21"/>
              </w:rPr>
            </w:pPr>
            <w:r>
              <w:rPr>
                <w:rFonts w:ascii="Times New Roman" w:eastAsia="Times New Roman"/>
                <w:sz w:val="21"/>
              </w:rPr>
              <w:t>2</w:t>
            </w:r>
            <w:r>
              <w:rPr>
                <w:sz w:val="21"/>
              </w:rPr>
              <w:t>、禁止新建光气生产项目（不含延长产业链项目）。</w:t>
            </w:r>
          </w:p>
          <w:p>
            <w:pPr>
              <w:pStyle w:val="TableParagraph"/>
              <w:spacing w:line="244" w:lineRule="auto"/>
              <w:ind w:left="116" w:right="53"/>
              <w:rPr>
                <w:sz w:val="21"/>
              </w:rPr>
            </w:pPr>
            <w:r>
              <w:rPr>
                <w:rFonts w:ascii="Times New Roman" w:eastAsia="Times New Roman"/>
                <w:sz w:val="21"/>
              </w:rPr>
              <w:t>3</w:t>
            </w:r>
            <w:r>
              <w:rPr>
                <w:spacing w:val="-14"/>
                <w:sz w:val="21"/>
              </w:rPr>
              <w:t>、禁止新建有色金属冶炼项目</w:t>
            </w:r>
            <w:r>
              <w:rPr>
                <w:sz w:val="21"/>
              </w:rPr>
              <w:t>（</w:t>
            </w:r>
            <w:r>
              <w:rPr>
                <w:spacing w:val="-17"/>
                <w:sz w:val="21"/>
              </w:rPr>
              <w:t>不</w:t>
            </w:r>
            <w:r>
              <w:rPr>
                <w:spacing w:val="-1"/>
                <w:sz w:val="21"/>
              </w:rPr>
              <w:t>含压延加工</w:t>
            </w:r>
            <w:r>
              <w:rPr>
                <w:sz w:val="21"/>
              </w:rPr>
              <w:t>）。</w:t>
            </w:r>
          </w:p>
          <w:p>
            <w:pPr>
              <w:pStyle w:val="TableParagraph"/>
              <w:spacing w:line="268" w:lineRule="exact"/>
              <w:ind w:left="116"/>
              <w:rPr>
                <w:sz w:val="21"/>
              </w:rPr>
            </w:pPr>
            <w:r>
              <w:rPr>
                <w:rFonts w:ascii="Times New Roman" w:eastAsia="Times New Roman"/>
                <w:sz w:val="21"/>
              </w:rPr>
              <w:t>4</w:t>
            </w:r>
            <w:r>
              <w:rPr>
                <w:sz w:val="21"/>
              </w:rPr>
              <w:t>、禁止新建再生铅项目。</w:t>
            </w:r>
          </w:p>
          <w:p>
            <w:pPr>
              <w:pStyle w:val="TableParagraph"/>
              <w:ind w:left="116"/>
              <w:rPr>
                <w:sz w:val="21"/>
              </w:rPr>
            </w:pPr>
            <w:r>
              <w:rPr>
                <w:rFonts w:ascii="Times New Roman" w:eastAsia="Times New Roman"/>
                <w:sz w:val="21"/>
              </w:rPr>
              <w:t>5</w:t>
            </w:r>
            <w:r>
              <w:rPr>
                <w:sz w:val="21"/>
              </w:rPr>
              <w:t>、禁止新建石棉制品项目。</w:t>
            </w:r>
          </w:p>
          <w:p>
            <w:pPr>
              <w:pStyle w:val="TableParagraph"/>
              <w:spacing w:line="242" w:lineRule="auto"/>
              <w:ind w:left="116" w:right="43"/>
              <w:rPr>
                <w:sz w:val="21"/>
              </w:rPr>
            </w:pPr>
            <w:r>
              <w:rPr>
                <w:rFonts w:ascii="Times New Roman" w:eastAsia="Times New Roman"/>
                <w:sz w:val="21"/>
              </w:rPr>
              <w:t>6</w:t>
            </w:r>
            <w:r>
              <w:rPr>
                <w:sz w:val="21"/>
              </w:rPr>
              <w:t>、禁止开采深层地下水的取水项目（饮用水按照相关要求执行）。</w:t>
            </w:r>
            <w:r>
              <w:rPr>
                <w:rFonts w:ascii="Times New Roman" w:eastAsia="Times New Roman"/>
                <w:sz w:val="21"/>
              </w:rPr>
              <w:t>7</w:t>
            </w:r>
            <w:r>
              <w:rPr>
                <w:sz w:val="21"/>
              </w:rPr>
              <w:t>、禁止新建石灰窑、粘土砖瓦窑项目。</w:t>
            </w:r>
          </w:p>
          <w:p>
            <w:pPr>
              <w:pStyle w:val="TableParagraph"/>
              <w:spacing w:line="242" w:lineRule="auto"/>
              <w:ind w:left="116" w:right="52"/>
              <w:rPr>
                <w:sz w:val="21"/>
              </w:rPr>
            </w:pPr>
            <w:r>
              <w:rPr>
                <w:rFonts w:ascii="Times New Roman" w:eastAsia="Times New Roman"/>
                <w:sz w:val="21"/>
              </w:rPr>
              <w:t>8</w:t>
            </w:r>
            <w:r>
              <w:rPr>
                <w:spacing w:val="-13"/>
                <w:sz w:val="21"/>
              </w:rPr>
              <w:t>、禁止钢铁、平板玻璃、水泥</w:t>
            </w:r>
            <w:r>
              <w:rPr>
                <w:sz w:val="21"/>
              </w:rPr>
              <w:t>（</w:t>
            </w:r>
            <w:r>
              <w:rPr>
                <w:spacing w:val="-16"/>
                <w:sz w:val="21"/>
              </w:rPr>
              <w:t>含</w:t>
            </w:r>
            <w:r>
              <w:rPr>
                <w:spacing w:val="-5"/>
                <w:sz w:val="21"/>
              </w:rPr>
              <w:t>熟料生产和粉磨站，资源综合利用</w:t>
            </w:r>
            <w:r>
              <w:rPr>
                <w:sz w:val="21"/>
              </w:rPr>
              <w:t>除外</w:t>
            </w:r>
            <w:r>
              <w:rPr>
                <w:spacing w:val="-5"/>
                <w:sz w:val="21"/>
              </w:rPr>
              <w:t>）、铸造、生活垃圾填埋</w:t>
            </w:r>
            <w:r>
              <w:rPr>
                <w:sz w:val="21"/>
              </w:rPr>
              <w:t>（</w:t>
            </w:r>
            <w:r>
              <w:rPr>
                <w:spacing w:val="-16"/>
                <w:sz w:val="21"/>
              </w:rPr>
              <w:t>含</w:t>
            </w:r>
            <w:r>
              <w:rPr>
                <w:sz w:val="21"/>
              </w:rPr>
              <w:t>扩建</w:t>
            </w:r>
            <w:r>
              <w:rPr>
                <w:spacing w:val="-5"/>
                <w:sz w:val="21"/>
              </w:rPr>
              <w:t>）</w:t>
            </w:r>
            <w:r>
              <w:rPr>
                <w:spacing w:val="-4"/>
                <w:sz w:val="21"/>
              </w:rPr>
              <w:t>等行业新增产能项目</w:t>
            </w:r>
            <w:r>
              <w:rPr>
                <w:spacing w:val="-5"/>
                <w:sz w:val="21"/>
              </w:rPr>
              <w:t>（</w:t>
            </w:r>
            <w:r>
              <w:rPr>
                <w:spacing w:val="-8"/>
                <w:sz w:val="21"/>
              </w:rPr>
              <w:t>生活</w:t>
            </w:r>
            <w:r>
              <w:rPr>
                <w:spacing w:val="-3"/>
                <w:sz w:val="21"/>
              </w:rPr>
              <w:t xml:space="preserve">垃圾焚烧处置产生的飞灰填埋场 </w:t>
            </w:r>
            <w:r>
              <w:rPr>
                <w:spacing w:val="-5"/>
                <w:sz w:val="21"/>
              </w:rPr>
              <w:t>除外，但应符合相应规划</w:t>
            </w:r>
            <w:r>
              <w:rPr>
                <w:sz w:val="21"/>
              </w:rPr>
              <w:t>）。</w:t>
            </w:r>
          </w:p>
          <w:p>
            <w:pPr>
              <w:pStyle w:val="TableParagraph"/>
              <w:spacing w:before="4" w:line="242" w:lineRule="auto"/>
              <w:ind w:left="116" w:right="24"/>
              <w:rPr>
                <w:sz w:val="21"/>
              </w:rPr>
            </w:pPr>
            <w:r>
              <w:rPr>
                <w:rFonts w:ascii="Times New Roman" w:eastAsia="Times New Roman"/>
                <w:sz w:val="21"/>
              </w:rPr>
              <w:t>9</w:t>
            </w:r>
            <w:r>
              <w:rPr>
                <w:sz w:val="21"/>
              </w:rPr>
              <w:t>、禁止新建、改建（新增设备和产能）及扩建不符合国家和省有关危险化学品生产、储存的行业规划和布局的生产项目。</w:t>
            </w:r>
          </w:p>
          <w:p>
            <w:pPr>
              <w:pStyle w:val="TableParagraph"/>
              <w:spacing w:before="3" w:line="269" w:lineRule="exact"/>
              <w:ind w:left="116"/>
              <w:rPr>
                <w:sz w:val="21"/>
              </w:rPr>
            </w:pPr>
            <w:r>
              <w:rPr>
                <w:rFonts w:ascii="Times New Roman" w:eastAsia="Times New Roman"/>
                <w:sz w:val="21"/>
              </w:rPr>
              <w:t>10</w:t>
            </w:r>
            <w:r>
              <w:rPr>
                <w:spacing w:val="-3"/>
                <w:sz w:val="21"/>
              </w:rPr>
              <w:t>、禁止新</w:t>
            </w:r>
            <w:r>
              <w:rPr>
                <w:sz w:val="21"/>
              </w:rPr>
              <w:t>（扩</w:t>
            </w:r>
            <w:r>
              <w:rPr>
                <w:spacing w:val="-5"/>
                <w:sz w:val="21"/>
              </w:rPr>
              <w:t>）</w:t>
            </w:r>
            <w:r>
              <w:rPr>
                <w:spacing w:val="-3"/>
                <w:sz w:val="21"/>
              </w:rPr>
              <w:t>建集中处置焚烧</w:t>
            </w:r>
          </w:p>
          <w:p>
            <w:pPr>
              <w:pStyle w:val="TableParagraph"/>
              <w:spacing w:line="222" w:lineRule="exact"/>
              <w:ind w:left="116"/>
              <w:rPr>
                <w:rFonts w:ascii="Times New Roman" w:eastAsia="Times New Roman"/>
                <w:sz w:val="21"/>
              </w:rPr>
            </w:pPr>
            <w:r>
              <w:rPr>
                <w:spacing w:val="-5"/>
                <w:sz w:val="21"/>
              </w:rPr>
              <w:t>设施</w:t>
            </w:r>
            <w:r>
              <w:rPr>
                <w:sz w:val="21"/>
              </w:rPr>
              <w:t>（</w:t>
            </w:r>
            <w:r>
              <w:rPr>
                <w:spacing w:val="-4"/>
                <w:sz w:val="21"/>
              </w:rPr>
              <w:t>年危险废物产生量大于</w:t>
            </w:r>
            <w:r>
              <w:rPr>
                <w:rFonts w:ascii="Times New Roman" w:eastAsia="Times New Roman"/>
                <w:sz w:val="21"/>
              </w:rPr>
              <w:t>5000</w:t>
            </w:r>
          </w:p>
        </w:tc>
        <w:tc>
          <w:tcPr>
            <w:tcW w:w="2035" w:type="dxa"/>
            <w:vMerge w:val="restart"/>
            <w:tcBorders>
              <w:top w:val="single" w:sz="6" w:space="0" w:color="000000"/>
              <w:left w:val="single" w:sz="6" w:space="0" w:color="000000"/>
              <w:bottom w:val="single" w:sz="24"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2"/>
              </w:rPr>
            </w:pPr>
          </w:p>
          <w:p>
            <w:pPr>
              <w:pStyle w:val="TableParagraph"/>
              <w:spacing w:before="1" w:line="278" w:lineRule="auto"/>
              <w:ind w:left="142" w:right="-29"/>
              <w:rPr>
                <w:sz w:val="21"/>
              </w:rPr>
            </w:pPr>
            <w:r>
              <w:rPr>
                <w:spacing w:val="-16"/>
                <w:sz w:val="21"/>
              </w:rPr>
              <w:t>项目为河湖整治</w:t>
            </w:r>
            <w:r>
              <w:rPr>
                <w:sz w:val="21"/>
              </w:rPr>
              <w:t>（不</w:t>
            </w:r>
            <w:r>
              <w:rPr>
                <w:spacing w:val="-1"/>
                <w:sz w:val="21"/>
              </w:rPr>
              <w:t>含农村塘堰、水渠</w:t>
            </w:r>
            <w:r>
              <w:rPr>
                <w:spacing w:val="-17"/>
                <w:sz w:val="21"/>
              </w:rPr>
              <w:t xml:space="preserve">） </w:t>
            </w:r>
            <w:r>
              <w:rPr>
                <w:spacing w:val="-24"/>
                <w:sz w:val="21"/>
              </w:rPr>
              <w:t xml:space="preserve">及防洪除涝工程，不  </w:t>
            </w:r>
            <w:r>
              <w:rPr>
                <w:spacing w:val="-1"/>
                <w:sz w:val="21"/>
              </w:rPr>
              <w:t xml:space="preserve">属于左侧所列的禁 </w:t>
            </w:r>
            <w:r>
              <w:rPr>
                <w:spacing w:val="-14"/>
                <w:sz w:val="21"/>
              </w:rPr>
              <w:t>止开发建设活动，符</w:t>
            </w:r>
          </w:p>
          <w:p>
            <w:pPr>
              <w:pStyle w:val="TableParagraph"/>
              <w:spacing w:before="4"/>
              <w:ind w:left="829"/>
              <w:rPr>
                <w:sz w:val="21"/>
              </w:rPr>
            </w:pPr>
            <w:r>
              <w:rPr>
                <w:sz w:val="21"/>
              </w:rPr>
              <w:t>合。</w:t>
            </w:r>
          </w:p>
        </w:tc>
        <w:tc>
          <w:tcPr>
            <w:tcW w:w="124"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46"/>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27" w:lineRule="exact"/>
              <w:ind w:left="87" w:right="68"/>
              <w:jc w:val="center"/>
              <w:rPr>
                <w:rFonts w:ascii="Times New Roman"/>
                <w:sz w:val="21"/>
              </w:rPr>
            </w:pPr>
            <w:r>
              <w:rPr>
                <w:rFonts w:ascii="Times New Roman"/>
                <w:sz w:val="21"/>
              </w:rPr>
              <w:t>4.2-1</w:t>
            </w:r>
          </w:p>
        </w:tc>
        <w:tc>
          <w:tcPr>
            <w:tcW w:w="1344" w:type="dxa"/>
            <w:tcBorders>
              <w:top w:val="nil"/>
              <w:left w:val="single" w:sz="6" w:space="0" w:color="000000"/>
              <w:bottom w:val="nil"/>
              <w:right w:val="single" w:sz="6" w:space="0" w:color="000000"/>
            </w:tcBorders>
          </w:tcPr>
          <w:p>
            <w:pPr>
              <w:pStyle w:val="TableParagraph"/>
              <w:rPr>
                <w:rFonts w:ascii="Times New Roman"/>
                <w:sz w:val="16"/>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3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19" w:lineRule="exact"/>
              <w:ind w:left="87" w:right="68"/>
              <w:jc w:val="center"/>
              <w:rPr>
                <w:sz w:val="21"/>
              </w:rPr>
            </w:pPr>
            <w:r>
              <w:rPr>
                <w:sz w:val="21"/>
              </w:rPr>
              <w:t>德州</w:t>
            </w:r>
          </w:p>
        </w:tc>
        <w:tc>
          <w:tcPr>
            <w:tcW w:w="1344" w:type="dxa"/>
            <w:tcBorders>
              <w:top w:val="nil"/>
              <w:left w:val="single" w:sz="6" w:space="0" w:color="000000"/>
              <w:bottom w:val="nil"/>
              <w:right w:val="single" w:sz="6" w:space="0" w:color="000000"/>
            </w:tcBorders>
          </w:tcPr>
          <w:p>
            <w:pPr>
              <w:pStyle w:val="TableParagraph"/>
              <w:rPr>
                <w:rFonts w:ascii="Times New Roman"/>
                <w:sz w:val="16"/>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2" w:lineRule="exact"/>
              <w:ind w:left="87" w:right="68"/>
              <w:jc w:val="center"/>
              <w:rPr>
                <w:sz w:val="21"/>
              </w:rPr>
            </w:pPr>
            <w:r>
              <w:rPr>
                <w:sz w:val="21"/>
              </w:rPr>
              <w:t>市生</w:t>
            </w:r>
          </w:p>
        </w:tc>
        <w:tc>
          <w:tcPr>
            <w:tcW w:w="1344" w:type="dxa"/>
            <w:tcBorders>
              <w:top w:val="nil"/>
              <w:left w:val="single" w:sz="6" w:space="0" w:color="000000"/>
              <w:bottom w:val="nil"/>
              <w:right w:val="single" w:sz="6" w:space="0" w:color="000000"/>
            </w:tcBorders>
          </w:tcPr>
          <w:p>
            <w:pPr>
              <w:pStyle w:val="TableParagraph"/>
              <w:rPr>
                <w:rFonts w:ascii="Times New Roman"/>
                <w:sz w:val="18"/>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44" w:lineRule="exact"/>
              <w:ind w:left="87" w:right="68"/>
              <w:jc w:val="center"/>
              <w:rPr>
                <w:sz w:val="21"/>
              </w:rPr>
            </w:pPr>
            <w:r>
              <w:rPr>
                <w:sz w:val="21"/>
              </w:rPr>
              <w:t>态环</w:t>
            </w:r>
          </w:p>
        </w:tc>
        <w:tc>
          <w:tcPr>
            <w:tcW w:w="1344" w:type="dxa"/>
            <w:tcBorders>
              <w:top w:val="nil"/>
              <w:left w:val="single" w:sz="6" w:space="0" w:color="000000"/>
              <w:bottom w:val="nil"/>
              <w:right w:val="single" w:sz="6" w:space="0" w:color="000000"/>
            </w:tcBorders>
          </w:tcPr>
          <w:p>
            <w:pPr>
              <w:pStyle w:val="TableParagraph"/>
              <w:spacing w:before="11" w:line="233" w:lineRule="exact"/>
              <w:ind w:left="125" w:right="100"/>
              <w:jc w:val="center"/>
              <w:rPr>
                <w:sz w:val="21"/>
              </w:rPr>
            </w:pPr>
            <w:r>
              <w:rPr>
                <w:sz w:val="21"/>
              </w:rPr>
              <w:t>空间布局约</w:t>
            </w: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2" w:lineRule="exact"/>
              <w:ind w:left="87" w:right="68"/>
              <w:jc w:val="center"/>
              <w:rPr>
                <w:sz w:val="21"/>
              </w:rPr>
            </w:pPr>
            <w:r>
              <w:rPr>
                <w:sz w:val="21"/>
              </w:rPr>
              <w:t>境准</w:t>
            </w:r>
          </w:p>
        </w:tc>
        <w:tc>
          <w:tcPr>
            <w:tcW w:w="1344" w:type="dxa"/>
            <w:tcBorders>
              <w:top w:val="nil"/>
              <w:left w:val="single" w:sz="6" w:space="0" w:color="000000"/>
              <w:bottom w:val="nil"/>
              <w:right w:val="single" w:sz="6" w:space="0" w:color="000000"/>
            </w:tcBorders>
          </w:tcPr>
          <w:p>
            <w:pPr>
              <w:pStyle w:val="TableParagraph"/>
              <w:spacing w:line="232" w:lineRule="exact"/>
              <w:ind w:left="16"/>
              <w:jc w:val="center"/>
              <w:rPr>
                <w:sz w:val="21"/>
              </w:rPr>
            </w:pPr>
            <w:r>
              <w:rPr>
                <w:w w:val="100"/>
                <w:sz w:val="21"/>
              </w:rPr>
              <w:t>束</w:t>
            </w: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4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25" w:lineRule="exact"/>
              <w:ind w:left="87" w:right="68"/>
              <w:jc w:val="center"/>
              <w:rPr>
                <w:sz w:val="21"/>
              </w:rPr>
            </w:pPr>
            <w:r>
              <w:rPr>
                <w:sz w:val="21"/>
              </w:rPr>
              <w:t>入清</w:t>
            </w:r>
          </w:p>
        </w:tc>
        <w:tc>
          <w:tcPr>
            <w:tcW w:w="1344" w:type="dxa"/>
            <w:tcBorders>
              <w:top w:val="nil"/>
              <w:left w:val="single" w:sz="6" w:space="0" w:color="000000"/>
              <w:bottom w:val="nil"/>
              <w:right w:val="single" w:sz="6" w:space="0" w:color="000000"/>
            </w:tcBorders>
          </w:tcPr>
          <w:p>
            <w:pPr>
              <w:pStyle w:val="TableParagraph"/>
              <w:rPr>
                <w:rFonts w:ascii="Times New Roman"/>
                <w:sz w:val="16"/>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2" w:lineRule="exact"/>
              <w:ind w:left="10"/>
              <w:jc w:val="center"/>
              <w:rPr>
                <w:sz w:val="21"/>
              </w:rPr>
            </w:pPr>
            <w:r>
              <w:rPr>
                <w:w w:val="100"/>
                <w:sz w:val="21"/>
              </w:rPr>
              <w:t>单</w:t>
            </w:r>
          </w:p>
        </w:tc>
        <w:tc>
          <w:tcPr>
            <w:tcW w:w="1344" w:type="dxa"/>
            <w:tcBorders>
              <w:top w:val="nil"/>
              <w:left w:val="single" w:sz="6" w:space="0" w:color="000000"/>
              <w:bottom w:val="nil"/>
              <w:right w:val="single" w:sz="6" w:space="0" w:color="000000"/>
            </w:tcBorders>
          </w:tcPr>
          <w:p>
            <w:pPr>
              <w:pStyle w:val="TableParagraph"/>
              <w:rPr>
                <w:rFonts w:ascii="Times New Roman"/>
                <w:sz w:val="18"/>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nil"/>
              <w:right w:val="single" w:sz="6" w:space="0" w:color="000000"/>
            </w:tcBorders>
          </w:tcPr>
          <w:p>
            <w:pPr>
              <w:pStyle w:val="TableParagraph"/>
              <w:spacing w:line="234" w:lineRule="exact"/>
              <w:ind w:left="87" w:right="68"/>
              <w:jc w:val="center"/>
              <w:rPr>
                <w:sz w:val="21"/>
              </w:rPr>
            </w:pPr>
            <w:r>
              <w:rPr>
                <w:sz w:val="21"/>
              </w:rPr>
              <w:t>（总</w:t>
            </w:r>
          </w:p>
        </w:tc>
        <w:tc>
          <w:tcPr>
            <w:tcW w:w="1344" w:type="dxa"/>
            <w:tcBorders>
              <w:top w:val="nil"/>
              <w:left w:val="single" w:sz="6" w:space="0" w:color="000000"/>
              <w:bottom w:val="nil"/>
              <w:right w:val="single" w:sz="6" w:space="0" w:color="000000"/>
            </w:tcBorders>
          </w:tcPr>
          <w:p>
            <w:pPr>
              <w:pStyle w:val="TableParagraph"/>
              <w:rPr>
                <w:rFonts w:ascii="Times New Roman"/>
                <w:sz w:val="18"/>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6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tcBorders>
              <w:top w:val="nil"/>
              <w:left w:val="single" w:sz="12" w:space="0" w:color="000000"/>
              <w:bottom w:val="single" w:sz="24" w:space="0" w:color="000000"/>
              <w:right w:val="single" w:sz="6" w:space="0" w:color="000000"/>
            </w:tcBorders>
          </w:tcPr>
          <w:p>
            <w:pPr>
              <w:pStyle w:val="TableParagraph"/>
              <w:spacing w:line="263" w:lineRule="exact"/>
              <w:ind w:left="87" w:right="68"/>
              <w:jc w:val="center"/>
              <w:rPr>
                <w:sz w:val="21"/>
              </w:rPr>
            </w:pPr>
            <w:r>
              <w:rPr>
                <w:sz w:val="21"/>
              </w:rPr>
              <w:t>则）</w:t>
            </w:r>
          </w:p>
        </w:tc>
        <w:tc>
          <w:tcPr>
            <w:tcW w:w="1344" w:type="dxa"/>
            <w:tcBorders>
              <w:top w:val="nil"/>
              <w:left w:val="single" w:sz="6" w:space="0" w:color="000000"/>
              <w:bottom w:val="single" w:sz="24" w:space="0" w:color="000000"/>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30" w:type="dxa"/>
            <w:vMerge/>
            <w:tcBorders>
              <w:top w:val="nil"/>
              <w:left w:val="single" w:sz="6" w:space="0" w:color="000000"/>
              <w:bottom w:val="single" w:sz="24" w:space="0" w:color="000000"/>
              <w:right w:val="single" w:sz="6" w:space="0" w:color="000000"/>
            </w:tcBorders>
          </w:tcPr>
          <w:p>
            <w:pPr>
              <w:rPr>
                <w:sz w:val="2"/>
                <w:szCs w:val="2"/>
              </w:rPr>
            </w:pPr>
          </w:p>
        </w:tc>
        <w:tc>
          <w:tcPr>
            <w:tcW w:w="2035" w:type="dxa"/>
            <w:vMerge/>
            <w:tcBorders>
              <w:top w:val="nil"/>
              <w:left w:val="single" w:sz="6" w:space="0" w:color="000000"/>
              <w:bottom w:val="single" w:sz="24" w:space="0" w:color="000000"/>
              <w:right w:val="single" w:sz="12" w:space="0" w:color="000000"/>
            </w:tcBorders>
          </w:tcPr>
          <w:p>
            <w:pPr>
              <w:rPr>
                <w:sz w:val="2"/>
                <w:szCs w:val="2"/>
              </w:rPr>
            </w:pPr>
          </w:p>
        </w:tc>
        <w:tc>
          <w:tcPr>
            <w:tcW w:w="124" w:type="dxa"/>
            <w:vMerge/>
            <w:tcBorders>
              <w:top w:val="nil"/>
              <w:left w:val="single" w:sz="12" w:space="0" w:color="000000"/>
            </w:tcBorders>
          </w:tcPr>
          <w:p>
            <w:pPr>
              <w:rPr>
                <w:sz w:val="2"/>
                <w:szCs w:val="2"/>
              </w:rPr>
            </w:pPr>
          </w:p>
        </w:tc>
      </w:tr>
    </w:tbl>
    <w:p>
      <w:pPr>
        <w:pStyle w:val="BodyText"/>
        <w:rPr>
          <w:sz w:val="20"/>
        </w:rPr>
      </w:pPr>
    </w:p>
    <w:p>
      <w:pPr>
        <w:pStyle w:val="BodyText"/>
        <w:spacing w:before="6"/>
        <w:rPr>
          <w:sz w:val="25"/>
        </w:rPr>
      </w:pPr>
    </w:p>
    <w:p>
      <w:pPr>
        <w:spacing w:before="59"/>
        <w:ind w:left="0" w:right="705" w:firstLine="0"/>
        <w:jc w:val="right"/>
        <w:rPr>
          <w:sz w:val="28"/>
        </w:rPr>
      </w:pPr>
      <w:r>
        <w:rPr>
          <w:w w:val="95"/>
          <w:sz w:val="28"/>
        </w:rPr>
        <w:t>—</w:t>
      </w:r>
      <w:r>
        <w:rPr>
          <w:w w:val="95"/>
          <w:sz w:val="26"/>
        </w:rPr>
        <w:t>4</w:t>
      </w:r>
      <w:r>
        <w:rPr>
          <w:w w:val="95"/>
          <w:sz w:val="28"/>
        </w:rPr>
        <w:t>—</w:t>
      </w:r>
    </w:p>
    <w:p>
      <w:pPr>
        <w:spacing w:after="0"/>
        <w:jc w:val="right"/>
        <w:rPr>
          <w:sz w:val="28"/>
        </w:rPr>
        <w:sectPr>
          <w:pgSz w:w="11910" w:h="16840"/>
          <w:pgMar w:top="1580" w:right="820" w:bottom="280" w:left="980" w:header="720" w:footer="720" w:gutter="0"/>
          <w:pgNumType w:start="9"/>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168"/>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thinThickMediumGap" w:sz="6"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6" w:space="0" w:color="000000"/>
              <w:right w:val="single" w:sz="6" w:space="0" w:color="000000"/>
            </w:tcBorders>
          </w:tcPr>
          <w:p>
            <w:pPr>
              <w:pStyle w:val="TableParagraph"/>
              <w:spacing w:line="242" w:lineRule="auto"/>
              <w:ind w:left="116" w:right="69"/>
              <w:rPr>
                <w:sz w:val="21"/>
              </w:rPr>
            </w:pPr>
            <w:r>
              <w:rPr>
                <w:spacing w:val="-3"/>
                <w:sz w:val="21"/>
              </w:rPr>
              <w:t>吨的企业自建配套焚烧设施除外</w:t>
            </w:r>
            <w:r>
              <w:rPr>
                <w:spacing w:val="-17"/>
                <w:sz w:val="21"/>
              </w:rPr>
              <w:t xml:space="preserve">） </w:t>
            </w:r>
            <w:r>
              <w:rPr>
                <w:spacing w:val="-5"/>
                <w:sz w:val="21"/>
              </w:rPr>
              <w:t xml:space="preserve">和填埋场项目；对于其他已建及在建的危险废物利用处置能力接近 </w:t>
            </w:r>
            <w:r>
              <w:rPr>
                <w:spacing w:val="-6"/>
                <w:sz w:val="21"/>
              </w:rPr>
              <w:t>饱和或过剩的危险废物类别，禁止</w:t>
            </w:r>
            <w:r>
              <w:rPr>
                <w:spacing w:val="-5"/>
                <w:sz w:val="21"/>
              </w:rPr>
              <w:t>新</w:t>
            </w:r>
            <w:r>
              <w:rPr>
                <w:sz w:val="21"/>
              </w:rPr>
              <w:t>（扩</w:t>
            </w:r>
            <w:r>
              <w:rPr>
                <w:spacing w:val="-5"/>
                <w:sz w:val="21"/>
              </w:rPr>
              <w:t>）</w:t>
            </w:r>
            <w:r>
              <w:rPr>
                <w:spacing w:val="-4"/>
                <w:sz w:val="21"/>
              </w:rPr>
              <w:t>建该类别危险废物利用处</w:t>
            </w:r>
            <w:r>
              <w:rPr>
                <w:spacing w:val="-5"/>
                <w:sz w:val="21"/>
              </w:rPr>
              <w:t>置设施项目。</w:t>
            </w:r>
          </w:p>
          <w:p>
            <w:pPr>
              <w:pStyle w:val="TableParagraph"/>
              <w:spacing w:before="2"/>
              <w:ind w:left="116"/>
              <w:rPr>
                <w:sz w:val="21"/>
              </w:rPr>
            </w:pPr>
            <w:r>
              <w:rPr>
                <w:rFonts w:ascii="Times New Roman" w:eastAsia="Times New Roman"/>
                <w:sz w:val="21"/>
              </w:rPr>
              <w:t>11</w:t>
            </w:r>
            <w:r>
              <w:rPr>
                <w:sz w:val="21"/>
              </w:rPr>
              <w:t>、禁止新（扩）建废矿物油综合</w:t>
            </w:r>
          </w:p>
          <w:p>
            <w:pPr>
              <w:pStyle w:val="TableParagraph"/>
              <w:spacing w:before="5" w:line="242" w:lineRule="exact"/>
              <w:ind w:left="116"/>
              <w:rPr>
                <w:sz w:val="21"/>
              </w:rPr>
            </w:pPr>
            <w:r>
              <w:rPr>
                <w:sz w:val="21"/>
              </w:rPr>
              <w:t>利用项目。</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08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4"/>
              <w:rPr>
                <w:sz w:val="29"/>
              </w:rPr>
            </w:pPr>
          </w:p>
          <w:p>
            <w:pPr>
              <w:pStyle w:val="TableParagraph"/>
              <w:spacing w:line="278" w:lineRule="auto"/>
              <w:ind w:left="164" w:right="145"/>
              <w:jc w:val="both"/>
              <w:rPr>
                <w:sz w:val="21"/>
              </w:rPr>
            </w:pPr>
            <w:r>
              <w:rPr>
                <w:sz w:val="21"/>
              </w:rPr>
              <w:t>限制开发建设活动的要求</w:t>
            </w:r>
          </w:p>
        </w:tc>
        <w:tc>
          <w:tcPr>
            <w:tcW w:w="3356" w:type="dxa"/>
            <w:tcBorders>
              <w:top w:val="single" w:sz="6" w:space="0" w:color="000000"/>
              <w:left w:val="single" w:sz="6" w:space="0" w:color="000000"/>
              <w:bottom w:val="thinThickMediumGap" w:sz="6" w:space="0" w:color="000000"/>
              <w:right w:val="single" w:sz="6" w:space="0" w:color="000000"/>
            </w:tcBorders>
          </w:tcPr>
          <w:p>
            <w:pPr>
              <w:pStyle w:val="TableParagraph"/>
              <w:spacing w:line="250" w:lineRule="exact"/>
              <w:ind w:left="20" w:right="184"/>
              <w:jc w:val="center"/>
              <w:rPr>
                <w:sz w:val="21"/>
              </w:rPr>
            </w:pPr>
            <w:r>
              <w:rPr>
                <w:sz w:val="21"/>
              </w:rPr>
              <w:t>工业项目限制开发建设的要求：</w:t>
            </w:r>
          </w:p>
          <w:p>
            <w:pPr>
              <w:pStyle w:val="TableParagraph"/>
              <w:spacing w:before="4" w:line="242" w:lineRule="auto"/>
              <w:ind w:left="116" w:right="-29"/>
              <w:jc w:val="center"/>
              <w:rPr>
                <w:sz w:val="21"/>
              </w:rPr>
            </w:pPr>
            <w:r>
              <w:rPr>
                <w:rFonts w:ascii="Times New Roman" w:eastAsia="Times New Roman" w:hAnsi="Times New Roman"/>
                <w:sz w:val="21"/>
              </w:rPr>
              <w:t>1</w:t>
            </w:r>
            <w:r>
              <w:rPr>
                <w:spacing w:val="-6"/>
                <w:sz w:val="21"/>
              </w:rPr>
              <w:t>、新建排放二氧化硫、氮氧化物、</w:t>
            </w:r>
            <w:r>
              <w:rPr>
                <w:spacing w:val="-3"/>
                <w:sz w:val="21"/>
              </w:rPr>
              <w:t xml:space="preserve">工业烟粉尘、挥发性有机物的项  </w:t>
            </w:r>
            <w:r>
              <w:rPr>
                <w:spacing w:val="-5"/>
                <w:sz w:val="21"/>
              </w:rPr>
              <w:t>目，新增污染物原则上实行区域污染物排放倍量替代（</w:t>
            </w:r>
            <w:r>
              <w:rPr>
                <w:sz w:val="21"/>
              </w:rPr>
              <w:t>按鲁环发</w:t>
            </w:r>
            <w:r>
              <w:rPr>
                <w:rFonts w:ascii="Times New Roman" w:eastAsia="Times New Roman" w:hAnsi="Times New Roman"/>
                <w:sz w:val="21"/>
              </w:rPr>
              <w:t>[2019]132</w:t>
            </w:r>
            <w:r>
              <w:rPr>
                <w:spacing w:val="-2"/>
                <w:sz w:val="21"/>
              </w:rPr>
              <w:t>号要求执行</w:t>
            </w:r>
            <w:r>
              <w:rPr>
                <w:spacing w:val="-25"/>
                <w:sz w:val="21"/>
              </w:rPr>
              <w:t>），</w:t>
            </w:r>
            <w:r>
              <w:rPr>
                <w:spacing w:val="-2"/>
                <w:sz w:val="21"/>
              </w:rPr>
              <w:t>确保增产</w:t>
            </w:r>
            <w:r>
              <w:rPr>
                <w:spacing w:val="-5"/>
                <w:sz w:val="21"/>
              </w:rPr>
              <w:t xml:space="preserve">减污。省委、省政府确定的新旧动能转换重大项目和省“双招双引” </w:t>
            </w:r>
            <w:r>
              <w:rPr>
                <w:spacing w:val="-6"/>
                <w:sz w:val="21"/>
              </w:rPr>
              <w:t>十强产业中的重点项目，按照“减</w:t>
            </w:r>
            <w:r>
              <w:rPr>
                <w:spacing w:val="-5"/>
                <w:sz w:val="21"/>
              </w:rPr>
              <w:t>量替代是原则，等量替代是例外” 的要求进行管理。</w:t>
            </w:r>
          </w:p>
          <w:p>
            <w:pPr>
              <w:pStyle w:val="TableParagraph"/>
              <w:spacing w:before="5" w:line="242" w:lineRule="auto"/>
              <w:ind w:left="116" w:right="-29" w:firstLine="48"/>
              <w:rPr>
                <w:sz w:val="21"/>
              </w:rPr>
            </w:pPr>
            <w:r>
              <w:rPr>
                <w:rFonts w:ascii="Times New Roman" w:eastAsia="Times New Roman"/>
                <w:sz w:val="21"/>
              </w:rPr>
              <w:t>2</w:t>
            </w:r>
            <w:r>
              <w:rPr>
                <w:spacing w:val="-3"/>
                <w:sz w:val="21"/>
              </w:rPr>
              <w:t>、涉及通航、渔业水域的，其环</w:t>
            </w:r>
            <w:r>
              <w:rPr>
                <w:spacing w:val="-6"/>
                <w:sz w:val="21"/>
              </w:rPr>
              <w:t>境影响评价文件在审批时，应当征求相应主管部门的意见；限制高耗</w:t>
            </w:r>
            <w:r>
              <w:rPr>
                <w:spacing w:val="-5"/>
                <w:sz w:val="21"/>
              </w:rPr>
              <w:t>水、高污染排放、产生有毒有害物</w:t>
            </w:r>
            <w:r>
              <w:rPr>
                <w:spacing w:val="-15"/>
                <w:sz w:val="21"/>
              </w:rPr>
              <w:t>质的建设项目，对制浆造纸、焦化、</w:t>
            </w:r>
            <w:r>
              <w:rPr>
                <w:spacing w:val="-5"/>
                <w:sz w:val="21"/>
              </w:rPr>
              <w:t>氮肥、印染、农副食品加工、原料药制造、制革、农药、电镀等重点行业，实行新</w:t>
            </w:r>
            <w:r>
              <w:rPr>
                <w:sz w:val="21"/>
              </w:rPr>
              <w:t>（</w:t>
            </w:r>
            <w:r>
              <w:rPr>
                <w:spacing w:val="-2"/>
                <w:sz w:val="21"/>
              </w:rPr>
              <w:t>改、扩</w:t>
            </w:r>
            <w:r>
              <w:rPr>
                <w:spacing w:val="-5"/>
                <w:sz w:val="21"/>
              </w:rPr>
              <w:t>）</w:t>
            </w:r>
            <w:r>
              <w:rPr>
                <w:spacing w:val="-2"/>
                <w:sz w:val="21"/>
              </w:rPr>
              <w:t>建项目主</w:t>
            </w:r>
            <w:r>
              <w:rPr>
                <w:spacing w:val="-5"/>
                <w:sz w:val="21"/>
              </w:rPr>
              <w:t>要污染物排放等量或减量置换。</w:t>
            </w:r>
          </w:p>
          <w:p>
            <w:pPr>
              <w:pStyle w:val="TableParagraph"/>
              <w:spacing w:before="8" w:line="242" w:lineRule="auto"/>
              <w:ind w:left="116" w:right="-29"/>
              <w:rPr>
                <w:sz w:val="21"/>
              </w:rPr>
            </w:pPr>
            <w:r>
              <w:rPr>
                <w:rFonts w:ascii="Times New Roman" w:eastAsia="Times New Roman" w:hAnsi="Times New Roman"/>
                <w:sz w:val="21"/>
              </w:rPr>
              <w:t>3</w:t>
            </w:r>
            <w:r>
              <w:rPr>
                <w:spacing w:val="-6"/>
                <w:sz w:val="21"/>
              </w:rPr>
              <w:t xml:space="preserve">、严格控制新建危险化学品项目， </w:t>
            </w:r>
            <w:r>
              <w:rPr>
                <w:spacing w:val="-4"/>
                <w:sz w:val="21"/>
              </w:rPr>
              <w:t>严格限制新建剧毒化学品项目，严</w:t>
            </w:r>
            <w:r>
              <w:rPr>
                <w:spacing w:val="-5"/>
                <w:sz w:val="21"/>
              </w:rPr>
              <w:t xml:space="preserve">把危险化学品建设项目‘三同时’ </w:t>
            </w:r>
            <w:r>
              <w:rPr>
                <w:spacing w:val="-6"/>
                <w:sz w:val="21"/>
              </w:rPr>
              <w:t>审查许可关，对不符合安全生产条</w:t>
            </w:r>
            <w:r>
              <w:rPr>
                <w:spacing w:val="-5"/>
                <w:sz w:val="21"/>
              </w:rPr>
              <w:t xml:space="preserve">件和产业发展规划的新建项目一  </w:t>
            </w:r>
            <w:r>
              <w:rPr>
                <w:spacing w:val="-6"/>
                <w:sz w:val="21"/>
              </w:rPr>
              <w:t>律不予批准。未建立健全安全生产风险分级管控和隐患排查治理，双重预防体系，安全生产得不到有效</w:t>
            </w:r>
            <w:r>
              <w:rPr>
                <w:spacing w:val="-5"/>
                <w:sz w:val="21"/>
              </w:rPr>
              <w:t>保障的危险品生产项目，不得新  建、改建、扩建。控制化工项目建设，新建化工项目执行山东省人民政府、山东省化工产业安全生产转型升级专项行动领导小组要求及</w:t>
            </w:r>
          </w:p>
          <w:p>
            <w:pPr>
              <w:pStyle w:val="TableParagraph"/>
              <w:spacing w:before="6" w:line="244" w:lineRule="auto"/>
              <w:ind w:left="116" w:right="-29" w:firstLine="100"/>
              <w:rPr>
                <w:sz w:val="21"/>
              </w:rPr>
            </w:pPr>
            <w:r>
              <w:rPr>
                <w:spacing w:val="-3"/>
                <w:sz w:val="21"/>
              </w:rPr>
              <w:t xml:space="preserve">《山东省化工行业投资项目管理 </w:t>
            </w:r>
            <w:r>
              <w:rPr>
                <w:spacing w:val="-14"/>
                <w:sz w:val="21"/>
              </w:rPr>
              <w:t>规定》《德州市化工园区管理办法》</w:t>
            </w:r>
          </w:p>
          <w:p>
            <w:pPr>
              <w:pStyle w:val="TableParagraph"/>
              <w:spacing w:line="242" w:lineRule="auto"/>
              <w:ind w:left="116" w:right="79" w:hanging="1"/>
              <w:jc w:val="center"/>
              <w:rPr>
                <w:sz w:val="21"/>
              </w:rPr>
            </w:pPr>
            <w:r>
              <w:rPr>
                <w:spacing w:val="-3"/>
                <w:sz w:val="21"/>
              </w:rPr>
              <w:t xml:space="preserve">《山东省专业化工园区认定管理 </w:t>
            </w:r>
            <w:r>
              <w:rPr>
                <w:spacing w:val="-6"/>
                <w:sz w:val="21"/>
              </w:rPr>
              <w:t>办法》中相关规定。在省政府认定的化工园区、专业化工园区和重点</w:t>
            </w:r>
            <w:r>
              <w:rPr>
                <w:spacing w:val="-3"/>
                <w:sz w:val="21"/>
              </w:rPr>
              <w:t>监控点等实施的化工项目须满足</w:t>
            </w:r>
          </w:p>
          <w:p>
            <w:pPr>
              <w:pStyle w:val="TableParagraph"/>
              <w:spacing w:before="1" w:line="228" w:lineRule="exact"/>
              <w:ind w:left="92" w:right="58"/>
              <w:jc w:val="center"/>
              <w:rPr>
                <w:sz w:val="21"/>
              </w:rPr>
            </w:pPr>
            <w:r>
              <w:rPr>
                <w:sz w:val="21"/>
              </w:rPr>
              <w:t>园区审查的规划环评要求。禁止新</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3" w:line="278" w:lineRule="auto"/>
              <w:ind w:left="116" w:right="-29"/>
              <w:rPr>
                <w:sz w:val="21"/>
              </w:rPr>
            </w:pPr>
            <w:r>
              <w:rPr>
                <w:spacing w:val="-16"/>
                <w:sz w:val="21"/>
              </w:rPr>
              <w:t>项目为河湖整治</w:t>
            </w:r>
            <w:r>
              <w:rPr>
                <w:sz w:val="21"/>
              </w:rPr>
              <w:t>（不</w:t>
            </w:r>
            <w:r>
              <w:rPr>
                <w:spacing w:val="-1"/>
                <w:sz w:val="21"/>
              </w:rPr>
              <w:t>含农村塘堰、水渠</w:t>
            </w:r>
            <w:r>
              <w:rPr>
                <w:spacing w:val="-17"/>
                <w:sz w:val="21"/>
              </w:rPr>
              <w:t xml:space="preserve">） </w:t>
            </w:r>
            <w:r>
              <w:rPr>
                <w:spacing w:val="-24"/>
                <w:sz w:val="21"/>
              </w:rPr>
              <w:t xml:space="preserve">及防洪除涝工程，不  </w:t>
            </w:r>
            <w:r>
              <w:rPr>
                <w:spacing w:val="-1"/>
                <w:sz w:val="21"/>
              </w:rPr>
              <w:t xml:space="preserve">属于左侧所列的限 </w:t>
            </w:r>
            <w:r>
              <w:rPr>
                <w:spacing w:val="-14"/>
                <w:sz w:val="21"/>
              </w:rPr>
              <w:t>制开发建设活动，符</w:t>
            </w:r>
          </w:p>
          <w:p>
            <w:pPr>
              <w:pStyle w:val="TableParagraph"/>
              <w:spacing w:before="5"/>
              <w:ind w:left="803"/>
              <w:rPr>
                <w:sz w:val="21"/>
              </w:rPr>
            </w:pPr>
            <w:r>
              <w:rPr>
                <w:sz w:val="21"/>
              </w:rPr>
              <w:t>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194"/>
        <w:ind w:left="551" w:right="0" w:firstLine="0"/>
        <w:jc w:val="left"/>
        <w:rPr>
          <w:sz w:val="28"/>
        </w:rPr>
      </w:pPr>
      <w:r>
        <w:rPr>
          <w:sz w:val="28"/>
        </w:rPr>
        <w:t>—</w:t>
      </w:r>
      <w:r>
        <w:rPr>
          <w:sz w:val="26"/>
        </w:rPr>
        <w:t>5</w:t>
      </w:r>
      <w:r>
        <w:rPr>
          <w:sz w:val="28"/>
        </w:rPr>
        <w:t>—</w:t>
      </w:r>
    </w:p>
    <w:p>
      <w:pPr>
        <w:spacing w:after="0"/>
        <w:jc w:val="left"/>
        <w:rPr>
          <w:sz w:val="28"/>
        </w:rPr>
        <w:sectPr>
          <w:pgSz w:w="11910" w:h="16840"/>
          <w:pgMar w:top="1580" w:right="820" w:bottom="280" w:left="980" w:header="720" w:footer="720" w:gutter="0"/>
          <w:pgNumType w:start="10"/>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042"/>
        </w:trPr>
        <w:tc>
          <w:tcPr>
            <w:tcW w:w="725" w:type="dxa"/>
            <w:tcBorders>
              <w:right w:val="single" w:sz="4" w:space="0" w:color="000000"/>
            </w:tcBorders>
          </w:tcPr>
          <w:p>
            <w:pPr>
              <w:pStyle w:val="TableParagraph"/>
              <w:rPr>
                <w:rFonts w:ascii="Times New Roman"/>
                <w:sz w:val="20"/>
              </w:rPr>
            </w:pPr>
          </w:p>
        </w:tc>
        <w:tc>
          <w:tcPr>
            <w:tcW w:w="120" w:type="dxa"/>
            <w:tcBorders>
              <w:left w:val="single" w:sz="4" w:space="0" w:color="000000"/>
              <w:right w:val="single" w:sz="12" w:space="0" w:color="000000"/>
            </w:tcBorders>
          </w:tcPr>
          <w:p>
            <w:pPr>
              <w:pStyle w:val="TableParagraph"/>
              <w:rPr>
                <w:rFonts w:ascii="Times New Roman"/>
                <w:sz w:val="20"/>
              </w:rPr>
            </w:pPr>
          </w:p>
        </w:tc>
        <w:tc>
          <w:tcPr>
            <w:tcW w:w="655" w:type="dxa"/>
            <w:tcBorders>
              <w:top w:val="thinThickMediumGap" w:sz="6" w:space="0" w:color="000000"/>
              <w:left w:val="single" w:sz="12" w:space="0" w:color="000000"/>
              <w:bottom w:val="single" w:sz="24"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24" w:space="0" w:color="000000"/>
              <w:right w:val="single" w:sz="6" w:space="0" w:color="000000"/>
            </w:tcBorders>
          </w:tcPr>
          <w:p>
            <w:pPr>
              <w:pStyle w:val="TableParagraph"/>
              <w:spacing w:line="242" w:lineRule="auto"/>
              <w:ind w:left="116" w:right="79"/>
              <w:jc w:val="center"/>
              <w:rPr>
                <w:sz w:val="21"/>
              </w:rPr>
            </w:pPr>
            <w:r>
              <w:rPr>
                <w:spacing w:val="-1"/>
                <w:sz w:val="21"/>
              </w:rPr>
              <w:t>建固定投资额低于</w:t>
            </w:r>
            <w:r>
              <w:rPr>
                <w:rFonts w:ascii="Times New Roman" w:eastAsia="Times New Roman"/>
                <w:sz w:val="21"/>
              </w:rPr>
              <w:t>3</w:t>
            </w:r>
            <w:r>
              <w:rPr>
                <w:spacing w:val="-3"/>
                <w:sz w:val="21"/>
              </w:rPr>
              <w:t>亿元</w:t>
            </w:r>
            <w:r>
              <w:rPr>
                <w:sz w:val="21"/>
              </w:rPr>
              <w:t>（</w:t>
            </w:r>
            <w:r>
              <w:rPr>
                <w:spacing w:val="-2"/>
                <w:sz w:val="21"/>
              </w:rPr>
              <w:t>不含土地费用</w:t>
            </w:r>
            <w:r>
              <w:rPr>
                <w:spacing w:val="-10"/>
                <w:sz w:val="21"/>
              </w:rPr>
              <w:t>）</w:t>
            </w:r>
            <w:r>
              <w:rPr>
                <w:spacing w:val="-6"/>
                <w:sz w:val="21"/>
              </w:rPr>
              <w:t>生产危险化学品的化工项</w:t>
            </w:r>
            <w:r>
              <w:rPr>
                <w:spacing w:val="-5"/>
                <w:sz w:val="21"/>
              </w:rPr>
              <w:t>目</w:t>
            </w:r>
            <w:r>
              <w:rPr>
                <w:sz w:val="21"/>
              </w:rPr>
              <w:t>（</w:t>
            </w:r>
            <w:r>
              <w:rPr>
                <w:spacing w:val="-6"/>
                <w:sz w:val="21"/>
              </w:rPr>
              <w:t>危险化学品见《危险化学品目</w:t>
            </w:r>
            <w:r>
              <w:rPr>
                <w:spacing w:val="-3"/>
                <w:sz w:val="21"/>
              </w:rPr>
              <w:t>录》</w:t>
            </w:r>
            <w:r>
              <w:rPr>
                <w:spacing w:val="-5"/>
                <w:sz w:val="21"/>
              </w:rPr>
              <w:t>），列入国家《产业结构调整</w:t>
            </w:r>
            <w:r>
              <w:rPr>
                <w:spacing w:val="-6"/>
                <w:sz w:val="21"/>
              </w:rPr>
              <w:t>指导目录》和《外商投资产业指导目录》鼓励类以及搬迁入园项目除</w:t>
            </w:r>
            <w:r>
              <w:rPr>
                <w:sz w:val="21"/>
              </w:rPr>
              <w:t>外。</w:t>
            </w:r>
          </w:p>
          <w:p>
            <w:pPr>
              <w:pStyle w:val="TableParagraph"/>
              <w:spacing w:before="4" w:line="242" w:lineRule="auto"/>
              <w:ind w:left="116" w:right="-29"/>
              <w:jc w:val="center"/>
              <w:rPr>
                <w:sz w:val="21"/>
              </w:rPr>
            </w:pPr>
            <w:r>
              <w:rPr>
                <w:rFonts w:ascii="Times New Roman" w:eastAsia="Times New Roman" w:hAnsi="Times New Roman"/>
                <w:sz w:val="21"/>
              </w:rPr>
              <w:t>4</w:t>
            </w:r>
            <w:r>
              <w:rPr>
                <w:spacing w:val="-6"/>
                <w:sz w:val="21"/>
              </w:rPr>
              <w:t xml:space="preserve">、淘汰落后动能，落实能耗双控， </w:t>
            </w:r>
            <w:r>
              <w:rPr>
                <w:spacing w:val="-5"/>
                <w:sz w:val="21"/>
              </w:rPr>
              <w:t xml:space="preserve">严控‘两高’项目建设，新建‘两高’项目须满足‘五个减量替代’ </w:t>
            </w:r>
            <w:r>
              <w:rPr>
                <w:spacing w:val="-10"/>
                <w:sz w:val="21"/>
              </w:rPr>
              <w:t>要求，确保煤炭消费只减不增</w:t>
            </w:r>
            <w:r>
              <w:rPr>
                <w:spacing w:val="-50"/>
                <w:sz w:val="21"/>
              </w:rPr>
              <w:t>、‘两</w:t>
            </w:r>
            <w:r>
              <w:rPr>
                <w:spacing w:val="-9"/>
                <w:sz w:val="21"/>
              </w:rPr>
              <w:t>高’行业能耗只减不增。有效提高</w:t>
            </w:r>
            <w:r>
              <w:rPr>
                <w:spacing w:val="-7"/>
                <w:sz w:val="21"/>
              </w:rPr>
              <w:t>‘两高’行业信息化精准化监管水平。</w:t>
            </w:r>
          </w:p>
          <w:p>
            <w:pPr>
              <w:pStyle w:val="TableParagraph"/>
              <w:spacing w:before="4" w:line="242" w:lineRule="auto"/>
              <w:ind w:left="116" w:right="79" w:hanging="1"/>
              <w:jc w:val="center"/>
              <w:rPr>
                <w:sz w:val="21"/>
              </w:rPr>
            </w:pPr>
            <w:r>
              <w:rPr>
                <w:rFonts w:ascii="Times New Roman" w:eastAsia="Times New Roman"/>
                <w:sz w:val="21"/>
              </w:rPr>
              <w:t>5</w:t>
            </w:r>
            <w:r>
              <w:rPr>
                <w:spacing w:val="-3"/>
                <w:sz w:val="21"/>
              </w:rPr>
              <w:t>、严格落实水资源双控制度，控</w:t>
            </w:r>
            <w:r>
              <w:rPr>
                <w:spacing w:val="-5"/>
                <w:sz w:val="21"/>
              </w:rPr>
              <w:t xml:space="preserve">制高耗水产业发展和高耗水项目 </w:t>
            </w:r>
            <w:r>
              <w:rPr>
                <w:spacing w:val="-6"/>
                <w:sz w:val="21"/>
              </w:rPr>
              <w:t>建设，加强固定资产投资项目节水审查，严格建设项目水资源论证审</w:t>
            </w:r>
            <w:r>
              <w:rPr>
                <w:sz w:val="21"/>
              </w:rPr>
              <w:t>查把关。</w:t>
            </w:r>
          </w:p>
          <w:p>
            <w:pPr>
              <w:pStyle w:val="TableParagraph"/>
              <w:spacing w:before="5" w:line="242" w:lineRule="auto"/>
              <w:ind w:left="116" w:right="-29" w:firstLine="48"/>
              <w:rPr>
                <w:sz w:val="21"/>
              </w:rPr>
            </w:pPr>
            <w:r>
              <w:rPr>
                <w:rFonts w:ascii="Times New Roman" w:eastAsia="Times New Roman"/>
                <w:sz w:val="21"/>
              </w:rPr>
              <w:t>6</w:t>
            </w:r>
            <w:r>
              <w:rPr>
                <w:spacing w:val="-3"/>
                <w:sz w:val="21"/>
              </w:rPr>
              <w:t>、碳素、印染、铅蓄电池、皮革</w:t>
            </w:r>
            <w:r>
              <w:rPr>
                <w:spacing w:val="-5"/>
                <w:sz w:val="21"/>
              </w:rPr>
              <w:t xml:space="preserve">鞣制、电镀、废弃电器电子产品集中处理等行业及其他涉及重金属  的新上项目原则上应进入国务院  和省级政府批准设立的经济开发  区、高新技术开发区等开发区。其他新建污染较重的建设项目原则  上只能在国务院和省级政府批准  设立的经济开发区、高新技术开  </w:t>
            </w:r>
            <w:r>
              <w:rPr>
                <w:spacing w:val="-6"/>
                <w:sz w:val="21"/>
              </w:rPr>
              <w:t>发区等开发区</w:t>
            </w:r>
            <w:r>
              <w:rPr>
                <w:sz w:val="21"/>
              </w:rPr>
              <w:t>（</w:t>
            </w:r>
            <w:r>
              <w:rPr>
                <w:spacing w:val="-3"/>
                <w:sz w:val="21"/>
              </w:rPr>
              <w:t>包括其相邻管理区域</w:t>
            </w:r>
            <w:r>
              <w:rPr>
                <w:spacing w:val="-5"/>
                <w:sz w:val="21"/>
              </w:rPr>
              <w:t xml:space="preserve">）建设，一般不得在乡镇工业园区或工业集中区建设，具体包括： </w:t>
            </w:r>
            <w:r>
              <w:rPr>
                <w:spacing w:val="-15"/>
                <w:sz w:val="21"/>
              </w:rPr>
              <w:t xml:space="preserve">制浆纸浆、溶解浆、纤维浆等制造； </w:t>
            </w:r>
            <w:r>
              <w:rPr>
                <w:sz w:val="21"/>
              </w:rPr>
              <w:t>化纤（</w:t>
            </w:r>
            <w:r>
              <w:rPr>
                <w:spacing w:val="-3"/>
                <w:sz w:val="21"/>
              </w:rPr>
              <w:t>除单纯纺丝外</w:t>
            </w:r>
            <w:r>
              <w:rPr>
                <w:sz w:val="21"/>
              </w:rPr>
              <w:t>）；</w:t>
            </w:r>
            <w:r>
              <w:rPr>
                <w:spacing w:val="-2"/>
                <w:sz w:val="21"/>
              </w:rPr>
              <w:t>人造革、</w:t>
            </w:r>
            <w:r>
              <w:rPr>
                <w:spacing w:val="-5"/>
                <w:sz w:val="21"/>
              </w:rPr>
              <w:t>发泡胶等塑料制品制造；羊绒及羊毛清洗；大豆蛋白；玉米淀粉、味精、柠檬酸、赖氨酸制造；有提炼工艺的中成药制造、中药饮片加  工；太阳能电池片；含钝化工艺的</w:t>
            </w:r>
            <w:r>
              <w:rPr>
                <w:spacing w:val="-7"/>
                <w:sz w:val="21"/>
              </w:rPr>
              <w:t>热镀锌；专业实验室</w:t>
            </w:r>
            <w:r>
              <w:rPr>
                <w:spacing w:val="-3"/>
                <w:sz w:val="21"/>
              </w:rPr>
              <w:t>（</w:t>
            </w:r>
            <w:r>
              <w:rPr>
                <w:rFonts w:ascii="Times New Roman" w:eastAsia="Times New Roman"/>
                <w:spacing w:val="-3"/>
                <w:sz w:val="21"/>
              </w:rPr>
              <w:t>P3</w:t>
            </w:r>
            <w:r>
              <w:rPr>
                <w:spacing w:val="-10"/>
                <w:sz w:val="21"/>
              </w:rPr>
              <w:t>、</w:t>
            </w:r>
            <w:r>
              <w:rPr>
                <w:rFonts w:ascii="Times New Roman" w:eastAsia="Times New Roman"/>
                <w:sz w:val="21"/>
              </w:rPr>
              <w:t>P4</w:t>
            </w:r>
            <w:r>
              <w:rPr>
                <w:sz w:val="21"/>
              </w:rPr>
              <w:t>生物</w:t>
            </w:r>
            <w:r>
              <w:rPr>
                <w:spacing w:val="-3"/>
                <w:sz w:val="21"/>
              </w:rPr>
              <w:t>安全实验室；转基因实验室</w:t>
            </w:r>
            <w:r>
              <w:rPr>
                <w:spacing w:val="-5"/>
                <w:sz w:val="21"/>
              </w:rPr>
              <w:t>）；</w:t>
            </w:r>
            <w:r>
              <w:rPr>
                <w:sz w:val="21"/>
              </w:rPr>
              <w:t>含</w:t>
            </w:r>
            <w:r>
              <w:rPr>
                <w:spacing w:val="-5"/>
                <w:sz w:val="21"/>
              </w:rPr>
              <w:t>医药、化工类等专业中试内容的研发基地；防水建筑材料制造等。</w:t>
            </w:r>
          </w:p>
          <w:p>
            <w:pPr>
              <w:pStyle w:val="TableParagraph"/>
              <w:spacing w:before="15"/>
              <w:ind w:left="164"/>
              <w:rPr>
                <w:sz w:val="21"/>
              </w:rPr>
            </w:pPr>
            <w:r>
              <w:rPr>
                <w:rFonts w:ascii="Times New Roman" w:eastAsia="Times New Roman"/>
                <w:sz w:val="21"/>
              </w:rPr>
              <w:t>7</w:t>
            </w:r>
            <w:r>
              <w:rPr>
                <w:sz w:val="21"/>
              </w:rPr>
              <w:t>、新（改、扩）建耗煤项目执行</w:t>
            </w:r>
          </w:p>
          <w:p>
            <w:pPr>
              <w:pStyle w:val="TableParagraph"/>
              <w:spacing w:before="5" w:line="242" w:lineRule="auto"/>
              <w:ind w:left="116" w:right="79" w:hanging="1"/>
              <w:jc w:val="center"/>
              <w:rPr>
                <w:sz w:val="21"/>
              </w:rPr>
            </w:pPr>
            <w:r>
              <w:rPr>
                <w:spacing w:val="-3"/>
                <w:sz w:val="21"/>
              </w:rPr>
              <w:t xml:space="preserve">《山东省耗煤项目煤炭消费减量 </w:t>
            </w:r>
            <w:r>
              <w:rPr>
                <w:spacing w:val="-7"/>
                <w:sz w:val="21"/>
              </w:rPr>
              <w:t>替代管理办法》中相关规定，须取</w:t>
            </w:r>
            <w:r>
              <w:rPr>
                <w:spacing w:val="-3"/>
                <w:sz w:val="21"/>
              </w:rPr>
              <w:t xml:space="preserve">得投资主管部门核定同意的煤炭 </w:t>
            </w:r>
            <w:r>
              <w:rPr>
                <w:spacing w:val="-6"/>
                <w:sz w:val="21"/>
              </w:rPr>
              <w:t>消费减量替代方案，其中，新上燃</w:t>
            </w:r>
          </w:p>
          <w:p>
            <w:pPr>
              <w:pStyle w:val="TableParagraph"/>
              <w:spacing w:line="220" w:lineRule="exact"/>
              <w:ind w:left="92" w:right="58"/>
              <w:jc w:val="center"/>
              <w:rPr>
                <w:sz w:val="21"/>
              </w:rPr>
            </w:pPr>
            <w:r>
              <w:rPr>
                <w:spacing w:val="-3"/>
                <w:sz w:val="21"/>
              </w:rPr>
              <w:t>煤发电项目须取得市级及以上煤</w:t>
            </w:r>
          </w:p>
        </w:tc>
        <w:tc>
          <w:tcPr>
            <w:tcW w:w="2009" w:type="dxa"/>
            <w:tcBorders>
              <w:top w:val="thinThickMediumGap" w:sz="6" w:space="0" w:color="000000"/>
              <w:left w:val="single" w:sz="6" w:space="0" w:color="000000"/>
              <w:bottom w:val="single" w:sz="24" w:space="0" w:color="000000"/>
              <w:right w:val="single" w:sz="12" w:space="0" w:color="000000"/>
            </w:tcBorders>
          </w:tcPr>
          <w:p>
            <w:pPr>
              <w:pStyle w:val="TableParagraph"/>
              <w:rPr>
                <w:rFonts w:ascii="Times New Roman"/>
                <w:sz w:val="20"/>
              </w:rPr>
            </w:pPr>
          </w:p>
        </w:tc>
        <w:tc>
          <w:tcPr>
            <w:tcW w:w="125" w:type="dxa"/>
            <w:tcBorders>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201"/>
        <w:ind w:left="0" w:right="705" w:firstLine="0"/>
        <w:jc w:val="right"/>
        <w:rPr>
          <w:sz w:val="28"/>
        </w:rPr>
      </w:pPr>
      <w:r>
        <w:rPr>
          <w:w w:val="95"/>
          <w:sz w:val="28"/>
        </w:rPr>
        <w:t>—</w:t>
      </w:r>
      <w:r>
        <w:rPr>
          <w:w w:val="95"/>
          <w:sz w:val="26"/>
        </w:rPr>
        <w:t>6</w:t>
      </w:r>
      <w:r>
        <w:rPr>
          <w:w w:val="95"/>
          <w:sz w:val="28"/>
        </w:rPr>
        <w:t>—</w:t>
      </w:r>
    </w:p>
    <w:p>
      <w:pPr>
        <w:spacing w:after="0"/>
        <w:jc w:val="right"/>
        <w:rPr>
          <w:sz w:val="28"/>
        </w:rPr>
        <w:sectPr>
          <w:pgSz w:w="11910" w:h="16840"/>
          <w:pgMar w:top="1580" w:right="820" w:bottom="280" w:left="980" w:header="720" w:footer="720" w:gutter="0"/>
          <w:pgNumType w:start="11"/>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042"/>
        </w:trPr>
        <w:tc>
          <w:tcPr>
            <w:tcW w:w="725" w:type="dxa"/>
            <w:tcBorders>
              <w:right w:val="single" w:sz="4" w:space="0" w:color="000000"/>
            </w:tcBorders>
          </w:tcPr>
          <w:p>
            <w:pPr>
              <w:pStyle w:val="TableParagraph"/>
              <w:rPr>
                <w:rFonts w:ascii="Times New Roman"/>
                <w:sz w:val="20"/>
              </w:rPr>
            </w:pPr>
          </w:p>
        </w:tc>
        <w:tc>
          <w:tcPr>
            <w:tcW w:w="120" w:type="dxa"/>
            <w:tcBorders>
              <w:left w:val="single" w:sz="4" w:space="0" w:color="000000"/>
              <w:right w:val="single" w:sz="12" w:space="0" w:color="000000"/>
            </w:tcBorders>
          </w:tcPr>
          <w:p>
            <w:pPr>
              <w:pStyle w:val="TableParagraph"/>
              <w:rPr>
                <w:rFonts w:ascii="Times New Roman"/>
                <w:sz w:val="20"/>
              </w:rPr>
            </w:pPr>
          </w:p>
        </w:tc>
        <w:tc>
          <w:tcPr>
            <w:tcW w:w="655" w:type="dxa"/>
            <w:tcBorders>
              <w:top w:val="thinThickMediumGap" w:sz="6" w:space="0" w:color="000000"/>
              <w:left w:val="single" w:sz="12" w:space="0" w:color="000000"/>
              <w:bottom w:val="single" w:sz="24"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24" w:space="0" w:color="000000"/>
              <w:right w:val="single" w:sz="6" w:space="0" w:color="000000"/>
            </w:tcBorders>
          </w:tcPr>
          <w:p>
            <w:pPr>
              <w:pStyle w:val="TableParagraph"/>
              <w:spacing w:line="242" w:lineRule="auto"/>
              <w:ind w:left="116" w:right="-29" w:firstLine="100"/>
              <w:rPr>
                <w:sz w:val="21"/>
              </w:rPr>
            </w:pPr>
            <w:r>
              <w:rPr>
                <w:spacing w:val="-3"/>
                <w:sz w:val="21"/>
              </w:rPr>
              <w:t xml:space="preserve">炭消费总量控制部门出具的审查 </w:t>
            </w:r>
            <w:r>
              <w:rPr>
                <w:spacing w:val="-5"/>
                <w:sz w:val="21"/>
              </w:rPr>
              <w:t>意见；全市区域内禁止燃烧煤矸石</w:t>
            </w:r>
            <w:r>
              <w:rPr>
                <w:spacing w:val="-6"/>
                <w:sz w:val="21"/>
              </w:rPr>
              <w:t>等高硫燃料；高污染燃料禁燃区内</w:t>
            </w:r>
            <w:r>
              <w:rPr>
                <w:spacing w:val="-5"/>
                <w:sz w:val="21"/>
              </w:rPr>
              <w:t>禁止建设燃烧高污染燃料的工业  锅炉</w:t>
            </w:r>
            <w:r>
              <w:rPr>
                <w:sz w:val="21"/>
              </w:rPr>
              <w:t>（</w:t>
            </w:r>
            <w:r>
              <w:rPr>
                <w:spacing w:val="-2"/>
                <w:sz w:val="21"/>
              </w:rPr>
              <w:t>集中供热除外</w:t>
            </w:r>
            <w:r>
              <w:rPr>
                <w:spacing w:val="-5"/>
                <w:sz w:val="21"/>
              </w:rPr>
              <w:t>）；</w:t>
            </w:r>
            <w:r>
              <w:rPr>
                <w:spacing w:val="-2"/>
                <w:sz w:val="21"/>
              </w:rPr>
              <w:t>经济开发</w:t>
            </w:r>
            <w:r>
              <w:rPr>
                <w:spacing w:val="-13"/>
                <w:sz w:val="21"/>
              </w:rPr>
              <w:t>区、工业园区、高新区等集中供热、</w:t>
            </w:r>
            <w:r>
              <w:rPr>
                <w:spacing w:val="-3"/>
                <w:sz w:val="21"/>
              </w:rPr>
              <w:t>供汽管网覆盖范围内，禁止新建、</w:t>
            </w:r>
            <w:r>
              <w:rPr>
                <w:spacing w:val="-5"/>
                <w:sz w:val="21"/>
              </w:rPr>
              <w:t>改建、扩建燃煤锅炉；全市禁止新</w:t>
            </w:r>
          </w:p>
          <w:p>
            <w:pPr>
              <w:pStyle w:val="TableParagraph"/>
              <w:spacing w:before="6" w:line="269" w:lineRule="exact"/>
              <w:ind w:left="92" w:right="57"/>
              <w:jc w:val="center"/>
              <w:rPr>
                <w:sz w:val="21"/>
              </w:rPr>
            </w:pPr>
            <w:r>
              <w:rPr>
                <w:sz w:val="21"/>
              </w:rPr>
              <w:t>上</w:t>
            </w:r>
            <w:r>
              <w:rPr>
                <w:rFonts w:ascii="Times New Roman" w:eastAsia="Times New Roman"/>
                <w:sz w:val="21"/>
              </w:rPr>
              <w:t>35t/h</w:t>
            </w:r>
            <w:r>
              <w:rPr>
                <w:sz w:val="21"/>
              </w:rPr>
              <w:t>以下燃煤锅炉。</w:t>
            </w:r>
          </w:p>
          <w:p>
            <w:pPr>
              <w:pStyle w:val="TableParagraph"/>
              <w:spacing w:line="242" w:lineRule="auto"/>
              <w:ind w:left="116" w:right="79"/>
              <w:jc w:val="center"/>
              <w:rPr>
                <w:sz w:val="21"/>
              </w:rPr>
            </w:pPr>
            <w:r>
              <w:rPr>
                <w:rFonts w:ascii="Times New Roman" w:eastAsia="Times New Roman"/>
                <w:sz w:val="21"/>
              </w:rPr>
              <w:t>8</w:t>
            </w:r>
            <w:r>
              <w:rPr>
                <w:sz w:val="21"/>
              </w:rPr>
              <w:t>、新建涉高</w:t>
            </w:r>
            <w:r>
              <w:rPr>
                <w:rFonts w:ascii="Times New Roman" w:eastAsia="Times New Roman"/>
                <w:sz w:val="21"/>
              </w:rPr>
              <w:t>VOCs</w:t>
            </w:r>
            <w:r>
              <w:rPr>
                <w:spacing w:val="-3"/>
                <w:sz w:val="21"/>
              </w:rPr>
              <w:t xml:space="preserve">排放的建设项 </w:t>
            </w:r>
            <w:r>
              <w:rPr>
                <w:spacing w:val="-6"/>
                <w:sz w:val="21"/>
              </w:rPr>
              <w:t>目，即石化、化工、包装印刷、工</w:t>
            </w:r>
            <w:r>
              <w:rPr>
                <w:spacing w:val="-3"/>
                <w:sz w:val="21"/>
              </w:rPr>
              <w:t>业涂装等重点行业及其他工业行 业</w:t>
            </w:r>
            <w:r>
              <w:rPr>
                <w:rFonts w:ascii="Times New Roman" w:eastAsia="Times New Roman"/>
                <w:spacing w:val="-3"/>
                <w:sz w:val="21"/>
              </w:rPr>
              <w:t>VOCs</w:t>
            </w:r>
            <w:r>
              <w:rPr>
                <w:spacing w:val="-5"/>
                <w:sz w:val="21"/>
              </w:rPr>
              <w:t>排放量大、排放强度高的新建项目应进入园区。严格涉</w:t>
            </w:r>
            <w:r>
              <w:rPr>
                <w:rFonts w:ascii="Times New Roman" w:eastAsia="Times New Roman"/>
                <w:spacing w:val="-5"/>
                <w:sz w:val="21"/>
              </w:rPr>
              <w:t>VOCs</w:t>
            </w:r>
            <w:r>
              <w:rPr>
                <w:spacing w:val="-5"/>
                <w:sz w:val="21"/>
              </w:rPr>
              <w:t>建设项目环境影响评价，新</w:t>
            </w:r>
          </w:p>
          <w:p>
            <w:pPr>
              <w:pStyle w:val="TableParagraph"/>
              <w:spacing w:before="6" w:line="242" w:lineRule="auto"/>
              <w:ind w:left="116" w:right="69" w:hanging="9"/>
              <w:jc w:val="center"/>
              <w:rPr>
                <w:sz w:val="21"/>
              </w:rPr>
            </w:pPr>
            <w:r>
              <w:rPr>
                <w:sz w:val="21"/>
              </w:rPr>
              <w:t>（改、扩）建涉</w:t>
            </w:r>
            <w:r>
              <w:rPr>
                <w:rFonts w:ascii="Times New Roman" w:eastAsia="Times New Roman"/>
                <w:sz w:val="21"/>
              </w:rPr>
              <w:t>VOCs</w:t>
            </w:r>
            <w:r>
              <w:rPr>
                <w:sz w:val="21"/>
              </w:rPr>
              <w:t xml:space="preserve">排放项目， 应从源头加强控制，使用低（无） </w:t>
            </w:r>
            <w:r>
              <w:rPr>
                <w:rFonts w:ascii="Times New Roman" w:eastAsia="Times New Roman"/>
                <w:sz w:val="21"/>
              </w:rPr>
              <w:t>VOCs</w:t>
            </w:r>
            <w:r>
              <w:rPr>
                <w:sz w:val="21"/>
              </w:rPr>
              <w:t>含量的原辅材料，加强废气收集，安装高效治理设施。</w:t>
            </w:r>
          </w:p>
          <w:p>
            <w:pPr>
              <w:pStyle w:val="TableParagraph"/>
              <w:spacing w:before="4" w:line="242" w:lineRule="auto"/>
              <w:ind w:left="116" w:right="69" w:hanging="10"/>
              <w:jc w:val="center"/>
              <w:rPr>
                <w:sz w:val="21"/>
              </w:rPr>
            </w:pPr>
            <w:r>
              <w:rPr>
                <w:rFonts w:ascii="Times New Roman" w:eastAsia="Times New Roman" w:hAnsi="Times New Roman"/>
                <w:sz w:val="21"/>
              </w:rPr>
              <w:t>9</w:t>
            </w:r>
            <w:r>
              <w:rPr>
                <w:spacing w:val="-13"/>
                <w:sz w:val="21"/>
              </w:rPr>
              <w:t>、新、改、扩建有色金属冶炼</w:t>
            </w:r>
            <w:r>
              <w:rPr>
                <w:sz w:val="21"/>
              </w:rPr>
              <w:t>（铜</w:t>
            </w:r>
            <w:r>
              <w:rPr>
                <w:spacing w:val="-4"/>
                <w:sz w:val="21"/>
              </w:rPr>
              <w:t>冶炼、金冶炼、铅锌冶炼等</w:t>
            </w:r>
            <w:r>
              <w:rPr>
                <w:spacing w:val="-5"/>
                <w:sz w:val="21"/>
              </w:rPr>
              <w:t>）</w:t>
            </w:r>
            <w:r>
              <w:rPr>
                <w:spacing w:val="-3"/>
                <w:sz w:val="21"/>
              </w:rPr>
              <w:t>、铅</w:t>
            </w:r>
            <w:r>
              <w:rPr>
                <w:spacing w:val="-6"/>
                <w:sz w:val="21"/>
              </w:rPr>
              <w:t>蓄电池制造、皮革鞣制加工、金属表面处理</w:t>
            </w:r>
            <w:r>
              <w:rPr>
                <w:sz w:val="21"/>
              </w:rPr>
              <w:t>（电镀</w:t>
            </w:r>
            <w:r>
              <w:rPr>
                <w:spacing w:val="-5"/>
                <w:sz w:val="21"/>
              </w:rPr>
              <w:t>）</w:t>
            </w:r>
            <w:r>
              <w:rPr>
                <w:spacing w:val="-4"/>
                <w:sz w:val="21"/>
              </w:rPr>
              <w:t>、化学原料和化</w:t>
            </w:r>
            <w:r>
              <w:rPr>
                <w:spacing w:val="-5"/>
                <w:sz w:val="21"/>
              </w:rPr>
              <w:t>学品制造（</w:t>
            </w:r>
            <w:r>
              <w:rPr>
                <w:spacing w:val="-2"/>
                <w:sz w:val="21"/>
              </w:rPr>
              <w:t>聚氯乙烯</w:t>
            </w:r>
            <w:r>
              <w:rPr>
                <w:spacing w:val="-5"/>
                <w:sz w:val="21"/>
              </w:rPr>
              <w:t>）</w:t>
            </w:r>
            <w:r>
              <w:rPr>
                <w:spacing w:val="-2"/>
                <w:sz w:val="21"/>
              </w:rPr>
              <w:t>等涉重金属</w:t>
            </w:r>
            <w:r>
              <w:rPr>
                <w:spacing w:val="-4"/>
                <w:sz w:val="21"/>
              </w:rPr>
              <w:t>重点行业建设项目</w:t>
            </w:r>
            <w:r>
              <w:rPr>
                <w:spacing w:val="-5"/>
                <w:sz w:val="21"/>
              </w:rPr>
              <w:t>（</w:t>
            </w:r>
            <w:r>
              <w:rPr>
                <w:spacing w:val="-2"/>
                <w:sz w:val="21"/>
              </w:rPr>
              <w:t>不包括电子及</w:t>
            </w:r>
            <w:r>
              <w:rPr>
                <w:spacing w:val="-5"/>
                <w:sz w:val="21"/>
              </w:rPr>
              <w:t>新材料工业项目以及不列入重金 属总量管理的生活垃圾及危废焚 烧项目），</w:t>
            </w:r>
            <w:r>
              <w:rPr>
                <w:spacing w:val="-4"/>
                <w:sz w:val="21"/>
              </w:rPr>
              <w:t>实施重金属排放量“等</w:t>
            </w:r>
            <w:r>
              <w:rPr>
                <w:spacing w:val="-5"/>
                <w:sz w:val="21"/>
              </w:rPr>
              <w:t xml:space="preserve">量置换”或“减量置换”，涉重金属重点行业企业落实减排措施和 </w:t>
            </w:r>
            <w:r>
              <w:rPr>
                <w:spacing w:val="-6"/>
                <w:sz w:val="21"/>
              </w:rPr>
              <w:t xml:space="preserve">工程削减的重金属污染物排放量， </w:t>
            </w:r>
            <w:r>
              <w:rPr>
                <w:spacing w:val="-4"/>
                <w:sz w:val="21"/>
              </w:rPr>
              <w:t>经监测并可核实的，可作为涉重金</w:t>
            </w:r>
            <w:r>
              <w:rPr>
                <w:spacing w:val="-5"/>
                <w:sz w:val="21"/>
              </w:rPr>
              <w:t>属行业新、改、扩建企业重金属污</w:t>
            </w:r>
            <w:r>
              <w:rPr>
                <w:spacing w:val="-6"/>
                <w:sz w:val="21"/>
              </w:rPr>
              <w:t>染物排放总量的来源。无明确具体总量来源的，不得批准相关环境影响评价文件。禁止在土壤重金属质量超标区域、群众反映强烈的重金属污染区域、土壤污染防治目标责</w:t>
            </w:r>
            <w:r>
              <w:rPr>
                <w:spacing w:val="-5"/>
                <w:sz w:val="21"/>
              </w:rPr>
              <w:t>任书有关重金属减排任务考核不 合格区域建设增加重金属污染物 排放的项目。</w:t>
            </w:r>
          </w:p>
          <w:p>
            <w:pPr>
              <w:pStyle w:val="TableParagraph"/>
              <w:spacing w:before="13" w:line="242" w:lineRule="auto"/>
              <w:ind w:left="116" w:right="69" w:hanging="10"/>
              <w:jc w:val="center"/>
              <w:rPr>
                <w:sz w:val="21"/>
              </w:rPr>
            </w:pPr>
            <w:r>
              <w:rPr>
                <w:rFonts w:ascii="Times New Roman" w:eastAsia="Times New Roman" w:hAnsi="Times New Roman"/>
                <w:sz w:val="21"/>
              </w:rPr>
              <w:t>10</w:t>
            </w:r>
            <w:r>
              <w:rPr>
                <w:spacing w:val="-5"/>
                <w:sz w:val="21"/>
              </w:rPr>
              <w:t xml:space="preserve">、禁止企业独自新建燃料类煤气发生炉，集中使用煤气发生炉、暂不具备改用天然气条件的工业园 </w:t>
            </w:r>
            <w:r>
              <w:rPr>
                <w:spacing w:val="-6"/>
                <w:sz w:val="21"/>
              </w:rPr>
              <w:t>区应建设统一的清洁煤制气中心。</w:t>
            </w:r>
            <w:r>
              <w:rPr>
                <w:rFonts w:ascii="Times New Roman" w:eastAsia="Times New Roman" w:hAnsi="Times New Roman"/>
                <w:sz w:val="21"/>
              </w:rPr>
              <w:t>11</w:t>
            </w:r>
            <w:r>
              <w:rPr>
                <w:spacing w:val="-20"/>
                <w:sz w:val="21"/>
              </w:rPr>
              <w:t>、控制碳排放总量，严格控制“两</w:t>
            </w:r>
            <w:r>
              <w:rPr>
                <w:spacing w:val="-5"/>
                <w:sz w:val="21"/>
              </w:rPr>
              <w:t>高”项目建设，高耗能、高排放建</w:t>
            </w:r>
          </w:p>
          <w:p>
            <w:pPr>
              <w:pStyle w:val="TableParagraph"/>
              <w:spacing w:before="2" w:line="222" w:lineRule="exact"/>
              <w:ind w:left="92" w:right="58"/>
              <w:jc w:val="center"/>
              <w:rPr>
                <w:sz w:val="21"/>
              </w:rPr>
            </w:pPr>
            <w:r>
              <w:rPr>
                <w:spacing w:val="-5"/>
                <w:sz w:val="21"/>
              </w:rPr>
              <w:t>设项目应满足《山东省高耗能高排</w:t>
            </w:r>
          </w:p>
        </w:tc>
        <w:tc>
          <w:tcPr>
            <w:tcW w:w="2009" w:type="dxa"/>
            <w:tcBorders>
              <w:top w:val="thinThickMediumGap" w:sz="6" w:space="0" w:color="000000"/>
              <w:left w:val="single" w:sz="6" w:space="0" w:color="000000"/>
              <w:bottom w:val="single" w:sz="24" w:space="0" w:color="000000"/>
              <w:right w:val="single" w:sz="12" w:space="0" w:color="000000"/>
            </w:tcBorders>
          </w:tcPr>
          <w:p>
            <w:pPr>
              <w:pStyle w:val="TableParagraph"/>
              <w:rPr>
                <w:rFonts w:ascii="Times New Roman"/>
                <w:sz w:val="20"/>
              </w:rPr>
            </w:pPr>
          </w:p>
        </w:tc>
        <w:tc>
          <w:tcPr>
            <w:tcW w:w="125" w:type="dxa"/>
            <w:tcBorders>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201"/>
        <w:ind w:left="551" w:right="0" w:firstLine="0"/>
        <w:jc w:val="left"/>
        <w:rPr>
          <w:sz w:val="28"/>
        </w:rPr>
      </w:pPr>
      <w:r>
        <w:rPr>
          <w:sz w:val="28"/>
        </w:rPr>
        <w:t>—</w:t>
      </w:r>
      <w:r>
        <w:rPr>
          <w:sz w:val="26"/>
        </w:rPr>
        <w:t>7</w:t>
      </w:r>
      <w:r>
        <w:rPr>
          <w:sz w:val="28"/>
        </w:rPr>
        <w:t>—</w:t>
      </w:r>
    </w:p>
    <w:p>
      <w:pPr>
        <w:spacing w:after="0"/>
        <w:jc w:val="left"/>
        <w:rPr>
          <w:sz w:val="28"/>
        </w:rPr>
        <w:sectPr>
          <w:pgSz w:w="11910" w:h="16840"/>
          <w:pgMar w:top="1580" w:right="820" w:bottom="280" w:left="980" w:header="720" w:footer="720" w:gutter="0"/>
          <w:pgNumType w:start="12"/>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48"/>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thinThickMediumGap" w:sz="6" w:space="0" w:color="000000"/>
              <w:right w:val="single" w:sz="6" w:space="0" w:color="000000"/>
            </w:tcBorders>
          </w:tcPr>
          <w:p>
            <w:pPr>
              <w:pStyle w:val="TableParagraph"/>
              <w:rPr>
                <w:rFonts w:ascii="Times New Roman"/>
                <w:sz w:val="20"/>
              </w:rPr>
            </w:pPr>
          </w:p>
        </w:tc>
        <w:tc>
          <w:tcPr>
            <w:tcW w:w="538"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nil"/>
              <w:right w:val="single" w:sz="6" w:space="0" w:color="000000"/>
            </w:tcBorders>
          </w:tcPr>
          <w:p>
            <w:pPr>
              <w:pStyle w:val="TableParagraph"/>
              <w:spacing w:line="228" w:lineRule="exact"/>
              <w:ind w:left="92" w:right="58"/>
              <w:jc w:val="center"/>
              <w:rPr>
                <w:sz w:val="21"/>
              </w:rPr>
            </w:pPr>
            <w:r>
              <w:rPr>
                <w:sz w:val="21"/>
              </w:rPr>
              <w:t>放建设项目碳排放减量替代办法</w:t>
            </w:r>
          </w:p>
        </w:tc>
        <w:tc>
          <w:tcPr>
            <w:tcW w:w="2009" w:type="dxa"/>
            <w:vMerge w:val="restart"/>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4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116"/>
              <w:rPr>
                <w:sz w:val="21"/>
              </w:rPr>
            </w:pPr>
            <w:r>
              <w:rPr>
                <w:sz w:val="21"/>
              </w:rPr>
              <w:t>（试行</w:t>
            </w:r>
            <w:r>
              <w:rPr>
                <w:spacing w:val="-5"/>
                <w:sz w:val="21"/>
              </w:rPr>
              <w:t>）》要求。开展二氧化碳排</w:t>
            </w:r>
          </w:p>
          <w:p>
            <w:pPr>
              <w:pStyle w:val="TableParagraph"/>
              <w:spacing w:line="229" w:lineRule="exact"/>
              <w:ind w:left="116"/>
              <w:rPr>
                <w:sz w:val="21"/>
              </w:rPr>
            </w:pPr>
            <w:r>
              <w:rPr>
                <w:spacing w:val="-5"/>
                <w:sz w:val="21"/>
              </w:rPr>
              <w:t>放达峰行动，深入推进绿色低碳发</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展，构建清洁低碳安全高效能源体</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116"/>
              <w:rPr>
                <w:sz w:val="21"/>
              </w:rPr>
            </w:pPr>
            <w:r>
              <w:rPr>
                <w:spacing w:val="-3"/>
                <w:sz w:val="21"/>
              </w:rPr>
              <w:t>系，深化工业领域绿色低碳转型，</w:t>
            </w:r>
          </w:p>
          <w:p>
            <w:pPr>
              <w:pStyle w:val="TableParagraph"/>
              <w:spacing w:line="228" w:lineRule="exact"/>
              <w:ind w:left="116"/>
              <w:rPr>
                <w:sz w:val="21"/>
              </w:rPr>
            </w:pPr>
            <w:r>
              <w:rPr>
                <w:spacing w:val="-3"/>
                <w:sz w:val="21"/>
              </w:rPr>
              <w:t>推动建筑领域绿色低碳建设，推进</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04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92" w:right="62"/>
              <w:jc w:val="center"/>
              <w:rPr>
                <w:sz w:val="21"/>
              </w:rPr>
            </w:pPr>
            <w:r>
              <w:rPr>
                <w:sz w:val="21"/>
              </w:rPr>
              <w:t>低碳交通运输体系构建。</w:t>
            </w:r>
          </w:p>
          <w:p>
            <w:pPr>
              <w:pStyle w:val="TableParagraph"/>
              <w:spacing w:before="4" w:line="244" w:lineRule="auto"/>
              <w:ind w:left="116" w:right="69" w:hanging="10"/>
              <w:jc w:val="center"/>
              <w:rPr>
                <w:sz w:val="21"/>
              </w:rPr>
            </w:pPr>
            <w:r>
              <w:rPr>
                <w:rFonts w:ascii="Times New Roman" w:eastAsia="Times New Roman"/>
                <w:sz w:val="21"/>
              </w:rPr>
              <w:t>12</w:t>
            </w:r>
            <w:r>
              <w:rPr>
                <w:spacing w:val="-5"/>
                <w:sz w:val="21"/>
              </w:rPr>
              <w:t>、符合城市规划要求的乡镇及街</w:t>
            </w:r>
            <w:r>
              <w:rPr>
                <w:spacing w:val="-6"/>
                <w:sz w:val="21"/>
              </w:rPr>
              <w:t>道应设立工业园区或工业集中区，</w:t>
            </w:r>
          </w:p>
          <w:p>
            <w:pPr>
              <w:pStyle w:val="TableParagraph"/>
              <w:spacing w:line="222" w:lineRule="exact"/>
              <w:ind w:left="92" w:right="58"/>
              <w:jc w:val="center"/>
              <w:rPr>
                <w:sz w:val="21"/>
              </w:rPr>
            </w:pPr>
            <w:r>
              <w:rPr>
                <w:spacing w:val="-3"/>
                <w:sz w:val="21"/>
              </w:rPr>
              <w:t>新建工业项目应进入工业园区或</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工业集中区，现有工业企业应逐步</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4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single" w:sz="6" w:space="0" w:color="000000"/>
              <w:right w:val="single" w:sz="6" w:space="0" w:color="000000"/>
            </w:tcBorders>
          </w:tcPr>
          <w:p>
            <w:pPr>
              <w:pStyle w:val="TableParagraph"/>
              <w:spacing w:line="222" w:lineRule="exact"/>
              <w:ind w:left="92" w:right="58"/>
              <w:jc w:val="center"/>
              <w:rPr>
                <w:sz w:val="21"/>
              </w:rPr>
            </w:pPr>
            <w:r>
              <w:rPr>
                <w:sz w:val="21"/>
              </w:rPr>
              <w:t>向工业园区或工业集中区搬迁。</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val="restart"/>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21"/>
              </w:rPr>
            </w:pPr>
          </w:p>
          <w:p>
            <w:pPr>
              <w:pStyle w:val="TableParagraph"/>
              <w:spacing w:line="278" w:lineRule="auto"/>
              <w:ind w:left="111" w:right="198"/>
              <w:jc w:val="both"/>
              <w:rPr>
                <w:sz w:val="21"/>
              </w:rPr>
            </w:pPr>
            <w:r>
              <w:rPr>
                <w:sz w:val="21"/>
              </w:rPr>
              <w:t>不符合空间布局要求活动的退出要求</w:t>
            </w:r>
          </w:p>
        </w:tc>
        <w:tc>
          <w:tcPr>
            <w:tcW w:w="3356" w:type="dxa"/>
            <w:tcBorders>
              <w:top w:val="single" w:sz="6" w:space="0" w:color="000000"/>
              <w:left w:val="single" w:sz="6" w:space="0" w:color="000000"/>
              <w:bottom w:val="nil"/>
              <w:right w:val="single" w:sz="6" w:space="0" w:color="000000"/>
            </w:tcBorders>
          </w:tcPr>
          <w:p>
            <w:pPr>
              <w:pStyle w:val="TableParagraph"/>
              <w:spacing w:line="210" w:lineRule="exact"/>
              <w:ind w:left="92" w:right="57"/>
              <w:jc w:val="center"/>
              <w:rPr>
                <w:sz w:val="21"/>
              </w:rPr>
            </w:pPr>
            <w:r>
              <w:rPr>
                <w:sz w:val="21"/>
              </w:rPr>
              <w:t>逐步调整退出（退出地方、退出产</w:t>
            </w:r>
          </w:p>
        </w:tc>
        <w:tc>
          <w:tcPr>
            <w:tcW w:w="2009" w:type="dxa"/>
            <w:vMerge w:val="restart"/>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8"/>
              <w:rPr>
                <w:sz w:val="27"/>
              </w:rPr>
            </w:pPr>
          </w:p>
          <w:p>
            <w:pPr>
              <w:pStyle w:val="TableParagraph"/>
              <w:spacing w:line="278" w:lineRule="auto"/>
              <w:ind w:left="116" w:right="-29"/>
              <w:rPr>
                <w:sz w:val="21"/>
              </w:rPr>
            </w:pPr>
            <w:r>
              <w:rPr>
                <w:spacing w:val="-16"/>
                <w:sz w:val="21"/>
              </w:rPr>
              <w:t>项目为河湖整治</w:t>
            </w:r>
            <w:r>
              <w:rPr>
                <w:sz w:val="21"/>
              </w:rPr>
              <w:t>（不</w:t>
            </w:r>
            <w:r>
              <w:rPr>
                <w:spacing w:val="-1"/>
                <w:sz w:val="21"/>
              </w:rPr>
              <w:t>含农村塘堰、水渠</w:t>
            </w:r>
            <w:r>
              <w:rPr>
                <w:spacing w:val="-17"/>
                <w:sz w:val="21"/>
              </w:rPr>
              <w:t xml:space="preserve">） </w:t>
            </w:r>
            <w:r>
              <w:rPr>
                <w:spacing w:val="-24"/>
                <w:sz w:val="21"/>
              </w:rPr>
              <w:t xml:space="preserve">及防洪除涝工程，不  </w:t>
            </w:r>
            <w:r>
              <w:rPr>
                <w:spacing w:val="-1"/>
                <w:sz w:val="21"/>
              </w:rPr>
              <w:t xml:space="preserve">属于左侧所列的不 </w:t>
            </w:r>
            <w:r>
              <w:rPr>
                <w:spacing w:val="-2"/>
                <w:sz w:val="21"/>
              </w:rPr>
              <w:t>符合空间布局要求</w:t>
            </w:r>
          </w:p>
          <w:p>
            <w:pPr>
              <w:pStyle w:val="TableParagraph"/>
              <w:spacing w:before="10"/>
              <w:ind w:left="275"/>
              <w:rPr>
                <w:sz w:val="21"/>
              </w:rPr>
            </w:pPr>
            <w:r>
              <w:rPr>
                <w:sz w:val="21"/>
              </w:rPr>
              <w:t>的活动，符合。</w:t>
            </w:r>
          </w:p>
        </w:tc>
        <w:tc>
          <w:tcPr>
            <w:tcW w:w="125"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77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92" w:right="61"/>
              <w:jc w:val="center"/>
              <w:rPr>
                <w:sz w:val="21"/>
              </w:rPr>
            </w:pPr>
            <w:r>
              <w:rPr>
                <w:sz w:val="21"/>
              </w:rPr>
              <w:t>能）：</w:t>
            </w:r>
          </w:p>
          <w:p>
            <w:pPr>
              <w:pStyle w:val="TableParagraph"/>
              <w:ind w:left="92" w:right="58"/>
              <w:jc w:val="center"/>
              <w:rPr>
                <w:sz w:val="21"/>
              </w:rPr>
            </w:pPr>
            <w:r>
              <w:rPr>
                <w:rFonts w:ascii="Times New Roman" w:eastAsia="Times New Roman"/>
                <w:sz w:val="21"/>
              </w:rPr>
              <w:t>1</w:t>
            </w:r>
            <w:r>
              <w:rPr>
                <w:sz w:val="21"/>
              </w:rPr>
              <w:t>、位于生态红线区域、饮用水水</w:t>
            </w:r>
          </w:p>
          <w:p>
            <w:pPr>
              <w:pStyle w:val="TableParagraph"/>
              <w:spacing w:before="4" w:line="229" w:lineRule="exact"/>
              <w:ind w:left="92" w:right="58"/>
              <w:jc w:val="center"/>
              <w:rPr>
                <w:sz w:val="21"/>
              </w:rPr>
            </w:pPr>
            <w:r>
              <w:rPr>
                <w:sz w:val="21"/>
              </w:rPr>
              <w:t>源保护区、风景名胜区、南水北调</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216"/>
              <w:rPr>
                <w:sz w:val="21"/>
              </w:rPr>
            </w:pPr>
            <w:r>
              <w:rPr>
                <w:sz w:val="21"/>
              </w:rPr>
              <w:t>工程核心保护区及重点保护区等</w:t>
            </w:r>
          </w:p>
          <w:p>
            <w:pPr>
              <w:pStyle w:val="TableParagraph"/>
              <w:spacing w:line="228" w:lineRule="exact"/>
              <w:ind w:left="116"/>
              <w:rPr>
                <w:sz w:val="21"/>
              </w:rPr>
            </w:pPr>
            <w:r>
              <w:rPr>
                <w:sz w:val="21"/>
              </w:rPr>
              <w:t>敏感区域，不符合区域定位和相关</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规定的企业，通过搬迁入园、限期</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整改等措施进行整顿，逾期整改不</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77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92" w:right="62"/>
              <w:jc w:val="center"/>
              <w:rPr>
                <w:sz w:val="21"/>
              </w:rPr>
            </w:pPr>
            <w:r>
              <w:rPr>
                <w:sz w:val="21"/>
              </w:rPr>
              <w:t>到位的企业予以关闭退出。</w:t>
            </w:r>
          </w:p>
          <w:p>
            <w:pPr>
              <w:pStyle w:val="TableParagraph"/>
              <w:ind w:left="92" w:right="58"/>
              <w:jc w:val="center"/>
              <w:rPr>
                <w:sz w:val="21"/>
              </w:rPr>
            </w:pPr>
            <w:r>
              <w:rPr>
                <w:rFonts w:ascii="Times New Roman" w:eastAsia="Times New Roman"/>
                <w:sz w:val="21"/>
              </w:rPr>
              <w:t>2</w:t>
            </w:r>
            <w:r>
              <w:rPr>
                <w:sz w:val="21"/>
              </w:rPr>
              <w:t>、未按规定进入省政府公布的化</w:t>
            </w:r>
          </w:p>
          <w:p>
            <w:pPr>
              <w:pStyle w:val="TableParagraph"/>
              <w:spacing w:before="4" w:line="229" w:lineRule="exact"/>
              <w:ind w:left="92" w:right="58"/>
              <w:jc w:val="center"/>
              <w:rPr>
                <w:sz w:val="21"/>
              </w:rPr>
            </w:pPr>
            <w:r>
              <w:rPr>
                <w:sz w:val="21"/>
              </w:rPr>
              <w:t>工园区、专业化工园区，也未列入</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重点监控点，经山东省化工生产企</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116"/>
              <w:rPr>
                <w:sz w:val="21"/>
              </w:rPr>
            </w:pPr>
            <w:r>
              <w:rPr>
                <w:spacing w:val="-5"/>
                <w:sz w:val="21"/>
              </w:rPr>
              <w:t>业评级评价结果为“差”的化工企</w:t>
            </w:r>
          </w:p>
          <w:p>
            <w:pPr>
              <w:pStyle w:val="TableParagraph"/>
              <w:spacing w:line="228" w:lineRule="exact"/>
              <w:ind w:left="116"/>
              <w:rPr>
                <w:sz w:val="21"/>
              </w:rPr>
            </w:pPr>
            <w:r>
              <w:rPr>
                <w:spacing w:val="-5"/>
                <w:sz w:val="21"/>
              </w:rPr>
              <w:t>业，限期整改，逾期整改不到位的</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企业予以关闭退出。不在化工园</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区、专业化工园区、重点监控点区</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116"/>
              <w:rPr>
                <w:sz w:val="21"/>
              </w:rPr>
            </w:pPr>
            <w:r>
              <w:rPr>
                <w:spacing w:val="-2"/>
                <w:sz w:val="21"/>
              </w:rPr>
              <w:t>域的重点化工项目</w:t>
            </w:r>
            <w:r>
              <w:rPr>
                <w:spacing w:val="-5"/>
                <w:sz w:val="21"/>
              </w:rPr>
              <w:t>（</w:t>
            </w:r>
            <w:r>
              <w:rPr>
                <w:spacing w:val="-3"/>
                <w:sz w:val="21"/>
              </w:rPr>
              <w:t>报告书级，未</w:t>
            </w:r>
          </w:p>
          <w:p>
            <w:pPr>
              <w:pStyle w:val="TableParagraph"/>
              <w:spacing w:line="228" w:lineRule="exact"/>
              <w:ind w:left="116"/>
              <w:rPr>
                <w:sz w:val="21"/>
              </w:rPr>
            </w:pPr>
            <w:r>
              <w:rPr>
                <w:spacing w:val="-3"/>
                <w:sz w:val="21"/>
              </w:rPr>
              <w:t>列入“差”的企业</w:t>
            </w:r>
            <w:r>
              <w:rPr>
                <w:spacing w:val="-10"/>
                <w:sz w:val="21"/>
              </w:rPr>
              <w:t>）</w:t>
            </w:r>
            <w:r>
              <w:rPr>
                <w:spacing w:val="-2"/>
                <w:sz w:val="21"/>
              </w:rPr>
              <w:t>应制定搬迁计</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04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1474"/>
              <w:rPr>
                <w:sz w:val="21"/>
              </w:rPr>
            </w:pPr>
            <w:r>
              <w:rPr>
                <w:sz w:val="21"/>
              </w:rPr>
              <w:t>划。</w:t>
            </w:r>
          </w:p>
          <w:p>
            <w:pPr>
              <w:pStyle w:val="TableParagraph"/>
              <w:spacing w:before="4" w:line="244" w:lineRule="auto"/>
              <w:ind w:left="116" w:right="-29"/>
              <w:rPr>
                <w:sz w:val="21"/>
              </w:rPr>
            </w:pPr>
            <w:r>
              <w:rPr>
                <w:rFonts w:ascii="Times New Roman" w:eastAsia="Times New Roman"/>
                <w:sz w:val="21"/>
              </w:rPr>
              <w:t>3</w:t>
            </w:r>
            <w:r>
              <w:rPr>
                <w:spacing w:val="-6"/>
                <w:sz w:val="21"/>
              </w:rPr>
              <w:t>、对无项目核准备案、建设用地、</w:t>
            </w:r>
            <w:r>
              <w:rPr>
                <w:spacing w:val="-5"/>
                <w:sz w:val="21"/>
              </w:rPr>
              <w:t>规划、环评、安评等法定手续的企</w:t>
            </w:r>
          </w:p>
          <w:p>
            <w:pPr>
              <w:pStyle w:val="TableParagraph"/>
              <w:spacing w:line="222" w:lineRule="exact"/>
              <w:ind w:left="116"/>
              <w:rPr>
                <w:sz w:val="21"/>
              </w:rPr>
            </w:pPr>
            <w:r>
              <w:rPr>
                <w:spacing w:val="-5"/>
                <w:sz w:val="21"/>
              </w:rPr>
              <w:t>业，由有关部门依法限期整改，逾</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77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92" w:right="62"/>
              <w:jc w:val="center"/>
              <w:rPr>
                <w:sz w:val="21"/>
              </w:rPr>
            </w:pPr>
            <w:r>
              <w:rPr>
                <w:sz w:val="21"/>
              </w:rPr>
              <w:t>期未整改的予以关闭退出。</w:t>
            </w:r>
          </w:p>
          <w:p>
            <w:pPr>
              <w:pStyle w:val="TableParagraph"/>
              <w:spacing w:before="3" w:line="270" w:lineRule="atLeast"/>
              <w:ind w:left="116" w:right="69" w:hanging="10"/>
              <w:jc w:val="center"/>
              <w:rPr>
                <w:sz w:val="21"/>
              </w:rPr>
            </w:pPr>
            <w:r>
              <w:rPr>
                <w:rFonts w:ascii="Times New Roman" w:eastAsia="Times New Roman"/>
                <w:sz w:val="21"/>
              </w:rPr>
              <w:t>4</w:t>
            </w:r>
            <w:r>
              <w:rPr>
                <w:sz w:val="21"/>
              </w:rPr>
              <w:t>、城市建成区内及主要人口密集区周边石化、钢铁、火电、水泥、</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02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29" w:lineRule="exact"/>
              <w:ind w:left="216"/>
              <w:rPr>
                <w:sz w:val="21"/>
              </w:rPr>
            </w:pPr>
            <w:r>
              <w:rPr>
                <w:spacing w:val="-3"/>
                <w:sz w:val="21"/>
              </w:rPr>
              <w:t>危险废物经营处置等重污染企业</w:t>
            </w:r>
          </w:p>
          <w:p>
            <w:pPr>
              <w:pStyle w:val="TableParagraph"/>
              <w:spacing w:before="4" w:line="244" w:lineRule="auto"/>
              <w:ind w:left="216" w:right="78" w:hanging="101"/>
              <w:rPr>
                <w:sz w:val="21"/>
              </w:rPr>
            </w:pPr>
            <w:r>
              <w:rPr>
                <w:spacing w:val="-2"/>
                <w:sz w:val="21"/>
              </w:rPr>
              <w:t>应搬迁。</w:t>
            </w:r>
            <w:r>
              <w:rPr>
                <w:rFonts w:ascii="Times New Roman" w:eastAsia="Times New Roman"/>
                <w:sz w:val="21"/>
              </w:rPr>
              <w:t>2025</w:t>
            </w:r>
            <w:r>
              <w:rPr>
                <w:spacing w:val="-6"/>
                <w:sz w:val="21"/>
              </w:rPr>
              <w:t>年，城镇人口密集区</w:t>
            </w:r>
            <w:r>
              <w:rPr>
                <w:spacing w:val="-3"/>
                <w:sz w:val="21"/>
              </w:rPr>
              <w:t>现有不符合安全和卫生防护距离</w:t>
            </w:r>
          </w:p>
          <w:p>
            <w:pPr>
              <w:pStyle w:val="TableParagraph"/>
              <w:spacing w:line="222" w:lineRule="exact"/>
              <w:ind w:left="216"/>
              <w:rPr>
                <w:sz w:val="21"/>
              </w:rPr>
            </w:pPr>
            <w:r>
              <w:rPr>
                <w:spacing w:val="-3"/>
                <w:sz w:val="21"/>
              </w:rPr>
              <w:t>要求的危险化学品生产企业就地</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09" w:lineRule="exact"/>
              <w:ind w:left="92" w:right="58"/>
              <w:jc w:val="center"/>
              <w:rPr>
                <w:sz w:val="21"/>
              </w:rPr>
            </w:pPr>
            <w:r>
              <w:rPr>
                <w:sz w:val="21"/>
              </w:rPr>
              <w:t>改造达标、搬迁进入规范化工园区</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31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9" w:lineRule="exact"/>
              <w:ind w:left="92" w:right="57"/>
              <w:jc w:val="center"/>
              <w:rPr>
                <w:sz w:val="21"/>
              </w:rPr>
            </w:pPr>
            <w:r>
              <w:rPr>
                <w:sz w:val="21"/>
              </w:rPr>
              <w:t>或关闭退出。</w:t>
            </w:r>
          </w:p>
          <w:p>
            <w:pPr>
              <w:pStyle w:val="TableParagraph"/>
              <w:spacing w:before="4" w:line="242" w:lineRule="auto"/>
              <w:ind w:left="116" w:right="-29"/>
              <w:jc w:val="both"/>
              <w:rPr>
                <w:sz w:val="21"/>
              </w:rPr>
            </w:pPr>
            <w:r>
              <w:rPr>
                <w:rFonts w:ascii="Times New Roman" w:eastAsia="Times New Roman"/>
                <w:sz w:val="21"/>
              </w:rPr>
              <w:t>5</w:t>
            </w:r>
            <w:r>
              <w:rPr>
                <w:spacing w:val="-6"/>
                <w:sz w:val="21"/>
              </w:rPr>
              <w:t>、淘汰《产业结构调整指导目录》</w:t>
            </w:r>
            <w:r>
              <w:rPr>
                <w:spacing w:val="-13"/>
                <w:sz w:val="21"/>
              </w:rPr>
              <w:t>中淘汰类工艺、技术、装备及产品。</w:t>
            </w:r>
            <w:r>
              <w:rPr>
                <w:rFonts w:ascii="Times New Roman" w:eastAsia="Times New Roman"/>
                <w:sz w:val="21"/>
              </w:rPr>
              <w:t>6</w:t>
            </w:r>
            <w:r>
              <w:rPr>
                <w:spacing w:val="-3"/>
                <w:sz w:val="21"/>
              </w:rPr>
              <w:t>、落实《关于进一步加强危险化</w:t>
            </w:r>
          </w:p>
          <w:p>
            <w:pPr>
              <w:pStyle w:val="TableParagraph"/>
              <w:spacing w:before="1" w:line="228" w:lineRule="exact"/>
              <w:ind w:left="92" w:right="58"/>
              <w:jc w:val="center"/>
              <w:rPr>
                <w:sz w:val="21"/>
              </w:rPr>
            </w:pPr>
            <w:r>
              <w:rPr>
                <w:spacing w:val="-3"/>
                <w:sz w:val="21"/>
              </w:rPr>
              <w:t>学品安全生产管理工作的若干意</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2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vMerge/>
            <w:tcBorders>
              <w:top w:val="nil"/>
              <w:left w:val="single" w:sz="6" w:space="0" w:color="000000"/>
              <w:bottom w:val="thinThickMediumGap" w:sz="6" w:space="0" w:color="000000"/>
              <w:right w:val="single" w:sz="6" w:space="0" w:color="000000"/>
            </w:tcBorders>
          </w:tcPr>
          <w:p>
            <w:pPr>
              <w:rPr>
                <w:sz w:val="2"/>
                <w:szCs w:val="2"/>
              </w:rPr>
            </w:pPr>
          </w:p>
        </w:tc>
        <w:tc>
          <w:tcPr>
            <w:tcW w:w="3356" w:type="dxa"/>
            <w:tcBorders>
              <w:top w:val="nil"/>
              <w:left w:val="single" w:sz="6" w:space="0" w:color="000000"/>
              <w:bottom w:val="thinThickMediumGap" w:sz="6" w:space="0" w:color="000000"/>
              <w:right w:val="single" w:sz="6" w:space="0" w:color="000000"/>
            </w:tcBorders>
          </w:tcPr>
          <w:p>
            <w:pPr>
              <w:pStyle w:val="TableParagraph"/>
              <w:spacing w:line="208" w:lineRule="exact"/>
              <w:ind w:left="92" w:right="58"/>
              <w:jc w:val="center"/>
              <w:rPr>
                <w:sz w:val="21"/>
              </w:rPr>
            </w:pPr>
            <w:r>
              <w:rPr>
                <w:sz w:val="21"/>
              </w:rPr>
              <w:t>见》，关闭不具备安全生产条件企</w:t>
            </w:r>
          </w:p>
        </w:tc>
        <w:tc>
          <w:tcPr>
            <w:tcW w:w="2009" w:type="dxa"/>
            <w:vMerge/>
            <w:tcBorders>
              <w:top w:val="nil"/>
              <w:left w:val="single" w:sz="6" w:space="0" w:color="000000"/>
              <w:bottom w:val="thinThickMediumGap" w:sz="6" w:space="0" w:color="000000"/>
              <w:right w:val="single" w:sz="12" w:space="0" w:color="000000"/>
            </w:tcBorders>
          </w:tcPr>
          <w:p>
            <w:pPr>
              <w:rPr>
                <w:sz w:val="2"/>
                <w:szCs w:val="2"/>
              </w:rPr>
            </w:pPr>
          </w:p>
        </w:tc>
        <w:tc>
          <w:tcPr>
            <w:tcW w:w="125" w:type="dxa"/>
            <w:vMerge/>
            <w:tcBorders>
              <w:top w:val="nil"/>
              <w:left w:val="single" w:sz="12" w:space="0" w:color="000000"/>
            </w:tcBorders>
          </w:tcPr>
          <w:p>
            <w:pPr>
              <w:rPr>
                <w:sz w:val="2"/>
                <w:szCs w:val="2"/>
              </w:rPr>
            </w:pPr>
          </w:p>
        </w:tc>
      </w:tr>
    </w:tbl>
    <w:p>
      <w:pPr>
        <w:pStyle w:val="BodyText"/>
        <w:rPr>
          <w:sz w:val="20"/>
        </w:rPr>
      </w:pPr>
    </w:p>
    <w:p>
      <w:pPr>
        <w:pStyle w:val="BodyText"/>
        <w:rPr>
          <w:sz w:val="20"/>
        </w:rPr>
      </w:pPr>
    </w:p>
    <w:p>
      <w:pPr>
        <w:spacing w:before="194"/>
        <w:ind w:left="0" w:right="705" w:firstLine="0"/>
        <w:jc w:val="right"/>
        <w:rPr>
          <w:sz w:val="28"/>
        </w:rPr>
      </w:pPr>
      <w:r>
        <w:rPr>
          <w:w w:val="95"/>
          <w:sz w:val="28"/>
        </w:rPr>
        <w:t>—</w:t>
      </w:r>
      <w:r>
        <w:rPr>
          <w:w w:val="95"/>
          <w:sz w:val="26"/>
        </w:rPr>
        <w:t>8</w:t>
      </w:r>
      <w:r>
        <w:rPr>
          <w:w w:val="95"/>
          <w:sz w:val="28"/>
        </w:rPr>
        <w:t>—</w:t>
      </w:r>
    </w:p>
    <w:p>
      <w:pPr>
        <w:spacing w:after="0"/>
        <w:jc w:val="right"/>
        <w:rPr>
          <w:sz w:val="28"/>
        </w:rPr>
        <w:sectPr>
          <w:pgSz w:w="11910" w:h="16840"/>
          <w:pgMar w:top="1580" w:right="820" w:bottom="280" w:left="980" w:header="720" w:footer="720" w:gutter="0"/>
          <w:pgNumType w:start="13"/>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9792"/>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6" w:space="0" w:color="000000"/>
              <w:right w:val="single" w:sz="6" w:space="0" w:color="000000"/>
            </w:tcBorders>
          </w:tcPr>
          <w:p>
            <w:pPr>
              <w:pStyle w:val="TableParagraph"/>
              <w:ind w:left="92" w:right="61"/>
              <w:jc w:val="center"/>
              <w:rPr>
                <w:sz w:val="21"/>
              </w:rPr>
            </w:pPr>
            <w:r>
              <w:rPr>
                <w:sz w:val="21"/>
              </w:rPr>
              <w:t>业。</w:t>
            </w:r>
          </w:p>
          <w:p>
            <w:pPr>
              <w:pStyle w:val="TableParagraph"/>
              <w:spacing w:before="5" w:line="242" w:lineRule="auto"/>
              <w:ind w:left="116" w:right="79" w:hanging="1"/>
              <w:jc w:val="center"/>
              <w:rPr>
                <w:sz w:val="21"/>
              </w:rPr>
            </w:pPr>
            <w:r>
              <w:rPr>
                <w:rFonts w:ascii="Times New Roman" w:eastAsia="Times New Roman"/>
                <w:sz w:val="21"/>
              </w:rPr>
              <w:t>7</w:t>
            </w:r>
            <w:r>
              <w:rPr>
                <w:spacing w:val="-3"/>
                <w:sz w:val="21"/>
              </w:rPr>
              <w:t>、淘汰不达标工业炉窑，逐步取</w:t>
            </w:r>
            <w:r>
              <w:rPr>
                <w:spacing w:val="-6"/>
                <w:sz w:val="21"/>
              </w:rPr>
              <w:t>缔燃煤热风炉，淘汰热电联产供热</w:t>
            </w:r>
            <w:r>
              <w:rPr>
                <w:spacing w:val="-4"/>
                <w:sz w:val="21"/>
              </w:rPr>
              <w:t>管网覆盖范围内的燃煤加热、烘干</w:t>
            </w:r>
            <w:r>
              <w:rPr>
                <w:sz w:val="21"/>
              </w:rPr>
              <w:t>炉（窑</w:t>
            </w:r>
            <w:r>
              <w:rPr>
                <w:spacing w:val="-3"/>
                <w:sz w:val="21"/>
              </w:rPr>
              <w:t>）；淘汰炉膛直径</w:t>
            </w:r>
            <w:r>
              <w:rPr>
                <w:rFonts w:ascii="Times New Roman" w:eastAsia="Times New Roman"/>
                <w:sz w:val="21"/>
              </w:rPr>
              <w:t>3</w:t>
            </w:r>
            <w:r>
              <w:rPr>
                <w:sz w:val="21"/>
              </w:rPr>
              <w:t>米</w:t>
            </w:r>
            <w:r>
              <w:rPr>
                <w:spacing w:val="-5"/>
                <w:sz w:val="21"/>
              </w:rPr>
              <w:t>（</w:t>
            </w:r>
            <w:r>
              <w:rPr>
                <w:sz w:val="21"/>
              </w:rPr>
              <w:t>不含</w:t>
            </w:r>
            <w:r>
              <w:rPr>
                <w:spacing w:val="-5"/>
                <w:sz w:val="21"/>
              </w:rPr>
              <w:t>）以下燃料类煤气发生炉；对热</w:t>
            </w:r>
            <w:r>
              <w:rPr>
                <w:spacing w:val="-6"/>
                <w:sz w:val="21"/>
              </w:rPr>
              <w:t>效率低下、敞开未封闭，装备简易落后、自动化程度低，无组织排放突出，以及无治理设施或治理设施</w:t>
            </w:r>
            <w:r>
              <w:rPr>
                <w:spacing w:val="-3"/>
                <w:sz w:val="21"/>
              </w:rPr>
              <w:t xml:space="preserve">工艺落后等严重污染环境的工业 </w:t>
            </w:r>
            <w:r>
              <w:rPr>
                <w:spacing w:val="-5"/>
                <w:sz w:val="21"/>
              </w:rPr>
              <w:t>炉窑，责令停业关闭。</w:t>
            </w:r>
          </w:p>
          <w:p>
            <w:pPr>
              <w:pStyle w:val="TableParagraph"/>
              <w:spacing w:before="5" w:line="242" w:lineRule="auto"/>
              <w:ind w:left="116" w:right="78" w:hanging="1"/>
              <w:jc w:val="center"/>
              <w:rPr>
                <w:sz w:val="21"/>
              </w:rPr>
            </w:pPr>
            <w:r>
              <w:rPr>
                <w:rFonts w:ascii="Times New Roman" w:eastAsia="Times New Roman"/>
                <w:sz w:val="21"/>
              </w:rPr>
              <w:t>8</w:t>
            </w:r>
            <w:r>
              <w:rPr>
                <w:spacing w:val="-3"/>
                <w:sz w:val="21"/>
              </w:rPr>
              <w:t>、优化燃煤机组发电组合，提升</w:t>
            </w:r>
            <w:r>
              <w:rPr>
                <w:spacing w:val="-7"/>
                <w:sz w:val="21"/>
              </w:rPr>
              <w:t>高效大容量机组发电利用率，减少</w:t>
            </w:r>
            <w:r>
              <w:rPr>
                <w:spacing w:val="-5"/>
                <w:sz w:val="21"/>
              </w:rPr>
              <w:t>低效机组运行时间。逐步推进现役燃煤发电机组改造，加大落后机组淘汰力度，除所在地区唯一、不可替代民生热源机组外，逐步关停单</w:t>
            </w:r>
            <w:r>
              <w:rPr>
                <w:sz w:val="21"/>
              </w:rPr>
              <w:t>机容量</w:t>
            </w:r>
            <w:r>
              <w:rPr>
                <w:rFonts w:ascii="Times New Roman" w:eastAsia="Times New Roman"/>
                <w:sz w:val="21"/>
              </w:rPr>
              <w:t>30</w:t>
            </w:r>
            <w:r>
              <w:rPr>
                <w:spacing w:val="-4"/>
                <w:sz w:val="21"/>
              </w:rPr>
              <w:t>万千瓦以下燃煤机组及 配套锅炉。</w:t>
            </w:r>
          </w:p>
          <w:p>
            <w:pPr>
              <w:pStyle w:val="TableParagraph"/>
              <w:spacing w:before="5"/>
              <w:ind w:left="92" w:right="62"/>
              <w:jc w:val="center"/>
              <w:rPr>
                <w:sz w:val="21"/>
              </w:rPr>
            </w:pPr>
            <w:r>
              <w:rPr>
                <w:rFonts w:ascii="Times New Roman" w:eastAsia="Times New Roman"/>
                <w:sz w:val="21"/>
              </w:rPr>
              <w:t>9</w:t>
            </w:r>
            <w:r>
              <w:rPr>
                <w:sz w:val="21"/>
              </w:rPr>
              <w:t>、淘汰</w:t>
            </w:r>
            <w:r>
              <w:rPr>
                <w:rFonts w:ascii="Times New Roman" w:eastAsia="Times New Roman"/>
                <w:sz w:val="21"/>
              </w:rPr>
              <w:t>35t/h</w:t>
            </w:r>
            <w:r>
              <w:rPr>
                <w:sz w:val="21"/>
              </w:rPr>
              <w:t>以下燃煤锅炉。</w:t>
            </w:r>
          </w:p>
          <w:p>
            <w:pPr>
              <w:pStyle w:val="TableParagraph"/>
              <w:spacing w:before="5" w:line="242" w:lineRule="auto"/>
              <w:ind w:left="116" w:right="79"/>
              <w:jc w:val="center"/>
              <w:rPr>
                <w:sz w:val="21"/>
              </w:rPr>
            </w:pPr>
            <w:r>
              <w:rPr>
                <w:rFonts w:ascii="Times New Roman" w:eastAsia="Times New Roman"/>
                <w:sz w:val="21"/>
              </w:rPr>
              <w:t>10</w:t>
            </w:r>
            <w:r>
              <w:rPr>
                <w:spacing w:val="-6"/>
                <w:sz w:val="21"/>
              </w:rPr>
              <w:t>、加强监管工业用地控制线范围</w:t>
            </w:r>
            <w:r>
              <w:rPr>
                <w:spacing w:val="-3"/>
                <w:sz w:val="21"/>
              </w:rPr>
              <w:t xml:space="preserve">以外区域已建排放重金属污染物 </w:t>
            </w:r>
            <w:r>
              <w:rPr>
                <w:spacing w:val="-6"/>
                <w:sz w:val="21"/>
              </w:rPr>
              <w:t>的项目，逐步实施搬迁、转产、转</w:t>
            </w:r>
            <w:r>
              <w:rPr>
                <w:sz w:val="21"/>
              </w:rPr>
              <w:t>型。</w:t>
            </w:r>
          </w:p>
          <w:p>
            <w:pPr>
              <w:pStyle w:val="TableParagraph"/>
              <w:spacing w:before="3" w:line="242" w:lineRule="auto"/>
              <w:ind w:left="116" w:right="78"/>
              <w:jc w:val="center"/>
              <w:rPr>
                <w:sz w:val="21"/>
              </w:rPr>
            </w:pPr>
            <w:r>
              <w:rPr>
                <w:rFonts w:ascii="Times New Roman" w:eastAsia="Times New Roman"/>
                <w:sz w:val="21"/>
              </w:rPr>
              <w:t>11</w:t>
            </w:r>
            <w:r>
              <w:rPr>
                <w:spacing w:val="-5"/>
                <w:sz w:val="21"/>
              </w:rPr>
              <w:t>、</w:t>
            </w:r>
            <w:r>
              <w:rPr>
                <w:rFonts w:ascii="Times New Roman" w:eastAsia="Times New Roman"/>
                <w:sz w:val="21"/>
              </w:rPr>
              <w:t>2021</w:t>
            </w:r>
            <w:r>
              <w:rPr>
                <w:spacing w:val="-6"/>
                <w:sz w:val="21"/>
              </w:rPr>
              <w:t>年年底，齐河县金能科技</w:t>
            </w:r>
            <w:r>
              <w:rPr>
                <w:spacing w:val="-3"/>
                <w:sz w:val="21"/>
              </w:rPr>
              <w:t xml:space="preserve">股份有限公司完成压减焦化产能 </w:t>
            </w:r>
            <w:r>
              <w:rPr>
                <w:rFonts w:ascii="Times New Roman" w:eastAsia="Times New Roman"/>
                <w:spacing w:val="-3"/>
                <w:sz w:val="21"/>
              </w:rPr>
              <w:t>80</w:t>
            </w:r>
            <w:r>
              <w:rPr>
                <w:spacing w:val="-3"/>
                <w:sz w:val="21"/>
              </w:rPr>
              <w:t>万吨。</w:t>
            </w:r>
          </w:p>
          <w:p>
            <w:pPr>
              <w:pStyle w:val="TableParagraph"/>
              <w:spacing w:before="1"/>
              <w:ind w:left="164" w:right="126"/>
              <w:jc w:val="center"/>
              <w:rPr>
                <w:sz w:val="21"/>
              </w:rPr>
            </w:pPr>
            <w:r>
              <w:rPr>
                <w:rFonts w:ascii="Times New Roman" w:eastAsia="Times New Roman"/>
                <w:sz w:val="21"/>
              </w:rPr>
              <w:t>12</w:t>
            </w:r>
            <w:r>
              <w:rPr>
                <w:sz w:val="21"/>
              </w:rPr>
              <w:t>、</w:t>
            </w:r>
            <w:r>
              <w:rPr>
                <w:rFonts w:ascii="Times New Roman" w:eastAsia="Times New Roman"/>
                <w:sz w:val="21"/>
              </w:rPr>
              <w:t>2021</w:t>
            </w:r>
            <w:r>
              <w:rPr>
                <w:sz w:val="21"/>
              </w:rPr>
              <w:t>年</w:t>
            </w:r>
            <w:r>
              <w:rPr>
                <w:rFonts w:ascii="Times New Roman" w:eastAsia="Times New Roman"/>
                <w:sz w:val="21"/>
              </w:rPr>
              <w:t>6</w:t>
            </w:r>
            <w:r>
              <w:rPr>
                <w:sz w:val="21"/>
              </w:rPr>
              <w:t>月底，恒源石化炼化装置应全部停产。</w:t>
            </w:r>
          </w:p>
          <w:p>
            <w:pPr>
              <w:pStyle w:val="TableParagraph"/>
              <w:spacing w:before="4"/>
              <w:ind w:left="92" w:right="57"/>
              <w:jc w:val="center"/>
              <w:rPr>
                <w:rFonts w:ascii="Times New Roman" w:eastAsia="Times New Roman"/>
                <w:sz w:val="21"/>
              </w:rPr>
            </w:pPr>
            <w:r>
              <w:rPr>
                <w:rFonts w:ascii="Times New Roman" w:eastAsia="Times New Roman"/>
                <w:sz w:val="21"/>
              </w:rPr>
              <w:t>13</w:t>
            </w:r>
            <w:r>
              <w:rPr>
                <w:sz w:val="21"/>
              </w:rPr>
              <w:t>、</w:t>
            </w:r>
            <w:r>
              <w:rPr>
                <w:rFonts w:ascii="Times New Roman" w:eastAsia="Times New Roman"/>
                <w:sz w:val="21"/>
              </w:rPr>
              <w:t>2021</w:t>
            </w:r>
            <w:r>
              <w:rPr>
                <w:sz w:val="21"/>
              </w:rPr>
              <w:t>年年底，永锋钢铁现有</w:t>
            </w:r>
            <w:r>
              <w:rPr>
                <w:rFonts w:ascii="Times New Roman" w:eastAsia="Times New Roman"/>
                <w:sz w:val="21"/>
              </w:rPr>
              <w:t>2</w:t>
            </w:r>
          </w:p>
          <w:p>
            <w:pPr>
              <w:pStyle w:val="TableParagraph"/>
              <w:spacing w:before="5"/>
              <w:ind w:left="92" w:right="57"/>
              <w:jc w:val="center"/>
              <w:rPr>
                <w:sz w:val="21"/>
              </w:rPr>
            </w:pPr>
            <w:r>
              <w:rPr>
                <w:sz w:val="21"/>
              </w:rPr>
              <w:t>台</w:t>
            </w:r>
            <w:r>
              <w:rPr>
                <w:rFonts w:ascii="Times New Roman" w:eastAsia="Times New Roman"/>
                <w:sz w:val="21"/>
              </w:rPr>
              <w:t>450m</w:t>
            </w:r>
            <w:r>
              <w:rPr>
                <w:rFonts w:ascii="Times New Roman" w:eastAsia="Times New Roman"/>
                <w:sz w:val="21"/>
                <w:vertAlign w:val="superscript"/>
              </w:rPr>
              <w:t>3</w:t>
            </w:r>
            <w:r>
              <w:rPr>
                <w:sz w:val="21"/>
                <w:vertAlign w:val="baseline"/>
              </w:rPr>
              <w:t>高炉应停产搬迁。</w:t>
            </w:r>
          </w:p>
          <w:p>
            <w:pPr>
              <w:pStyle w:val="TableParagraph"/>
              <w:spacing w:before="4" w:line="242" w:lineRule="auto"/>
              <w:ind w:left="116" w:right="78"/>
              <w:jc w:val="center"/>
              <w:rPr>
                <w:sz w:val="21"/>
              </w:rPr>
            </w:pPr>
            <w:r>
              <w:rPr>
                <w:rFonts w:ascii="Times New Roman" w:eastAsia="Times New Roman"/>
                <w:sz w:val="21"/>
              </w:rPr>
              <w:t>14</w:t>
            </w:r>
            <w:r>
              <w:rPr>
                <w:spacing w:val="-5"/>
                <w:sz w:val="21"/>
              </w:rPr>
              <w:t>、</w:t>
            </w:r>
            <w:r>
              <w:rPr>
                <w:rFonts w:ascii="Times New Roman" w:eastAsia="Times New Roman"/>
                <w:sz w:val="21"/>
              </w:rPr>
              <w:t>2022</w:t>
            </w:r>
            <w:r>
              <w:rPr>
                <w:spacing w:val="-6"/>
                <w:sz w:val="21"/>
              </w:rPr>
              <w:t>年年底，阳煤平原化工完</w:t>
            </w:r>
            <w:r>
              <w:rPr>
                <w:spacing w:val="-3"/>
                <w:sz w:val="21"/>
              </w:rPr>
              <w:t>成产业升级搬迁改造一期建设项 目，</w:t>
            </w:r>
            <w:r>
              <w:rPr>
                <w:rFonts w:ascii="Times New Roman" w:eastAsia="Times New Roman"/>
                <w:spacing w:val="-3"/>
                <w:sz w:val="21"/>
              </w:rPr>
              <w:t>2025</w:t>
            </w:r>
            <w:r>
              <w:rPr>
                <w:spacing w:val="-4"/>
                <w:sz w:val="21"/>
              </w:rPr>
              <w:t xml:space="preserve">年底前完成二期建设项 </w:t>
            </w:r>
            <w:r>
              <w:rPr>
                <w:spacing w:val="-5"/>
                <w:sz w:val="21"/>
              </w:rPr>
              <w:t>目，淘汰现有</w:t>
            </w:r>
            <w:r>
              <w:rPr>
                <w:rFonts w:ascii="Times New Roman" w:eastAsia="Times New Roman"/>
                <w:sz w:val="21"/>
              </w:rPr>
              <w:t>100</w:t>
            </w:r>
            <w:r>
              <w:rPr>
                <w:spacing w:val="-3"/>
                <w:sz w:val="21"/>
              </w:rPr>
              <w:t>万吨落后工艺的</w:t>
            </w:r>
          </w:p>
          <w:p>
            <w:pPr>
              <w:pStyle w:val="TableParagraph"/>
              <w:spacing w:before="3" w:line="237" w:lineRule="exact"/>
              <w:ind w:left="54" w:right="184"/>
              <w:jc w:val="center"/>
              <w:rPr>
                <w:sz w:val="21"/>
              </w:rPr>
            </w:pPr>
            <w:r>
              <w:rPr>
                <w:sz w:val="21"/>
              </w:rPr>
              <w:t>氨醇装置。</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22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21"/>
              </w:rPr>
            </w:pPr>
          </w:p>
          <w:p>
            <w:pPr>
              <w:pStyle w:val="TableParagraph"/>
              <w:spacing w:line="278" w:lineRule="auto"/>
              <w:ind w:left="466" w:right="121" w:hanging="317"/>
              <w:rPr>
                <w:sz w:val="21"/>
              </w:rPr>
            </w:pPr>
            <w:r>
              <w:rPr>
                <w:sz w:val="21"/>
              </w:rPr>
              <w:t>污染物排放管控</w:t>
            </w:r>
          </w:p>
        </w:tc>
        <w:tc>
          <w:tcPr>
            <w:tcW w:w="538"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spacing w:before="151" w:line="242" w:lineRule="auto"/>
              <w:ind w:left="164" w:right="145"/>
              <w:jc w:val="both"/>
              <w:rPr>
                <w:sz w:val="21"/>
              </w:rPr>
            </w:pPr>
            <w:r>
              <w:rPr>
                <w:sz w:val="21"/>
              </w:rPr>
              <w:t>允许排放量要求</w:t>
            </w:r>
          </w:p>
        </w:tc>
        <w:tc>
          <w:tcPr>
            <w:tcW w:w="3356" w:type="dxa"/>
            <w:tcBorders>
              <w:top w:val="single" w:sz="6" w:space="0" w:color="000000"/>
              <w:left w:val="single" w:sz="6" w:space="0" w:color="000000"/>
              <w:bottom w:val="thinThickMediumGap" w:sz="6" w:space="0" w:color="000000"/>
              <w:right w:val="single" w:sz="6" w:space="0" w:color="000000"/>
            </w:tcBorders>
          </w:tcPr>
          <w:p>
            <w:pPr>
              <w:pStyle w:val="TableParagraph"/>
              <w:spacing w:line="251" w:lineRule="exact"/>
              <w:ind w:left="116"/>
              <w:rPr>
                <w:sz w:val="21"/>
              </w:rPr>
            </w:pPr>
            <w:r>
              <w:rPr>
                <w:sz w:val="21"/>
              </w:rPr>
              <w:t>大气污染物允许排放要求：</w:t>
            </w:r>
          </w:p>
          <w:p>
            <w:pPr>
              <w:pStyle w:val="TableParagraph"/>
              <w:spacing w:before="4" w:line="242" w:lineRule="auto"/>
              <w:ind w:left="116" w:right="-29"/>
              <w:rPr>
                <w:sz w:val="21"/>
              </w:rPr>
            </w:pPr>
            <w:r>
              <w:rPr>
                <w:rFonts w:ascii="Times New Roman" w:eastAsia="Times New Roman"/>
                <w:sz w:val="21"/>
              </w:rPr>
              <w:t>1</w:t>
            </w:r>
            <w:r>
              <w:rPr>
                <w:sz w:val="21"/>
              </w:rPr>
              <w:t>、</w:t>
            </w:r>
            <w:r>
              <w:rPr>
                <w:rFonts w:ascii="Times New Roman" w:eastAsia="Times New Roman"/>
                <w:sz w:val="21"/>
              </w:rPr>
              <w:t>2025</w:t>
            </w:r>
            <w:r>
              <w:rPr>
                <w:spacing w:val="-3"/>
                <w:sz w:val="21"/>
              </w:rPr>
              <w:t>年：区域内相比</w:t>
            </w:r>
            <w:r>
              <w:rPr>
                <w:rFonts w:ascii="Times New Roman" w:eastAsia="Times New Roman"/>
                <w:sz w:val="21"/>
              </w:rPr>
              <w:t>2017</w:t>
            </w:r>
            <w:r>
              <w:rPr>
                <w:spacing w:val="-5"/>
                <w:sz w:val="21"/>
              </w:rPr>
              <w:t xml:space="preserve">年， </w:t>
            </w:r>
            <w:r>
              <w:rPr>
                <w:rFonts w:ascii="Times New Roman" w:eastAsia="Times New Roman"/>
                <w:sz w:val="21"/>
              </w:rPr>
              <w:t>SO</w:t>
            </w:r>
            <w:r>
              <w:rPr>
                <w:rFonts w:ascii="Times New Roman" w:eastAsia="Times New Roman"/>
                <w:sz w:val="21"/>
                <w:vertAlign w:val="subscript"/>
              </w:rPr>
              <w:t>2</w:t>
            </w:r>
            <w:r>
              <w:rPr>
                <w:sz w:val="21"/>
                <w:vertAlign w:val="baseline"/>
              </w:rPr>
              <w:t>削减比例不低于</w:t>
            </w:r>
            <w:r>
              <w:rPr>
                <w:rFonts w:ascii="Times New Roman" w:eastAsia="Times New Roman"/>
                <w:spacing w:val="-6"/>
                <w:sz w:val="21"/>
                <w:vertAlign w:val="baseline"/>
              </w:rPr>
              <w:t>12.9%</w:t>
            </w:r>
            <w:r>
              <w:rPr>
                <w:spacing w:val="-6"/>
                <w:sz w:val="21"/>
                <w:vertAlign w:val="baseline"/>
              </w:rPr>
              <w:t>；</w:t>
            </w:r>
            <w:r>
              <w:rPr>
                <w:rFonts w:ascii="Times New Roman" w:eastAsia="Times New Roman"/>
                <w:spacing w:val="-6"/>
                <w:sz w:val="21"/>
                <w:vertAlign w:val="baseline"/>
              </w:rPr>
              <w:t>NOx</w:t>
            </w:r>
            <w:r>
              <w:rPr>
                <w:sz w:val="21"/>
                <w:vertAlign w:val="baseline"/>
              </w:rPr>
              <w:t>削</w:t>
            </w:r>
            <w:r>
              <w:rPr>
                <w:spacing w:val="-1"/>
                <w:sz w:val="21"/>
                <w:vertAlign w:val="baseline"/>
              </w:rPr>
              <w:t>减比例不低于</w:t>
            </w:r>
            <w:r>
              <w:rPr>
                <w:rFonts w:ascii="Times New Roman" w:eastAsia="Times New Roman"/>
                <w:sz w:val="21"/>
                <w:vertAlign w:val="baseline"/>
              </w:rPr>
              <w:t>18.7%</w:t>
            </w:r>
            <w:r>
              <w:rPr>
                <w:sz w:val="21"/>
                <w:vertAlign w:val="baseline"/>
              </w:rPr>
              <w:t>；</w:t>
            </w:r>
            <w:r>
              <w:rPr>
                <w:rFonts w:ascii="Times New Roman" w:eastAsia="Times New Roman"/>
                <w:sz w:val="21"/>
                <w:vertAlign w:val="baseline"/>
              </w:rPr>
              <w:t>PM</w:t>
            </w:r>
            <w:r>
              <w:rPr>
                <w:rFonts w:ascii="Times New Roman" w:eastAsia="Times New Roman"/>
                <w:sz w:val="21"/>
                <w:vertAlign w:val="subscript"/>
              </w:rPr>
              <w:t>10</w:t>
            </w:r>
            <w:r>
              <w:rPr>
                <w:sz w:val="21"/>
                <w:vertAlign w:val="baseline"/>
              </w:rPr>
              <w:t>削减比例不低于</w:t>
            </w:r>
            <w:r>
              <w:rPr>
                <w:rFonts w:ascii="Times New Roman" w:eastAsia="Times New Roman"/>
                <w:sz w:val="21"/>
                <w:vertAlign w:val="baseline"/>
              </w:rPr>
              <w:t>23.6%</w:t>
            </w:r>
            <w:r>
              <w:rPr>
                <w:sz w:val="21"/>
                <w:vertAlign w:val="baseline"/>
              </w:rPr>
              <w:t>；</w:t>
            </w:r>
            <w:r>
              <w:rPr>
                <w:rFonts w:ascii="Times New Roman" w:eastAsia="Times New Roman"/>
                <w:sz w:val="21"/>
                <w:vertAlign w:val="baseline"/>
              </w:rPr>
              <w:t>PM</w:t>
            </w:r>
            <w:r>
              <w:rPr>
                <w:rFonts w:ascii="Times New Roman" w:eastAsia="Times New Roman"/>
                <w:sz w:val="21"/>
                <w:vertAlign w:val="subscript"/>
              </w:rPr>
              <w:t>2.5</w:t>
            </w:r>
            <w:r>
              <w:rPr>
                <w:sz w:val="21"/>
                <w:vertAlign w:val="baseline"/>
              </w:rPr>
              <w:t>削减比例不低于</w:t>
            </w:r>
            <w:r>
              <w:rPr>
                <w:rFonts w:ascii="Times New Roman" w:eastAsia="Times New Roman"/>
                <w:spacing w:val="-4"/>
                <w:sz w:val="21"/>
                <w:vertAlign w:val="baseline"/>
              </w:rPr>
              <w:t>15.1%</w:t>
            </w:r>
            <w:r>
              <w:rPr>
                <w:spacing w:val="-4"/>
                <w:sz w:val="21"/>
                <w:vertAlign w:val="baseline"/>
              </w:rPr>
              <w:t>；</w:t>
            </w:r>
            <w:r>
              <w:rPr>
                <w:rFonts w:ascii="Times New Roman" w:eastAsia="Times New Roman"/>
                <w:spacing w:val="-4"/>
                <w:sz w:val="21"/>
                <w:vertAlign w:val="baseline"/>
              </w:rPr>
              <w:t>VOCs</w:t>
            </w:r>
            <w:r>
              <w:rPr>
                <w:spacing w:val="-1"/>
                <w:sz w:val="21"/>
                <w:vertAlign w:val="baseline"/>
              </w:rPr>
              <w:t>削减比例不低于</w:t>
            </w:r>
            <w:r>
              <w:rPr>
                <w:rFonts w:ascii="Times New Roman" w:eastAsia="Times New Roman"/>
                <w:spacing w:val="-1"/>
                <w:w w:val="100"/>
                <w:sz w:val="21"/>
                <w:vertAlign w:val="baseline"/>
              </w:rPr>
              <w:t>18.0</w:t>
            </w:r>
            <w:r>
              <w:rPr>
                <w:rFonts w:ascii="Times New Roman" w:eastAsia="Times New Roman"/>
                <w:spacing w:val="-4"/>
                <w:w w:val="100"/>
                <w:sz w:val="21"/>
                <w:vertAlign w:val="baseline"/>
              </w:rPr>
              <w:t>%</w:t>
            </w:r>
            <w:r>
              <w:rPr>
                <w:spacing w:val="-101"/>
                <w:w w:val="100"/>
                <w:sz w:val="21"/>
                <w:vertAlign w:val="baseline"/>
              </w:rPr>
              <w:t>；</w:t>
            </w:r>
            <w:r>
              <w:rPr>
                <w:rFonts w:ascii="Times New Roman" w:eastAsia="Times New Roman"/>
                <w:spacing w:val="-4"/>
                <w:w w:val="100"/>
                <w:sz w:val="21"/>
                <w:vertAlign w:val="baseline"/>
              </w:rPr>
              <w:t>N</w:t>
            </w:r>
            <w:r>
              <w:rPr>
                <w:rFonts w:ascii="Times New Roman" w:eastAsia="Times New Roman"/>
                <w:spacing w:val="1"/>
                <w:w w:val="100"/>
                <w:sz w:val="21"/>
                <w:vertAlign w:val="baseline"/>
              </w:rPr>
              <w:t>H</w:t>
            </w:r>
            <w:r>
              <w:rPr>
                <w:rFonts w:ascii="Times New Roman" w:eastAsia="Times New Roman"/>
                <w:spacing w:val="-3"/>
                <w:w w:val="97"/>
                <w:sz w:val="21"/>
                <w:vertAlign w:val="subscript"/>
              </w:rPr>
              <w:t>3</w:t>
            </w:r>
            <w:r>
              <w:rPr>
                <w:spacing w:val="-1"/>
                <w:w w:val="100"/>
                <w:sz w:val="21"/>
                <w:vertAlign w:val="baseline"/>
              </w:rPr>
              <w:t>削减比例不低于</w:t>
            </w:r>
            <w:r>
              <w:rPr>
                <w:rFonts w:ascii="Times New Roman" w:eastAsia="Times New Roman"/>
                <w:w w:val="100"/>
                <w:sz w:val="21"/>
                <w:vertAlign w:val="baseline"/>
              </w:rPr>
              <w:t>10.</w:t>
            </w:r>
            <w:r>
              <w:rPr>
                <w:rFonts w:ascii="Times New Roman" w:eastAsia="Times New Roman"/>
                <w:spacing w:val="-5"/>
                <w:w w:val="100"/>
                <w:sz w:val="21"/>
                <w:vertAlign w:val="baseline"/>
              </w:rPr>
              <w:t>6</w:t>
            </w:r>
            <w:r>
              <w:rPr>
                <w:rFonts w:ascii="Times New Roman" w:eastAsia="Times New Roman"/>
                <w:spacing w:val="1"/>
                <w:w w:val="100"/>
                <w:sz w:val="21"/>
                <w:vertAlign w:val="baseline"/>
              </w:rPr>
              <w:t>%</w:t>
            </w:r>
            <w:r>
              <w:rPr>
                <w:w w:val="100"/>
                <w:sz w:val="21"/>
                <w:vertAlign w:val="baseline"/>
              </w:rPr>
              <w:t>。</w:t>
            </w:r>
          </w:p>
          <w:p>
            <w:pPr>
              <w:pStyle w:val="TableParagraph"/>
              <w:spacing w:before="7" w:line="242" w:lineRule="auto"/>
              <w:ind w:left="116" w:right="78"/>
              <w:rPr>
                <w:sz w:val="21"/>
              </w:rPr>
            </w:pPr>
            <w:r>
              <w:rPr>
                <w:rFonts w:ascii="Times New Roman" w:eastAsia="Times New Roman"/>
                <w:sz w:val="21"/>
              </w:rPr>
              <w:t>2</w:t>
            </w:r>
            <w:r>
              <w:rPr>
                <w:spacing w:val="-15"/>
                <w:sz w:val="21"/>
              </w:rPr>
              <w:t>、</w:t>
            </w:r>
            <w:r>
              <w:rPr>
                <w:rFonts w:ascii="Times New Roman" w:eastAsia="Times New Roman"/>
                <w:sz w:val="21"/>
              </w:rPr>
              <w:t>2035</w:t>
            </w:r>
            <w:r>
              <w:rPr>
                <w:spacing w:val="-5"/>
                <w:sz w:val="21"/>
              </w:rPr>
              <w:t>年：区域内</w:t>
            </w:r>
            <w:r>
              <w:rPr>
                <w:rFonts w:ascii="Times New Roman" w:eastAsia="Times New Roman"/>
                <w:sz w:val="21"/>
              </w:rPr>
              <w:t>SO</w:t>
            </w:r>
            <w:r>
              <w:rPr>
                <w:rFonts w:ascii="Times New Roman" w:eastAsia="Times New Roman"/>
                <w:sz w:val="21"/>
                <w:vertAlign w:val="subscript"/>
              </w:rPr>
              <w:t>2</w:t>
            </w:r>
            <w:r>
              <w:rPr>
                <w:spacing w:val="-4"/>
                <w:sz w:val="21"/>
                <w:vertAlign w:val="baseline"/>
              </w:rPr>
              <w:t>削减比例不</w:t>
            </w:r>
            <w:r>
              <w:rPr>
                <w:sz w:val="21"/>
                <w:vertAlign w:val="baseline"/>
              </w:rPr>
              <w:t>低于</w:t>
            </w:r>
            <w:r>
              <w:rPr>
                <w:rFonts w:ascii="Times New Roman" w:eastAsia="Times New Roman"/>
                <w:sz w:val="21"/>
                <w:vertAlign w:val="baseline"/>
              </w:rPr>
              <w:t>26.2%</w:t>
            </w:r>
            <w:r>
              <w:rPr>
                <w:sz w:val="21"/>
                <w:vertAlign w:val="baseline"/>
              </w:rPr>
              <w:t>；</w:t>
            </w:r>
            <w:r>
              <w:rPr>
                <w:rFonts w:ascii="Times New Roman" w:eastAsia="Times New Roman"/>
                <w:sz w:val="21"/>
                <w:vertAlign w:val="baseline"/>
              </w:rPr>
              <w:t>NOx</w:t>
            </w:r>
            <w:r>
              <w:rPr>
                <w:spacing w:val="-3"/>
                <w:sz w:val="21"/>
                <w:vertAlign w:val="baseline"/>
              </w:rPr>
              <w:t>削减比例不低于</w:t>
            </w:r>
            <w:r>
              <w:rPr>
                <w:rFonts w:ascii="Times New Roman" w:eastAsia="Times New Roman"/>
                <w:spacing w:val="-3"/>
                <w:sz w:val="21"/>
                <w:vertAlign w:val="baseline"/>
              </w:rPr>
              <w:t>37.9%</w:t>
            </w:r>
            <w:r>
              <w:rPr>
                <w:spacing w:val="-3"/>
                <w:sz w:val="21"/>
                <w:vertAlign w:val="baseline"/>
              </w:rPr>
              <w:t>；</w:t>
            </w:r>
            <w:r>
              <w:rPr>
                <w:rFonts w:ascii="Times New Roman" w:eastAsia="Times New Roman"/>
                <w:spacing w:val="-3"/>
                <w:sz w:val="21"/>
                <w:vertAlign w:val="baseline"/>
              </w:rPr>
              <w:t>PM</w:t>
            </w:r>
            <w:r>
              <w:rPr>
                <w:rFonts w:ascii="Times New Roman" w:eastAsia="Times New Roman"/>
                <w:spacing w:val="-3"/>
                <w:sz w:val="21"/>
                <w:vertAlign w:val="subscript"/>
              </w:rPr>
              <w:t>10</w:t>
            </w:r>
            <w:r>
              <w:rPr>
                <w:spacing w:val="-4"/>
                <w:sz w:val="21"/>
                <w:vertAlign w:val="baseline"/>
              </w:rPr>
              <w:t>削减比例不低于</w:t>
            </w:r>
          </w:p>
          <w:p>
            <w:pPr>
              <w:pStyle w:val="TableParagraph"/>
              <w:spacing w:before="1"/>
              <w:ind w:left="116"/>
              <w:rPr>
                <w:sz w:val="21"/>
              </w:rPr>
            </w:pPr>
            <w:r>
              <w:rPr>
                <w:rFonts w:ascii="Times New Roman" w:eastAsia="Times New Roman"/>
                <w:spacing w:val="-1"/>
                <w:sz w:val="21"/>
              </w:rPr>
              <w:t>47.9%</w:t>
            </w:r>
            <w:r>
              <w:rPr>
                <w:spacing w:val="-1"/>
                <w:sz w:val="21"/>
              </w:rPr>
              <w:t>；</w:t>
            </w:r>
            <w:r>
              <w:rPr>
                <w:rFonts w:ascii="Times New Roman" w:eastAsia="Times New Roman"/>
                <w:spacing w:val="-1"/>
                <w:sz w:val="21"/>
              </w:rPr>
              <w:t>PM</w:t>
            </w:r>
            <w:r>
              <w:rPr>
                <w:rFonts w:ascii="Times New Roman" w:eastAsia="Times New Roman"/>
                <w:spacing w:val="-1"/>
                <w:sz w:val="21"/>
                <w:vertAlign w:val="subscript"/>
              </w:rPr>
              <w:t>2</w:t>
            </w:r>
            <w:r>
              <w:rPr>
                <w:rFonts w:ascii="Times New Roman" w:eastAsia="Times New Roman"/>
                <w:spacing w:val="-1"/>
                <w:sz w:val="21"/>
                <w:vertAlign w:val="baseline"/>
              </w:rPr>
              <w:t>.</w:t>
            </w:r>
            <w:r>
              <w:rPr>
                <w:rFonts w:ascii="Times New Roman" w:eastAsia="Times New Roman"/>
                <w:spacing w:val="-1"/>
                <w:sz w:val="21"/>
                <w:vertAlign w:val="subscript"/>
              </w:rPr>
              <w:t>5</w:t>
            </w:r>
            <w:r>
              <w:rPr>
                <w:sz w:val="21"/>
                <w:vertAlign w:val="baseline"/>
              </w:rPr>
              <w:t>削减比例不低于</w:t>
            </w:r>
          </w:p>
          <w:p>
            <w:pPr>
              <w:pStyle w:val="TableParagraph"/>
              <w:spacing w:before="4" w:line="228" w:lineRule="exact"/>
              <w:ind w:left="116"/>
              <w:rPr>
                <w:sz w:val="21"/>
              </w:rPr>
            </w:pPr>
            <w:r>
              <w:rPr>
                <w:rFonts w:ascii="Times New Roman" w:eastAsia="Times New Roman"/>
                <w:sz w:val="21"/>
              </w:rPr>
              <w:t>30.7%</w:t>
            </w:r>
            <w:r>
              <w:rPr>
                <w:sz w:val="21"/>
              </w:rPr>
              <w:t>；</w:t>
            </w:r>
            <w:r>
              <w:rPr>
                <w:rFonts w:ascii="Times New Roman" w:eastAsia="Times New Roman"/>
                <w:sz w:val="21"/>
              </w:rPr>
              <w:t>VOCs</w:t>
            </w:r>
            <w:r>
              <w:rPr>
                <w:sz w:val="21"/>
              </w:rPr>
              <w:t>削减比例不低于</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spacing w:before="154" w:line="280" w:lineRule="auto"/>
              <w:ind w:left="116" w:right="182" w:hanging="1"/>
              <w:jc w:val="center"/>
              <w:rPr>
                <w:sz w:val="21"/>
              </w:rPr>
            </w:pPr>
            <w:r>
              <w:rPr>
                <w:spacing w:val="-1"/>
                <w:sz w:val="21"/>
              </w:rPr>
              <w:t>本项目为河湖整 治（</w:t>
            </w:r>
            <w:r>
              <w:rPr>
                <w:spacing w:val="-3"/>
                <w:sz w:val="21"/>
              </w:rPr>
              <w:t xml:space="preserve">不含农村塘 </w:t>
            </w:r>
            <w:r>
              <w:rPr>
                <w:spacing w:val="-4"/>
                <w:sz w:val="21"/>
              </w:rPr>
              <w:t>堰、水渠</w:t>
            </w:r>
            <w:r>
              <w:rPr>
                <w:sz w:val="21"/>
              </w:rPr>
              <w:t>）</w:t>
            </w:r>
            <w:r>
              <w:rPr>
                <w:spacing w:val="-6"/>
                <w:sz w:val="21"/>
              </w:rPr>
              <w:t>及防洪</w:t>
            </w:r>
            <w:r>
              <w:rPr>
                <w:spacing w:val="-4"/>
                <w:sz w:val="21"/>
              </w:rPr>
              <w:t>除涝工程，运营期</w:t>
            </w:r>
            <w:r>
              <w:rPr>
                <w:spacing w:val="-1"/>
                <w:sz w:val="21"/>
              </w:rPr>
              <w:t xml:space="preserve">不涉及大气污染 </w:t>
            </w:r>
            <w:r>
              <w:rPr>
                <w:spacing w:val="-4"/>
                <w:sz w:val="21"/>
              </w:rPr>
              <w:t>物排放，且项目的</w:t>
            </w:r>
            <w:r>
              <w:rPr>
                <w:spacing w:val="-1"/>
                <w:sz w:val="21"/>
              </w:rPr>
              <w:t xml:space="preserve">实施有利于区域 </w:t>
            </w:r>
            <w:r>
              <w:rPr>
                <w:spacing w:val="-2"/>
                <w:sz w:val="21"/>
              </w:rPr>
              <w:t xml:space="preserve">防洪能力和绿化 </w:t>
            </w:r>
            <w:r>
              <w:rPr>
                <w:spacing w:val="-5"/>
                <w:sz w:val="21"/>
              </w:rPr>
              <w:t>景观提升。符合。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194"/>
        <w:ind w:left="551" w:right="0" w:firstLine="0"/>
        <w:jc w:val="left"/>
        <w:rPr>
          <w:sz w:val="28"/>
        </w:rPr>
      </w:pPr>
      <w:r>
        <w:rPr>
          <w:sz w:val="28"/>
        </w:rPr>
        <w:t>—</w:t>
      </w:r>
      <w:r>
        <w:rPr>
          <w:sz w:val="26"/>
        </w:rPr>
        <w:t>9</w:t>
      </w:r>
      <w:r>
        <w:rPr>
          <w:sz w:val="28"/>
        </w:rPr>
        <w:t>—</w:t>
      </w:r>
    </w:p>
    <w:p>
      <w:pPr>
        <w:spacing w:after="0"/>
        <w:jc w:val="left"/>
        <w:rPr>
          <w:sz w:val="28"/>
        </w:rPr>
        <w:sectPr>
          <w:pgSz w:w="11910" w:h="16840"/>
          <w:pgMar w:top="1580" w:right="820" w:bottom="280" w:left="980" w:header="720" w:footer="720" w:gutter="0"/>
          <w:pgNumType w:start="14"/>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168"/>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thinThickMediumGap" w:sz="6"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6" w:space="0" w:color="000000"/>
              <w:right w:val="single" w:sz="6" w:space="0" w:color="000000"/>
            </w:tcBorders>
          </w:tcPr>
          <w:p>
            <w:pPr>
              <w:pStyle w:val="TableParagraph"/>
              <w:spacing w:line="244" w:lineRule="auto"/>
              <w:ind w:left="116" w:right="-29"/>
              <w:rPr>
                <w:sz w:val="21"/>
              </w:rPr>
            </w:pPr>
            <w:r>
              <w:rPr>
                <w:rFonts w:ascii="Times New Roman" w:eastAsia="Times New Roman"/>
                <w:w w:val="100"/>
                <w:sz w:val="21"/>
              </w:rPr>
              <w:t>36.7</w:t>
            </w:r>
            <w:r>
              <w:rPr>
                <w:rFonts w:ascii="Times New Roman" w:eastAsia="Times New Roman"/>
                <w:spacing w:val="-4"/>
                <w:w w:val="100"/>
                <w:sz w:val="21"/>
              </w:rPr>
              <w:t>%</w:t>
            </w:r>
            <w:r>
              <w:rPr>
                <w:spacing w:val="-101"/>
                <w:w w:val="100"/>
                <w:sz w:val="21"/>
              </w:rPr>
              <w:t>；</w:t>
            </w:r>
            <w:r>
              <w:rPr>
                <w:rFonts w:ascii="Times New Roman" w:eastAsia="Times New Roman"/>
                <w:spacing w:val="-4"/>
                <w:w w:val="100"/>
                <w:sz w:val="21"/>
              </w:rPr>
              <w:t>N</w:t>
            </w:r>
            <w:r>
              <w:rPr>
                <w:rFonts w:ascii="Times New Roman" w:eastAsia="Times New Roman"/>
                <w:spacing w:val="1"/>
                <w:w w:val="100"/>
                <w:sz w:val="21"/>
              </w:rPr>
              <w:t>H</w:t>
            </w:r>
            <w:r>
              <w:rPr>
                <w:rFonts w:ascii="Times New Roman" w:eastAsia="Times New Roman"/>
                <w:spacing w:val="-3"/>
                <w:w w:val="97"/>
                <w:sz w:val="21"/>
                <w:vertAlign w:val="subscript"/>
              </w:rPr>
              <w:t>3</w:t>
            </w:r>
            <w:r>
              <w:rPr>
                <w:spacing w:val="-1"/>
                <w:w w:val="100"/>
                <w:sz w:val="21"/>
                <w:vertAlign w:val="baseline"/>
              </w:rPr>
              <w:t>削减比例不低于</w:t>
            </w:r>
            <w:r>
              <w:rPr>
                <w:rFonts w:ascii="Times New Roman" w:eastAsia="Times New Roman"/>
                <w:w w:val="100"/>
                <w:sz w:val="21"/>
                <w:vertAlign w:val="baseline"/>
              </w:rPr>
              <w:t>21.</w:t>
            </w:r>
            <w:r>
              <w:rPr>
                <w:rFonts w:ascii="Times New Roman" w:eastAsia="Times New Roman"/>
                <w:spacing w:val="-5"/>
                <w:w w:val="100"/>
                <w:sz w:val="21"/>
                <w:vertAlign w:val="baseline"/>
              </w:rPr>
              <w:t>5</w:t>
            </w:r>
            <w:r>
              <w:rPr>
                <w:rFonts w:ascii="Times New Roman" w:eastAsia="Times New Roman"/>
                <w:spacing w:val="1"/>
                <w:w w:val="100"/>
                <w:sz w:val="21"/>
                <w:vertAlign w:val="baseline"/>
              </w:rPr>
              <w:t>%</w:t>
            </w:r>
            <w:r>
              <w:rPr>
                <w:w w:val="100"/>
                <w:sz w:val="21"/>
                <w:vertAlign w:val="baseline"/>
              </w:rPr>
              <w:t>。</w:t>
            </w:r>
            <w:r>
              <w:rPr>
                <w:spacing w:val="-3"/>
                <w:sz w:val="21"/>
                <w:vertAlign w:val="baseline"/>
              </w:rPr>
              <w:t>水环境污染物允许排放量要求：</w:t>
            </w:r>
          </w:p>
          <w:p>
            <w:pPr>
              <w:pStyle w:val="TableParagraph"/>
              <w:spacing w:line="244" w:lineRule="auto"/>
              <w:ind w:left="116" w:right="121"/>
              <w:jc w:val="both"/>
              <w:rPr>
                <w:sz w:val="21"/>
              </w:rPr>
            </w:pPr>
            <w:r>
              <w:rPr>
                <w:rFonts w:ascii="Times New Roman" w:eastAsia="Times New Roman"/>
                <w:sz w:val="21"/>
              </w:rPr>
              <w:t>3</w:t>
            </w:r>
            <w:r>
              <w:rPr>
                <w:sz w:val="21"/>
              </w:rPr>
              <w:t>、</w:t>
            </w:r>
            <w:r>
              <w:rPr>
                <w:rFonts w:ascii="Times New Roman" w:eastAsia="Times New Roman"/>
                <w:sz w:val="21"/>
              </w:rPr>
              <w:t>2025</w:t>
            </w:r>
            <w:r>
              <w:rPr>
                <w:sz w:val="21"/>
              </w:rPr>
              <w:t>年：区域内总氮最大允许排放量为</w:t>
            </w:r>
            <w:r>
              <w:rPr>
                <w:rFonts w:ascii="Times New Roman" w:eastAsia="Times New Roman"/>
                <w:sz w:val="21"/>
              </w:rPr>
              <w:t>322.99</w:t>
            </w:r>
            <w:r>
              <w:rPr>
                <w:sz w:val="21"/>
              </w:rPr>
              <w:t>吨；总磷最大允许排放量为</w:t>
            </w:r>
            <w:r>
              <w:rPr>
                <w:rFonts w:ascii="Times New Roman" w:eastAsia="Times New Roman"/>
                <w:sz w:val="21"/>
              </w:rPr>
              <w:t>64.58</w:t>
            </w:r>
            <w:r>
              <w:rPr>
                <w:sz w:val="21"/>
              </w:rPr>
              <w:t>吨。</w:t>
            </w:r>
          </w:p>
          <w:p>
            <w:pPr>
              <w:pStyle w:val="TableParagraph"/>
              <w:spacing w:line="262" w:lineRule="exact"/>
              <w:ind w:left="135" w:firstLine="28"/>
              <w:rPr>
                <w:sz w:val="21"/>
              </w:rPr>
            </w:pPr>
            <w:r>
              <w:rPr>
                <w:rFonts w:ascii="Times New Roman" w:eastAsia="Times New Roman"/>
                <w:sz w:val="21"/>
              </w:rPr>
              <w:t>4</w:t>
            </w:r>
            <w:r>
              <w:rPr>
                <w:sz w:val="21"/>
              </w:rPr>
              <w:t>、</w:t>
            </w:r>
            <w:r>
              <w:rPr>
                <w:rFonts w:ascii="Times New Roman" w:eastAsia="Times New Roman"/>
                <w:sz w:val="21"/>
              </w:rPr>
              <w:t>2035</w:t>
            </w:r>
            <w:r>
              <w:rPr>
                <w:sz w:val="21"/>
              </w:rPr>
              <w:t>年：区域内总氮最大允许</w:t>
            </w:r>
          </w:p>
          <w:p>
            <w:pPr>
              <w:pStyle w:val="TableParagraph"/>
              <w:spacing w:line="270" w:lineRule="atLeast"/>
              <w:ind w:left="817" w:right="102" w:hanging="682"/>
              <w:rPr>
                <w:sz w:val="21"/>
              </w:rPr>
            </w:pPr>
            <w:r>
              <w:rPr>
                <w:sz w:val="21"/>
              </w:rPr>
              <w:t>排放量为</w:t>
            </w:r>
            <w:r>
              <w:rPr>
                <w:rFonts w:ascii="Times New Roman" w:eastAsia="Times New Roman"/>
                <w:sz w:val="21"/>
              </w:rPr>
              <w:t>305.41</w:t>
            </w:r>
            <w:r>
              <w:rPr>
                <w:sz w:val="21"/>
              </w:rPr>
              <w:t>吨；总磷最大允许排放量为</w:t>
            </w:r>
            <w:r>
              <w:rPr>
                <w:rFonts w:ascii="Times New Roman" w:eastAsia="Times New Roman"/>
                <w:sz w:val="21"/>
              </w:rPr>
              <w:t>61.08</w:t>
            </w:r>
            <w:r>
              <w:rPr>
                <w:sz w:val="21"/>
              </w:rPr>
              <w:t>吨。</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084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27"/>
              </w:rPr>
            </w:pPr>
          </w:p>
          <w:p>
            <w:pPr>
              <w:pStyle w:val="TableParagraph"/>
              <w:spacing w:before="1" w:line="242" w:lineRule="auto"/>
              <w:ind w:left="164" w:right="145"/>
              <w:jc w:val="both"/>
              <w:rPr>
                <w:sz w:val="21"/>
              </w:rPr>
            </w:pPr>
            <w:r>
              <w:rPr>
                <w:sz w:val="21"/>
              </w:rPr>
              <w:t>现有源提标升级改造</w:t>
            </w:r>
          </w:p>
        </w:tc>
        <w:tc>
          <w:tcPr>
            <w:tcW w:w="3356" w:type="dxa"/>
            <w:tcBorders>
              <w:top w:val="single" w:sz="6" w:space="0" w:color="000000"/>
              <w:left w:val="single" w:sz="6" w:space="0" w:color="000000"/>
              <w:bottom w:val="thinThickMediumGap" w:sz="6" w:space="0" w:color="000000"/>
              <w:right w:val="single" w:sz="6" w:space="0" w:color="000000"/>
            </w:tcBorders>
          </w:tcPr>
          <w:p>
            <w:pPr>
              <w:pStyle w:val="TableParagraph"/>
              <w:spacing w:line="244" w:lineRule="exact"/>
              <w:ind w:left="92" w:right="58"/>
              <w:jc w:val="center"/>
              <w:rPr>
                <w:sz w:val="21"/>
              </w:rPr>
            </w:pPr>
            <w:r>
              <w:rPr>
                <w:rFonts w:ascii="Times New Roman" w:eastAsia="Times New Roman"/>
                <w:sz w:val="21"/>
              </w:rPr>
              <w:t>1</w:t>
            </w:r>
            <w:r>
              <w:rPr>
                <w:sz w:val="21"/>
              </w:rPr>
              <w:t>、工业炉窑升级改造，执行《工</w:t>
            </w:r>
          </w:p>
          <w:p>
            <w:pPr>
              <w:pStyle w:val="TableParagraph"/>
              <w:spacing w:before="4"/>
              <w:ind w:left="92" w:right="58"/>
              <w:jc w:val="center"/>
              <w:rPr>
                <w:sz w:val="21"/>
              </w:rPr>
            </w:pPr>
            <w:r>
              <w:rPr>
                <w:sz w:val="21"/>
              </w:rPr>
              <w:t>业炉窑大气污染综合治理方案》</w:t>
            </w:r>
          </w:p>
          <w:p>
            <w:pPr>
              <w:pStyle w:val="TableParagraph"/>
              <w:spacing w:line="242" w:lineRule="auto"/>
              <w:ind w:left="116" w:right="78" w:hanging="1"/>
              <w:jc w:val="center"/>
              <w:rPr>
                <w:sz w:val="21"/>
              </w:rPr>
            </w:pPr>
            <w:r>
              <w:rPr>
                <w:spacing w:val="-3"/>
                <w:sz w:val="21"/>
              </w:rPr>
              <w:t xml:space="preserve">《山东省工业炉窑大气污染综合 </w:t>
            </w:r>
            <w:r>
              <w:rPr>
                <w:spacing w:val="-7"/>
                <w:sz w:val="21"/>
              </w:rPr>
              <w:t>治理实施方案》中相关规定。进行</w:t>
            </w:r>
            <w:r>
              <w:rPr>
                <w:spacing w:val="-5"/>
                <w:sz w:val="21"/>
              </w:rPr>
              <w:t>燃料清洁能源替代对，以煤、石油</w:t>
            </w:r>
            <w:r>
              <w:rPr>
                <w:spacing w:val="-6"/>
                <w:sz w:val="21"/>
              </w:rPr>
              <w:t>焦、渣油、重油等为燃料的工业炉窑，加快使用清洁低碳能源以及利</w:t>
            </w:r>
            <w:r>
              <w:rPr>
                <w:spacing w:val="-3"/>
                <w:sz w:val="21"/>
              </w:rPr>
              <w:t xml:space="preserve">用工厂余热、电厂热力等进行替 </w:t>
            </w:r>
            <w:r>
              <w:rPr>
                <w:spacing w:val="-5"/>
                <w:sz w:val="21"/>
              </w:rPr>
              <w:t>代；禁止掺烧高硫石油焦</w:t>
            </w:r>
            <w:r>
              <w:rPr>
                <w:sz w:val="21"/>
              </w:rPr>
              <w:t>（</w:t>
            </w:r>
            <w:r>
              <w:rPr>
                <w:spacing w:val="-8"/>
                <w:sz w:val="21"/>
              </w:rPr>
              <w:t>硫含量</w:t>
            </w:r>
            <w:r>
              <w:rPr>
                <w:sz w:val="21"/>
              </w:rPr>
              <w:t>大于</w:t>
            </w:r>
            <w:r>
              <w:rPr>
                <w:rFonts w:ascii="Times New Roman" w:eastAsia="Times New Roman"/>
                <w:sz w:val="21"/>
              </w:rPr>
              <w:t>3%</w:t>
            </w:r>
            <w:r>
              <w:rPr>
                <w:sz w:val="21"/>
              </w:rPr>
              <w:t>）</w:t>
            </w:r>
            <w:r>
              <w:rPr>
                <w:spacing w:val="-3"/>
                <w:sz w:val="21"/>
              </w:rPr>
              <w:t>；加快推动铸造</w:t>
            </w:r>
            <w:r>
              <w:rPr>
                <w:sz w:val="21"/>
              </w:rPr>
              <w:t>（</w:t>
            </w:r>
            <w:r>
              <w:rPr>
                <w:rFonts w:ascii="Times New Roman" w:eastAsia="Times New Roman"/>
                <w:sz w:val="21"/>
              </w:rPr>
              <w:t>10</w:t>
            </w:r>
            <w:r>
              <w:rPr>
                <w:sz w:val="21"/>
              </w:rPr>
              <w:t>吨</w:t>
            </w:r>
            <w:r>
              <w:rPr>
                <w:rFonts w:ascii="Times New Roman" w:eastAsia="Times New Roman"/>
                <w:sz w:val="21"/>
              </w:rPr>
              <w:t xml:space="preserve">/ </w:t>
            </w:r>
            <w:r>
              <w:rPr>
                <w:spacing w:val="-1"/>
                <w:sz w:val="21"/>
              </w:rPr>
              <w:t>小时及以下</w:t>
            </w:r>
            <w:r>
              <w:rPr>
                <w:spacing w:val="-5"/>
                <w:sz w:val="21"/>
              </w:rPr>
              <w:t>）</w:t>
            </w:r>
            <w:r>
              <w:rPr>
                <w:spacing w:val="-6"/>
                <w:sz w:val="21"/>
              </w:rPr>
              <w:t>、岩棉等行业冲天炉</w:t>
            </w:r>
            <w:r>
              <w:rPr>
                <w:sz w:val="21"/>
              </w:rPr>
              <w:t>改为电炉。</w:t>
            </w:r>
          </w:p>
          <w:p>
            <w:pPr>
              <w:pStyle w:val="TableParagraph"/>
              <w:spacing w:before="10" w:line="242" w:lineRule="auto"/>
              <w:ind w:left="116" w:right="69" w:hanging="10"/>
              <w:jc w:val="center"/>
              <w:rPr>
                <w:sz w:val="21"/>
              </w:rPr>
            </w:pPr>
            <w:r>
              <w:rPr>
                <w:rFonts w:ascii="Times New Roman" w:eastAsia="Times New Roman"/>
                <w:sz w:val="21"/>
              </w:rPr>
              <w:t>2</w:t>
            </w:r>
            <w:r>
              <w:rPr>
                <w:spacing w:val="-3"/>
                <w:sz w:val="21"/>
              </w:rPr>
              <w:t>、工业炉窑全面达标排放，加大</w:t>
            </w:r>
            <w:r>
              <w:rPr>
                <w:spacing w:val="-5"/>
                <w:sz w:val="21"/>
              </w:rPr>
              <w:t>热残极冷却过程无组织排放治理 力度，建设封闭高效的烟气收集系</w:t>
            </w:r>
            <w:r>
              <w:rPr>
                <w:spacing w:val="-6"/>
                <w:sz w:val="21"/>
              </w:rPr>
              <w:t xml:space="preserve">统，实现残极冷却烟气有效处理； </w:t>
            </w:r>
            <w:r>
              <w:rPr>
                <w:spacing w:val="-4"/>
                <w:sz w:val="21"/>
              </w:rPr>
              <w:t>逐步取消平板玻璃、建筑陶瓷企业</w:t>
            </w:r>
            <w:r>
              <w:rPr>
                <w:spacing w:val="-5"/>
                <w:sz w:val="21"/>
              </w:rPr>
              <w:t xml:space="preserve">脱硫脱硝旁路或设置备用脱硫脱 </w:t>
            </w:r>
            <w:r>
              <w:rPr>
                <w:spacing w:val="-6"/>
                <w:sz w:val="21"/>
              </w:rPr>
              <w:t>硝设施；鼓励水泥企业实施全流程污染深度治理。现有工业炉窑和新建工业炉窑项目除应执行《工业窑</w:t>
            </w:r>
            <w:r>
              <w:rPr>
                <w:spacing w:val="-5"/>
                <w:sz w:val="21"/>
              </w:rPr>
              <w:t>炉大气污染物排放标准》</w:t>
            </w:r>
          </w:p>
          <w:p>
            <w:pPr>
              <w:pStyle w:val="TableParagraph"/>
              <w:spacing w:before="5" w:line="242" w:lineRule="auto"/>
              <w:ind w:left="116" w:right="69" w:hanging="10"/>
              <w:jc w:val="center"/>
              <w:rPr>
                <w:sz w:val="21"/>
              </w:rPr>
            </w:pPr>
            <w:r>
              <w:rPr>
                <w:spacing w:val="-1"/>
                <w:sz w:val="21"/>
              </w:rPr>
              <w:t>（</w:t>
            </w:r>
            <w:r>
              <w:rPr>
                <w:rFonts w:ascii="Times New Roman" w:eastAsia="Times New Roman"/>
                <w:spacing w:val="-1"/>
                <w:sz w:val="21"/>
              </w:rPr>
              <w:t>DB37/2375-2019</w:t>
            </w:r>
            <w:r>
              <w:rPr>
                <w:spacing w:val="-1"/>
                <w:sz w:val="21"/>
              </w:rPr>
              <w:t>）</w:t>
            </w:r>
            <w:r>
              <w:rPr>
                <w:spacing w:val="-3"/>
                <w:sz w:val="21"/>
              </w:rPr>
              <w:t>外，还应按规</w:t>
            </w:r>
            <w:r>
              <w:rPr>
                <w:spacing w:val="-6"/>
                <w:sz w:val="21"/>
              </w:rPr>
              <w:t>定达到国家标准中特别排放限值。</w:t>
            </w:r>
            <w:r>
              <w:rPr>
                <w:spacing w:val="-5"/>
                <w:sz w:val="21"/>
              </w:rPr>
              <w:t>铸造行业烧结、高炉工序污染物排放控制按照钢铁行业相关标准要 求执行。</w:t>
            </w:r>
          </w:p>
          <w:p>
            <w:pPr>
              <w:pStyle w:val="TableParagraph"/>
              <w:spacing w:before="4" w:line="242" w:lineRule="auto"/>
              <w:ind w:left="116" w:right="79" w:hanging="1"/>
              <w:jc w:val="center"/>
              <w:rPr>
                <w:sz w:val="21"/>
              </w:rPr>
            </w:pPr>
            <w:r>
              <w:rPr>
                <w:rFonts w:ascii="Times New Roman" w:eastAsia="Times New Roman"/>
                <w:sz w:val="21"/>
              </w:rPr>
              <w:t>3</w:t>
            </w:r>
            <w:r>
              <w:rPr>
                <w:spacing w:val="-3"/>
                <w:sz w:val="21"/>
              </w:rPr>
              <w:t>、钢铁行业升级改造，执行《山</w:t>
            </w:r>
            <w:r>
              <w:rPr>
                <w:spacing w:val="-5"/>
                <w:sz w:val="21"/>
              </w:rPr>
              <w:t xml:space="preserve">东省钢铁行业超低排放改造实施 </w:t>
            </w:r>
            <w:r>
              <w:rPr>
                <w:spacing w:val="-6"/>
                <w:sz w:val="21"/>
              </w:rPr>
              <w:t>方案》《关于加快六大高耗能行业</w:t>
            </w:r>
            <w:r>
              <w:rPr>
                <w:spacing w:val="-5"/>
                <w:sz w:val="21"/>
              </w:rPr>
              <w:t>高质量发展的实施方案》中相关规</w:t>
            </w:r>
            <w:r>
              <w:rPr>
                <w:spacing w:val="-3"/>
                <w:sz w:val="21"/>
              </w:rPr>
              <w:t>定，推动现有</w:t>
            </w:r>
            <w:r>
              <w:rPr>
                <w:sz w:val="21"/>
              </w:rPr>
              <w:t>（</w:t>
            </w:r>
            <w:r>
              <w:rPr>
                <w:spacing w:val="-3"/>
                <w:sz w:val="21"/>
              </w:rPr>
              <w:t>含新建和搬迁</w:t>
            </w:r>
            <w:r>
              <w:rPr>
                <w:spacing w:val="-5"/>
                <w:sz w:val="21"/>
              </w:rPr>
              <w:t>）</w:t>
            </w:r>
            <w:r>
              <w:rPr>
                <w:spacing w:val="-17"/>
                <w:sz w:val="21"/>
              </w:rPr>
              <w:t>钢</w:t>
            </w:r>
            <w:r>
              <w:rPr>
                <w:spacing w:val="-5"/>
                <w:sz w:val="21"/>
              </w:rPr>
              <w:t>铁企业超低排放改造，确保大气污</w:t>
            </w:r>
            <w:r>
              <w:rPr>
                <w:spacing w:val="-6"/>
                <w:sz w:val="21"/>
              </w:rPr>
              <w:t>染物有组织排放、无组织排放符合</w:t>
            </w:r>
            <w:r>
              <w:rPr>
                <w:spacing w:val="-5"/>
                <w:sz w:val="21"/>
              </w:rPr>
              <w:t>特别排放限值要求；钢铁冶炼流程</w:t>
            </w:r>
            <w:r>
              <w:rPr>
                <w:spacing w:val="-1"/>
                <w:sz w:val="21"/>
              </w:rPr>
              <w:t>进一步优化。</w:t>
            </w:r>
          </w:p>
          <w:p>
            <w:pPr>
              <w:pStyle w:val="TableParagraph"/>
              <w:spacing w:before="3" w:line="244" w:lineRule="auto"/>
              <w:ind w:left="164" w:right="126" w:hanging="1"/>
              <w:jc w:val="center"/>
              <w:rPr>
                <w:sz w:val="21"/>
              </w:rPr>
            </w:pPr>
            <w:r>
              <w:rPr>
                <w:rFonts w:ascii="Times New Roman" w:eastAsia="Times New Roman"/>
                <w:sz w:val="21"/>
              </w:rPr>
              <w:t>4</w:t>
            </w:r>
            <w:r>
              <w:rPr>
                <w:sz w:val="21"/>
              </w:rPr>
              <w:t>、加快焦化行业、水泥行业升级改造，到</w:t>
            </w:r>
            <w:r>
              <w:rPr>
                <w:rFonts w:ascii="Times New Roman" w:eastAsia="Times New Roman"/>
                <w:sz w:val="21"/>
              </w:rPr>
              <w:t>2023</w:t>
            </w:r>
            <w:r>
              <w:rPr>
                <w:sz w:val="21"/>
              </w:rPr>
              <w:t>年</w:t>
            </w:r>
            <w:r>
              <w:rPr>
                <w:rFonts w:ascii="Times New Roman" w:eastAsia="Times New Roman"/>
                <w:sz w:val="21"/>
              </w:rPr>
              <w:t>9</w:t>
            </w:r>
            <w:r>
              <w:rPr>
                <w:sz w:val="21"/>
              </w:rPr>
              <w:t>月前完成超低排放改造。</w:t>
            </w:r>
          </w:p>
          <w:p>
            <w:pPr>
              <w:pStyle w:val="TableParagraph"/>
              <w:spacing w:line="225" w:lineRule="exact"/>
              <w:ind w:left="92" w:right="57"/>
              <w:jc w:val="center"/>
              <w:rPr>
                <w:sz w:val="21"/>
              </w:rPr>
            </w:pPr>
            <w:r>
              <w:rPr>
                <w:rFonts w:ascii="Times New Roman" w:eastAsia="Times New Roman"/>
                <w:sz w:val="21"/>
              </w:rPr>
              <w:t>5</w:t>
            </w:r>
            <w:r>
              <w:rPr>
                <w:sz w:val="21"/>
              </w:rPr>
              <w:t>、化工行业升级改造，执行《关</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14"/>
              </w:rPr>
            </w:pPr>
          </w:p>
          <w:p>
            <w:pPr>
              <w:pStyle w:val="TableParagraph"/>
              <w:spacing w:line="280" w:lineRule="auto"/>
              <w:ind w:left="116" w:right="130" w:hanging="43"/>
              <w:jc w:val="center"/>
              <w:rPr>
                <w:sz w:val="21"/>
              </w:rPr>
            </w:pPr>
            <w:r>
              <w:rPr>
                <w:spacing w:val="-24"/>
                <w:sz w:val="21"/>
              </w:rPr>
              <w:t>项目为新建项目，不</w:t>
            </w:r>
            <w:r>
              <w:rPr>
                <w:spacing w:val="-1"/>
                <w:sz w:val="21"/>
              </w:rPr>
              <w:t>属于左侧所列的现</w:t>
            </w:r>
            <w:r>
              <w:rPr>
                <w:spacing w:val="-2"/>
                <w:sz w:val="21"/>
              </w:rPr>
              <w:t>有源提标升级改造</w:t>
            </w:r>
            <w:r>
              <w:rPr>
                <w:spacing w:val="-3"/>
                <w:sz w:val="21"/>
              </w:rPr>
              <w:t>项目，符合。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194"/>
        <w:ind w:left="0" w:right="705" w:firstLine="0"/>
        <w:jc w:val="right"/>
        <w:rPr>
          <w:sz w:val="28"/>
        </w:rPr>
      </w:pPr>
      <w:r>
        <w:rPr>
          <w:sz w:val="28"/>
        </w:rPr>
        <w:t>—</w:t>
      </w:r>
      <w:r>
        <w:rPr>
          <w:sz w:val="26"/>
        </w:rPr>
        <w:t>10</w:t>
      </w:r>
      <w:r>
        <w:rPr>
          <w:sz w:val="28"/>
        </w:rPr>
        <w:t>—</w:t>
      </w:r>
    </w:p>
    <w:p>
      <w:pPr>
        <w:spacing w:after="0"/>
        <w:jc w:val="right"/>
        <w:rPr>
          <w:sz w:val="28"/>
        </w:rPr>
        <w:sectPr>
          <w:pgSz w:w="11910" w:h="16840"/>
          <w:pgMar w:top="1580" w:right="820" w:bottom="280" w:left="980" w:header="720" w:footer="720" w:gutter="0"/>
          <w:pgNumType w:start="15"/>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042"/>
        </w:trPr>
        <w:tc>
          <w:tcPr>
            <w:tcW w:w="725" w:type="dxa"/>
            <w:tcBorders>
              <w:right w:val="single" w:sz="4" w:space="0" w:color="000000"/>
            </w:tcBorders>
          </w:tcPr>
          <w:p>
            <w:pPr>
              <w:pStyle w:val="TableParagraph"/>
              <w:rPr>
                <w:rFonts w:ascii="Times New Roman"/>
                <w:sz w:val="20"/>
              </w:rPr>
            </w:pPr>
          </w:p>
        </w:tc>
        <w:tc>
          <w:tcPr>
            <w:tcW w:w="120" w:type="dxa"/>
            <w:tcBorders>
              <w:left w:val="single" w:sz="4" w:space="0" w:color="000000"/>
              <w:right w:val="single" w:sz="12" w:space="0" w:color="000000"/>
            </w:tcBorders>
          </w:tcPr>
          <w:p>
            <w:pPr>
              <w:pStyle w:val="TableParagraph"/>
              <w:rPr>
                <w:rFonts w:ascii="Times New Roman"/>
                <w:sz w:val="20"/>
              </w:rPr>
            </w:pPr>
          </w:p>
        </w:tc>
        <w:tc>
          <w:tcPr>
            <w:tcW w:w="655" w:type="dxa"/>
            <w:tcBorders>
              <w:top w:val="thinThickMediumGap" w:sz="6" w:space="0" w:color="000000"/>
              <w:left w:val="single" w:sz="12" w:space="0" w:color="000000"/>
              <w:bottom w:val="single" w:sz="24"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24"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24" w:space="0" w:color="000000"/>
              <w:right w:val="single" w:sz="6" w:space="0" w:color="000000"/>
            </w:tcBorders>
          </w:tcPr>
          <w:p>
            <w:pPr>
              <w:pStyle w:val="TableParagraph"/>
              <w:spacing w:line="242" w:lineRule="auto"/>
              <w:ind w:left="116" w:right="69" w:hanging="10"/>
              <w:jc w:val="center"/>
              <w:rPr>
                <w:sz w:val="21"/>
              </w:rPr>
            </w:pPr>
            <w:r>
              <w:rPr>
                <w:spacing w:val="-3"/>
                <w:sz w:val="21"/>
              </w:rPr>
              <w:t xml:space="preserve">于加快六大高耗能行业高质量发 </w:t>
            </w:r>
            <w:r>
              <w:rPr>
                <w:spacing w:val="-6"/>
                <w:sz w:val="21"/>
              </w:rPr>
              <w:t>展的实施方案》中相关规定，合成氨和尿素产能控制在现有水平，洁</w:t>
            </w:r>
            <w:r>
              <w:rPr>
                <w:spacing w:val="-5"/>
                <w:sz w:val="21"/>
              </w:rPr>
              <w:t>净煤气化占合成氨总产能的比重 提高到</w:t>
            </w:r>
            <w:r>
              <w:rPr>
                <w:rFonts w:ascii="Times New Roman" w:eastAsia="Times New Roman"/>
                <w:spacing w:val="-5"/>
                <w:sz w:val="21"/>
              </w:rPr>
              <w:t>90%</w:t>
            </w:r>
            <w:r>
              <w:rPr>
                <w:spacing w:val="-5"/>
                <w:sz w:val="21"/>
              </w:rPr>
              <w:t>左右，固定床气化炉淘汰率达到</w:t>
            </w:r>
            <w:r>
              <w:rPr>
                <w:rFonts w:ascii="Times New Roman" w:eastAsia="Times New Roman"/>
                <w:spacing w:val="-5"/>
                <w:sz w:val="21"/>
              </w:rPr>
              <w:t>90%</w:t>
            </w:r>
            <w:r>
              <w:rPr>
                <w:spacing w:val="-4"/>
                <w:sz w:val="21"/>
              </w:rPr>
              <w:t>以上，尿素生产企业</w:t>
            </w:r>
            <w:r>
              <w:rPr>
                <w:spacing w:val="-6"/>
                <w:sz w:val="21"/>
              </w:rPr>
              <w:t xml:space="preserve">固定床气化炉全部予以淘汰，氮肥行业基本实现第三代洁净煤气化， </w:t>
            </w:r>
            <w:r>
              <w:rPr>
                <w:spacing w:val="-3"/>
                <w:sz w:val="21"/>
              </w:rPr>
              <w:t xml:space="preserve">煤气化制氨和精细化学品工艺达 </w:t>
            </w:r>
            <w:r>
              <w:rPr>
                <w:spacing w:val="-5"/>
                <w:sz w:val="21"/>
              </w:rPr>
              <w:t>到国际先进水平；废气排放总量减少</w:t>
            </w:r>
            <w:r>
              <w:rPr>
                <w:rFonts w:ascii="Times New Roman" w:eastAsia="Times New Roman"/>
                <w:spacing w:val="-5"/>
                <w:sz w:val="21"/>
              </w:rPr>
              <w:t>50%</w:t>
            </w:r>
            <w:r>
              <w:rPr>
                <w:spacing w:val="-5"/>
                <w:sz w:val="21"/>
              </w:rPr>
              <w:t>；到</w:t>
            </w:r>
            <w:r>
              <w:rPr>
                <w:rFonts w:ascii="Times New Roman" w:eastAsia="Times New Roman"/>
                <w:spacing w:val="-5"/>
                <w:sz w:val="21"/>
              </w:rPr>
              <w:t>2022</w:t>
            </w:r>
            <w:r>
              <w:rPr>
                <w:spacing w:val="-3"/>
                <w:sz w:val="21"/>
              </w:rPr>
              <w:t>年，氯碱行业电解</w:t>
            </w:r>
            <w:r>
              <w:rPr>
                <w:spacing w:val="-4"/>
                <w:sz w:val="21"/>
              </w:rPr>
              <w:t>单元吨碱能耗强度由</w:t>
            </w:r>
            <w:r>
              <w:rPr>
                <w:rFonts w:ascii="Times New Roman" w:eastAsia="Times New Roman"/>
                <w:sz w:val="21"/>
              </w:rPr>
              <w:t>360</w:t>
            </w:r>
            <w:r>
              <w:rPr>
                <w:spacing w:val="-2"/>
                <w:sz w:val="21"/>
              </w:rPr>
              <w:t>千克标准煤下降到</w:t>
            </w:r>
            <w:r>
              <w:rPr>
                <w:rFonts w:ascii="Times New Roman" w:eastAsia="Times New Roman"/>
                <w:spacing w:val="-2"/>
                <w:sz w:val="21"/>
              </w:rPr>
              <w:t>325</w:t>
            </w:r>
            <w:r>
              <w:rPr>
                <w:spacing w:val="-4"/>
                <w:sz w:val="21"/>
              </w:rPr>
              <w:t>千克标准煤，对能耗</w:t>
            </w:r>
            <w:r>
              <w:rPr>
                <w:spacing w:val="-6"/>
                <w:sz w:val="21"/>
              </w:rPr>
              <w:t>达不到标准的电解槽予以淘汰，确</w:t>
            </w:r>
            <w:r>
              <w:rPr>
                <w:spacing w:val="-5"/>
                <w:sz w:val="21"/>
              </w:rPr>
              <w:t>保行业能耗总量减少</w:t>
            </w:r>
            <w:r>
              <w:rPr>
                <w:rFonts w:ascii="Times New Roman" w:eastAsia="Times New Roman"/>
                <w:sz w:val="21"/>
              </w:rPr>
              <w:t>10%</w:t>
            </w:r>
            <w:r>
              <w:rPr>
                <w:spacing w:val="-2"/>
                <w:sz w:val="21"/>
              </w:rPr>
              <w:t>左右；液</w:t>
            </w:r>
            <w:r>
              <w:rPr>
                <w:spacing w:val="-3"/>
                <w:sz w:val="21"/>
              </w:rPr>
              <w:t>氯就地消化率提高到</w:t>
            </w:r>
            <w:r>
              <w:rPr>
                <w:rFonts w:ascii="Times New Roman" w:eastAsia="Times New Roman"/>
                <w:sz w:val="21"/>
              </w:rPr>
              <w:t>85%</w:t>
            </w:r>
            <w:r>
              <w:rPr>
                <w:spacing w:val="-2"/>
                <w:sz w:val="21"/>
              </w:rPr>
              <w:t>以上，显</w:t>
            </w:r>
            <w:r>
              <w:rPr>
                <w:spacing w:val="-6"/>
                <w:sz w:val="21"/>
              </w:rPr>
              <w:t>著降低液氯道路运输安全风险；烧</w:t>
            </w:r>
            <w:r>
              <w:rPr>
                <w:spacing w:val="-5"/>
                <w:sz w:val="21"/>
              </w:rPr>
              <w:t>碱电解装备技术达到世界先进水 平，膜极距改造率达到</w:t>
            </w:r>
            <w:r>
              <w:rPr>
                <w:rFonts w:ascii="Times New Roman" w:eastAsia="Times New Roman"/>
                <w:sz w:val="21"/>
              </w:rPr>
              <w:t>100%</w:t>
            </w:r>
            <w:r>
              <w:rPr>
                <w:sz w:val="21"/>
              </w:rPr>
              <w:t>。</w:t>
            </w:r>
          </w:p>
          <w:p>
            <w:pPr>
              <w:pStyle w:val="TableParagraph"/>
              <w:spacing w:before="13" w:line="242" w:lineRule="auto"/>
              <w:ind w:left="116" w:right="-29"/>
              <w:jc w:val="center"/>
              <w:rPr>
                <w:sz w:val="21"/>
              </w:rPr>
            </w:pPr>
            <w:r>
              <w:rPr>
                <w:rFonts w:ascii="Times New Roman" w:eastAsia="Times New Roman"/>
                <w:sz w:val="21"/>
              </w:rPr>
              <w:t>6</w:t>
            </w:r>
            <w:r>
              <w:rPr>
                <w:spacing w:val="-6"/>
                <w:sz w:val="21"/>
              </w:rPr>
              <w:t xml:space="preserve">、涉挥发性有机物行业升级改造， </w:t>
            </w:r>
            <w:r>
              <w:rPr>
                <w:spacing w:val="-5"/>
                <w:sz w:val="21"/>
              </w:rPr>
              <w:t>执行《山东省涉挥发性有机物企业分行业治理指导意见》等相关规  定，石化、化工、工业涂装、包装</w:t>
            </w:r>
            <w:r>
              <w:rPr>
                <w:spacing w:val="-6"/>
                <w:sz w:val="21"/>
              </w:rPr>
              <w:t>印刷等重点行业推行源头替代、加</w:t>
            </w:r>
            <w:r>
              <w:rPr>
                <w:spacing w:val="-5"/>
                <w:sz w:val="21"/>
              </w:rPr>
              <w:t xml:space="preserve">强过程控制和末端治理，新、改、扩建工业涂装、包装印刷等含 </w:t>
            </w:r>
            <w:r>
              <w:rPr>
                <w:rFonts w:ascii="Times New Roman" w:eastAsia="Times New Roman"/>
                <w:spacing w:val="-5"/>
                <w:sz w:val="21"/>
              </w:rPr>
              <w:t>VOCs</w:t>
            </w:r>
            <w:r>
              <w:rPr>
                <w:rFonts w:ascii="Times New Roman" w:eastAsia="Times New Roman"/>
                <w:spacing w:val="7"/>
                <w:sz w:val="21"/>
              </w:rPr>
              <w:t xml:space="preserve"> </w:t>
            </w:r>
            <w:r>
              <w:rPr>
                <w:spacing w:val="-3"/>
                <w:sz w:val="21"/>
              </w:rPr>
              <w:t>原辅材料使用的项目，原则上使用低</w:t>
            </w:r>
            <w:r>
              <w:rPr>
                <w:spacing w:val="-5"/>
                <w:sz w:val="21"/>
              </w:rPr>
              <w:t>（</w:t>
            </w:r>
            <w:r>
              <w:rPr>
                <w:sz w:val="21"/>
              </w:rPr>
              <w:t>无）</w:t>
            </w:r>
            <w:r>
              <w:rPr>
                <w:rFonts w:ascii="Times New Roman" w:eastAsia="Times New Roman"/>
                <w:sz w:val="21"/>
              </w:rPr>
              <w:t>VOCs</w:t>
            </w:r>
            <w:r>
              <w:rPr>
                <w:spacing w:val="-2"/>
                <w:sz w:val="21"/>
              </w:rPr>
              <w:t>含量产品。 现有高</w:t>
            </w:r>
            <w:r>
              <w:rPr>
                <w:rFonts w:ascii="Times New Roman" w:eastAsia="Times New Roman"/>
                <w:spacing w:val="-2"/>
                <w:sz w:val="21"/>
              </w:rPr>
              <w:t>VOCs</w:t>
            </w:r>
            <w:r>
              <w:rPr>
                <w:spacing w:val="-4"/>
                <w:sz w:val="21"/>
              </w:rPr>
              <w:t xml:space="preserve">含量产品生产企业要 </w:t>
            </w:r>
            <w:r>
              <w:rPr>
                <w:spacing w:val="-6"/>
                <w:sz w:val="21"/>
              </w:rPr>
              <w:t>加快产品升级转型，提高水性、高</w:t>
            </w:r>
            <w:r>
              <w:rPr>
                <w:spacing w:val="-5"/>
                <w:sz w:val="21"/>
              </w:rPr>
              <w:t>固体分、无溶剂、粉末等低</w:t>
            </w:r>
            <w:r>
              <w:rPr>
                <w:rFonts w:ascii="Times New Roman" w:eastAsia="Times New Roman"/>
                <w:sz w:val="21"/>
              </w:rPr>
              <w:t xml:space="preserve">VOCs </w:t>
            </w:r>
            <w:r>
              <w:rPr>
                <w:spacing w:val="-5"/>
                <w:sz w:val="21"/>
              </w:rPr>
              <w:t>含量产品的比重。加大重点行业低</w:t>
            </w:r>
            <w:r>
              <w:rPr>
                <w:rFonts w:ascii="Times New Roman" w:eastAsia="Times New Roman"/>
                <w:spacing w:val="-5"/>
                <w:sz w:val="21"/>
              </w:rPr>
              <w:t>VOCs</w:t>
            </w:r>
            <w:r>
              <w:rPr>
                <w:spacing w:val="-5"/>
                <w:sz w:val="21"/>
              </w:rPr>
              <w:t>含量原辅材料的源头替代力 度。加强挥发性有机物</w:t>
            </w:r>
            <w:r>
              <w:rPr>
                <w:sz w:val="21"/>
              </w:rPr>
              <w:t>（</w:t>
            </w:r>
            <w:r>
              <w:rPr>
                <w:rFonts w:ascii="Times New Roman" w:eastAsia="Times New Roman"/>
                <w:sz w:val="21"/>
              </w:rPr>
              <w:t>VOCs</w:t>
            </w:r>
            <w:r>
              <w:rPr>
                <w:sz w:val="21"/>
              </w:rPr>
              <w:t xml:space="preserve">） </w:t>
            </w:r>
            <w:r>
              <w:rPr>
                <w:spacing w:val="-5"/>
                <w:sz w:val="21"/>
              </w:rPr>
              <w:t>废气收集与治理，建设有效的废气收集系统和</w:t>
            </w:r>
            <w:r>
              <w:rPr>
                <w:rFonts w:ascii="Times New Roman" w:eastAsia="Times New Roman"/>
                <w:spacing w:val="-5"/>
                <w:sz w:val="21"/>
              </w:rPr>
              <w:t>VOCs</w:t>
            </w:r>
            <w:r>
              <w:rPr>
                <w:spacing w:val="-4"/>
                <w:sz w:val="21"/>
              </w:rPr>
              <w:t>处理设施，所有 涉</w:t>
            </w:r>
            <w:r>
              <w:rPr>
                <w:rFonts w:ascii="Times New Roman" w:eastAsia="Times New Roman"/>
                <w:spacing w:val="-4"/>
                <w:sz w:val="21"/>
              </w:rPr>
              <w:t>VOCs</w:t>
            </w:r>
            <w:r>
              <w:rPr>
                <w:spacing w:val="-5"/>
                <w:sz w:val="21"/>
              </w:rPr>
              <w:t>排放企业应全面执行《挥 发性有机物无组织排放控制标准》</w:t>
            </w:r>
          </w:p>
          <w:p>
            <w:pPr>
              <w:pStyle w:val="TableParagraph"/>
              <w:spacing w:before="12" w:line="242" w:lineRule="auto"/>
              <w:ind w:left="116" w:right="78" w:hanging="1"/>
              <w:jc w:val="center"/>
              <w:rPr>
                <w:sz w:val="21"/>
              </w:rPr>
            </w:pPr>
            <w:r>
              <w:rPr>
                <w:sz w:val="21"/>
              </w:rPr>
              <w:t>（</w:t>
            </w:r>
            <w:r>
              <w:rPr>
                <w:rFonts w:ascii="Times New Roman" w:eastAsia="Times New Roman"/>
                <w:sz w:val="21"/>
              </w:rPr>
              <w:t>GB37822</w:t>
            </w:r>
            <w:r>
              <w:rPr>
                <w:sz w:val="21"/>
              </w:rPr>
              <w:t>）</w:t>
            </w:r>
            <w:r>
              <w:rPr>
                <w:spacing w:val="-2"/>
                <w:sz w:val="21"/>
              </w:rPr>
              <w:t>，重点排放源确保</w:t>
            </w:r>
            <w:r>
              <w:rPr>
                <w:rFonts w:ascii="Times New Roman" w:eastAsia="Times New Roman"/>
                <w:spacing w:val="-2"/>
                <w:sz w:val="21"/>
              </w:rPr>
              <w:t>VOCs</w:t>
            </w:r>
            <w:r>
              <w:rPr>
                <w:spacing w:val="-3"/>
                <w:sz w:val="21"/>
              </w:rPr>
              <w:t>处理效率均达到</w:t>
            </w:r>
            <w:r>
              <w:rPr>
                <w:rFonts w:ascii="Times New Roman" w:eastAsia="Times New Roman"/>
                <w:sz w:val="21"/>
              </w:rPr>
              <w:t>80%</w:t>
            </w:r>
            <w:r>
              <w:rPr>
                <w:spacing w:val="-27"/>
                <w:sz w:val="21"/>
              </w:rPr>
              <w:t>以上，确</w:t>
            </w:r>
            <w:r>
              <w:rPr>
                <w:sz w:val="21"/>
              </w:rPr>
              <w:t>保</w:t>
            </w:r>
            <w:r>
              <w:rPr>
                <w:rFonts w:ascii="Times New Roman" w:eastAsia="Times New Roman"/>
                <w:sz w:val="21"/>
              </w:rPr>
              <w:t>VOCs</w:t>
            </w:r>
            <w:r>
              <w:rPr>
                <w:sz w:val="21"/>
              </w:rPr>
              <w:t>达标排放。</w:t>
            </w:r>
          </w:p>
          <w:p>
            <w:pPr>
              <w:pStyle w:val="TableParagraph"/>
              <w:spacing w:before="1" w:line="242" w:lineRule="auto"/>
              <w:ind w:left="116" w:right="69" w:hanging="10"/>
              <w:jc w:val="center"/>
              <w:rPr>
                <w:sz w:val="21"/>
              </w:rPr>
            </w:pPr>
            <w:r>
              <w:rPr>
                <w:rFonts w:ascii="Times New Roman" w:eastAsia="Times New Roman"/>
                <w:sz w:val="21"/>
              </w:rPr>
              <w:t>7</w:t>
            </w:r>
            <w:r>
              <w:rPr>
                <w:spacing w:val="-3"/>
                <w:sz w:val="21"/>
              </w:rPr>
              <w:t>、涉重金属重点行业企业升级改</w:t>
            </w:r>
            <w:r>
              <w:rPr>
                <w:spacing w:val="-18"/>
                <w:sz w:val="21"/>
              </w:rPr>
              <w:t>造，执行《土壤污染防治计划》《关</w:t>
            </w:r>
            <w:r>
              <w:rPr>
                <w:spacing w:val="-10"/>
                <w:sz w:val="21"/>
              </w:rPr>
              <w:t xml:space="preserve">于加强涉重金属行业污染防控的 </w:t>
            </w:r>
            <w:r>
              <w:rPr>
                <w:spacing w:val="-6"/>
                <w:sz w:val="21"/>
              </w:rPr>
              <w:t>意见》《山东省土壤污染防治工作</w:t>
            </w:r>
            <w:r>
              <w:rPr>
                <w:spacing w:val="-5"/>
                <w:sz w:val="21"/>
              </w:rPr>
              <w:t>方案》中相关规定，推进化工、焦</w:t>
            </w:r>
            <w:r>
              <w:rPr>
                <w:spacing w:val="-6"/>
                <w:sz w:val="21"/>
              </w:rPr>
              <w:t>化、电镀、制革、铅蓄电池制造、</w:t>
            </w:r>
          </w:p>
          <w:p>
            <w:pPr>
              <w:pStyle w:val="TableParagraph"/>
              <w:spacing w:before="2" w:line="222" w:lineRule="exact"/>
              <w:ind w:left="92" w:right="58"/>
              <w:jc w:val="center"/>
              <w:rPr>
                <w:sz w:val="21"/>
              </w:rPr>
            </w:pPr>
            <w:r>
              <w:rPr>
                <w:spacing w:val="-3"/>
                <w:sz w:val="21"/>
              </w:rPr>
              <w:t>聚氯乙烯</w:t>
            </w:r>
            <w:r>
              <w:rPr>
                <w:spacing w:val="-5"/>
                <w:sz w:val="21"/>
              </w:rPr>
              <w:t>（</w:t>
            </w:r>
            <w:r>
              <w:rPr>
                <w:spacing w:val="-3"/>
                <w:sz w:val="21"/>
              </w:rPr>
              <w:t>电石法工艺使用含汞催</w:t>
            </w:r>
          </w:p>
        </w:tc>
        <w:tc>
          <w:tcPr>
            <w:tcW w:w="2009" w:type="dxa"/>
            <w:tcBorders>
              <w:top w:val="thinThickMediumGap" w:sz="6" w:space="0" w:color="000000"/>
              <w:left w:val="single" w:sz="6" w:space="0" w:color="000000"/>
              <w:bottom w:val="single" w:sz="24" w:space="0" w:color="000000"/>
              <w:right w:val="single" w:sz="12" w:space="0" w:color="000000"/>
            </w:tcBorders>
          </w:tcPr>
          <w:p>
            <w:pPr>
              <w:pStyle w:val="TableParagraph"/>
              <w:rPr>
                <w:rFonts w:ascii="Times New Roman"/>
                <w:sz w:val="20"/>
              </w:rPr>
            </w:pPr>
          </w:p>
        </w:tc>
        <w:tc>
          <w:tcPr>
            <w:tcW w:w="125" w:type="dxa"/>
            <w:tcBorders>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201"/>
        <w:ind w:left="551" w:right="0" w:firstLine="0"/>
        <w:jc w:val="left"/>
        <w:rPr>
          <w:sz w:val="28"/>
        </w:rPr>
      </w:pPr>
      <w:r>
        <w:rPr>
          <w:sz w:val="28"/>
        </w:rPr>
        <w:t>—</w:t>
      </w:r>
      <w:r>
        <w:rPr>
          <w:sz w:val="26"/>
        </w:rPr>
        <w:t>11</w:t>
      </w:r>
      <w:r>
        <w:rPr>
          <w:sz w:val="28"/>
        </w:rPr>
        <w:t>—</w:t>
      </w:r>
    </w:p>
    <w:p>
      <w:pPr>
        <w:spacing w:after="0"/>
        <w:jc w:val="left"/>
        <w:rPr>
          <w:sz w:val="28"/>
        </w:rPr>
        <w:sectPr>
          <w:pgSz w:w="11910" w:h="16840"/>
          <w:pgMar w:top="1580" w:right="820" w:bottom="280" w:left="980" w:header="720" w:footer="720" w:gutter="0"/>
          <w:pgNumType w:start="16"/>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530"/>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single" w:sz="6" w:space="0" w:color="000000"/>
              <w:right w:val="single" w:sz="6" w:space="0" w:color="000000"/>
            </w:tcBorders>
          </w:tcPr>
          <w:p>
            <w:pPr>
              <w:pStyle w:val="TableParagraph"/>
              <w:ind w:left="92" w:right="58"/>
              <w:jc w:val="center"/>
              <w:rPr>
                <w:sz w:val="21"/>
              </w:rPr>
            </w:pPr>
            <w:r>
              <w:rPr>
                <w:sz w:val="21"/>
              </w:rPr>
              <w:t>化剂）等涉重金属重点行业实施清</w:t>
            </w:r>
          </w:p>
          <w:p>
            <w:pPr>
              <w:pStyle w:val="TableParagraph"/>
              <w:spacing w:before="5" w:line="237" w:lineRule="exact"/>
              <w:ind w:left="92" w:right="57"/>
              <w:jc w:val="center"/>
              <w:rPr>
                <w:sz w:val="21"/>
              </w:rPr>
            </w:pPr>
            <w:r>
              <w:rPr>
                <w:sz w:val="21"/>
              </w:rPr>
              <w:t>洁生产技术改造。</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24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6"/>
              </w:rPr>
            </w:pPr>
          </w:p>
          <w:p>
            <w:pPr>
              <w:pStyle w:val="TableParagraph"/>
              <w:ind w:left="567" w:right="121" w:hanging="418"/>
              <w:rPr>
                <w:sz w:val="21"/>
              </w:rPr>
            </w:pPr>
            <w:r>
              <w:rPr>
                <w:sz w:val="21"/>
              </w:rPr>
              <w:t>环境风险控制</w:t>
            </w:r>
          </w:p>
        </w:tc>
        <w:tc>
          <w:tcPr>
            <w:tcW w:w="538"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23"/>
              </w:rPr>
            </w:pPr>
          </w:p>
          <w:p>
            <w:pPr>
              <w:pStyle w:val="TableParagraph"/>
              <w:spacing w:line="242" w:lineRule="auto"/>
              <w:ind w:left="164" w:right="145"/>
              <w:jc w:val="both"/>
              <w:rPr>
                <w:sz w:val="21"/>
              </w:rPr>
            </w:pPr>
            <w:r>
              <w:rPr>
                <w:sz w:val="21"/>
              </w:rPr>
              <w:t>联防联控要求</w:t>
            </w:r>
          </w:p>
        </w:tc>
        <w:tc>
          <w:tcPr>
            <w:tcW w:w="3356" w:type="dxa"/>
            <w:tcBorders>
              <w:top w:val="single" w:sz="6" w:space="0" w:color="000000"/>
              <w:left w:val="single" w:sz="6" w:space="0" w:color="000000"/>
              <w:bottom w:val="thinThickMediumGap" w:sz="6" w:space="0" w:color="000000"/>
              <w:right w:val="single" w:sz="6" w:space="0" w:color="000000"/>
            </w:tcBorders>
          </w:tcPr>
          <w:p>
            <w:pPr>
              <w:pStyle w:val="TableParagraph"/>
              <w:spacing w:line="250" w:lineRule="exact"/>
              <w:ind w:left="116" w:right="-29"/>
              <w:jc w:val="center"/>
              <w:rPr>
                <w:sz w:val="21"/>
              </w:rPr>
            </w:pPr>
            <w:r>
              <w:rPr>
                <w:rFonts w:ascii="Times New Roman" w:eastAsia="Times New Roman"/>
                <w:sz w:val="21"/>
              </w:rPr>
              <w:t>1</w:t>
            </w:r>
            <w:r>
              <w:rPr>
                <w:spacing w:val="-3"/>
                <w:sz w:val="21"/>
              </w:rPr>
              <w:t>、建立自然资源</w:t>
            </w:r>
            <w:r>
              <w:rPr>
                <w:sz w:val="21"/>
              </w:rPr>
              <w:t>（</w:t>
            </w:r>
            <w:r>
              <w:rPr>
                <w:spacing w:val="-3"/>
                <w:sz w:val="21"/>
              </w:rPr>
              <w:t>规划</w:t>
            </w:r>
            <w:r>
              <w:rPr>
                <w:spacing w:val="-5"/>
                <w:sz w:val="21"/>
              </w:rPr>
              <w:t>）</w:t>
            </w:r>
            <w:r>
              <w:rPr>
                <w:spacing w:val="-6"/>
                <w:sz w:val="21"/>
              </w:rPr>
              <w:t>、发改、</w:t>
            </w:r>
          </w:p>
          <w:p>
            <w:pPr>
              <w:pStyle w:val="TableParagraph"/>
              <w:spacing w:before="5" w:line="244" w:lineRule="auto"/>
              <w:ind w:left="116" w:right="-29"/>
              <w:jc w:val="center"/>
              <w:rPr>
                <w:sz w:val="21"/>
              </w:rPr>
            </w:pPr>
            <w:r>
              <w:rPr>
                <w:spacing w:val="-13"/>
                <w:sz w:val="21"/>
              </w:rPr>
              <w:t>工信、住建、交通运输、生态环境、</w:t>
            </w:r>
            <w:r>
              <w:rPr>
                <w:spacing w:val="-5"/>
                <w:sz w:val="21"/>
              </w:rPr>
              <w:t>公安、应急等部门间的信息沟通机制，实行联动监管。</w:t>
            </w:r>
          </w:p>
          <w:p>
            <w:pPr>
              <w:pStyle w:val="TableParagraph"/>
              <w:spacing w:line="242" w:lineRule="auto"/>
              <w:ind w:left="116" w:right="69" w:hanging="10"/>
              <w:jc w:val="center"/>
              <w:rPr>
                <w:sz w:val="21"/>
              </w:rPr>
            </w:pPr>
            <w:r>
              <w:rPr>
                <w:rFonts w:ascii="Times New Roman" w:eastAsia="Times New Roman"/>
                <w:sz w:val="21"/>
              </w:rPr>
              <w:t>2</w:t>
            </w:r>
            <w:r>
              <w:rPr>
                <w:spacing w:val="-3"/>
                <w:sz w:val="21"/>
              </w:rPr>
              <w:t>、与山东省济南市、聊城市、滨</w:t>
            </w:r>
            <w:r>
              <w:rPr>
                <w:spacing w:val="-6"/>
                <w:sz w:val="21"/>
              </w:rPr>
              <w:t>州市及河北省衡水市、沧州市等城</w:t>
            </w:r>
            <w:r>
              <w:rPr>
                <w:spacing w:val="-5"/>
                <w:sz w:val="21"/>
              </w:rPr>
              <w:t xml:space="preserve">市建立统一的空气重污染预警会 </w:t>
            </w:r>
            <w:r>
              <w:rPr>
                <w:spacing w:val="-6"/>
                <w:sz w:val="21"/>
              </w:rPr>
              <w:t>商和应急联动协调机制，逐步实现预警分级标准、应急措施力度的统</w:t>
            </w:r>
            <w:r>
              <w:rPr>
                <w:spacing w:val="-5"/>
                <w:sz w:val="21"/>
              </w:rPr>
              <w:t xml:space="preserve">一，共同提前采取措施，应对区域性、大范围重污染天气，最大限度减缓不利扩散条件下污染物的累 </w:t>
            </w:r>
            <w:r>
              <w:rPr>
                <w:spacing w:val="-6"/>
                <w:sz w:val="21"/>
              </w:rPr>
              <w:t>积速度，有效遏制污染程度，保障公众健康。以大气污染联防联控为</w:t>
            </w:r>
            <w:r>
              <w:rPr>
                <w:spacing w:val="-5"/>
                <w:sz w:val="21"/>
              </w:rPr>
              <w:t>重点，针对跨区域环境污染等问题</w:t>
            </w:r>
            <w:r>
              <w:rPr>
                <w:spacing w:val="-6"/>
                <w:sz w:val="21"/>
              </w:rPr>
              <w:t>组织环保执法力量开展联合执法、</w:t>
            </w:r>
            <w:r>
              <w:rPr>
                <w:spacing w:val="-5"/>
                <w:sz w:val="21"/>
              </w:rPr>
              <w:t>跨区域执法、交叉执法，共同打击</w:t>
            </w:r>
            <w:r>
              <w:rPr>
                <w:spacing w:val="-6"/>
                <w:sz w:val="21"/>
              </w:rPr>
              <w:t>违法排污行动。针对可能对区域大</w:t>
            </w:r>
            <w:r>
              <w:rPr>
                <w:spacing w:val="-5"/>
                <w:sz w:val="21"/>
              </w:rPr>
              <w:t>气环境产生重大影响的重点行业 规划、园区建设规划和重大工程项目进行会商。</w:t>
            </w:r>
          </w:p>
          <w:p>
            <w:pPr>
              <w:pStyle w:val="TableParagraph"/>
              <w:spacing w:before="6" w:line="242" w:lineRule="auto"/>
              <w:ind w:left="116" w:right="79" w:hanging="1"/>
              <w:jc w:val="center"/>
              <w:rPr>
                <w:sz w:val="21"/>
              </w:rPr>
            </w:pPr>
            <w:r>
              <w:rPr>
                <w:rFonts w:ascii="Times New Roman" w:eastAsia="Times New Roman"/>
                <w:sz w:val="21"/>
              </w:rPr>
              <w:t>3</w:t>
            </w:r>
            <w:r>
              <w:rPr>
                <w:spacing w:val="-3"/>
                <w:sz w:val="21"/>
              </w:rPr>
              <w:t>、加强风险源监管，完善应急管</w:t>
            </w:r>
            <w:r>
              <w:rPr>
                <w:spacing w:val="-6"/>
                <w:sz w:val="21"/>
              </w:rPr>
              <w:t>理体系，通过智能化利用环境应急值守、风险隐患排查治理、风险源管理、事故应急指挥等模块全面提</w:t>
            </w:r>
            <w:r>
              <w:rPr>
                <w:spacing w:val="-5"/>
                <w:sz w:val="21"/>
              </w:rPr>
              <w:t>高环保部门应急管理、风险防控和应急处置工作水平，有效预防各类</w:t>
            </w:r>
            <w:r>
              <w:rPr>
                <w:sz w:val="21"/>
              </w:rPr>
              <w:t>环境事件。</w:t>
            </w:r>
          </w:p>
          <w:p>
            <w:pPr>
              <w:pStyle w:val="TableParagraph"/>
              <w:spacing w:before="4" w:line="244" w:lineRule="auto"/>
              <w:ind w:left="164" w:right="127"/>
              <w:jc w:val="center"/>
              <w:rPr>
                <w:sz w:val="21"/>
              </w:rPr>
            </w:pPr>
            <w:r>
              <w:rPr>
                <w:rFonts w:ascii="Times New Roman" w:eastAsia="Times New Roman"/>
                <w:sz w:val="21"/>
              </w:rPr>
              <w:t>4</w:t>
            </w:r>
            <w:r>
              <w:rPr>
                <w:sz w:val="21"/>
              </w:rPr>
              <w:t>、合理布局，严格管控高环境风险项目特别是高环境风险工业项目建设。</w:t>
            </w:r>
          </w:p>
          <w:p>
            <w:pPr>
              <w:pStyle w:val="TableParagraph"/>
              <w:spacing w:line="244" w:lineRule="auto"/>
              <w:ind w:left="116" w:right="-29"/>
              <w:jc w:val="center"/>
              <w:rPr>
                <w:sz w:val="21"/>
              </w:rPr>
            </w:pPr>
            <w:r>
              <w:rPr>
                <w:rFonts w:ascii="Times New Roman" w:eastAsia="Times New Roman"/>
                <w:sz w:val="21"/>
              </w:rPr>
              <w:t>5</w:t>
            </w:r>
            <w:r>
              <w:rPr>
                <w:spacing w:val="-6"/>
                <w:sz w:val="21"/>
              </w:rPr>
              <w:t>、加强对危险化学品及危废暂存、</w:t>
            </w:r>
            <w:r>
              <w:rPr>
                <w:spacing w:val="-5"/>
                <w:sz w:val="21"/>
              </w:rPr>
              <w:t>运输、处置或利用的管理，最大限度控制环境风险的产生。</w:t>
            </w:r>
          </w:p>
          <w:p>
            <w:pPr>
              <w:pStyle w:val="TableParagraph"/>
              <w:spacing w:line="242" w:lineRule="auto"/>
              <w:ind w:left="116" w:right="78" w:hanging="1"/>
              <w:jc w:val="center"/>
              <w:rPr>
                <w:sz w:val="21"/>
              </w:rPr>
            </w:pPr>
            <w:r>
              <w:rPr>
                <w:rFonts w:ascii="Times New Roman" w:eastAsia="Times New Roman"/>
                <w:sz w:val="21"/>
              </w:rPr>
              <w:t>6</w:t>
            </w:r>
            <w:r>
              <w:rPr>
                <w:spacing w:val="-3"/>
                <w:sz w:val="21"/>
              </w:rPr>
              <w:t>、化工园区严格按照《山东省化</w:t>
            </w:r>
            <w:r>
              <w:rPr>
                <w:spacing w:val="-5"/>
                <w:sz w:val="21"/>
              </w:rPr>
              <w:t>工园区管理办法</w:t>
            </w:r>
            <w:r>
              <w:rPr>
                <w:sz w:val="21"/>
              </w:rPr>
              <w:t>（试行</w:t>
            </w:r>
            <w:r>
              <w:rPr>
                <w:spacing w:val="-5"/>
                <w:sz w:val="21"/>
              </w:rPr>
              <w:t>）</w:t>
            </w:r>
            <w:r>
              <w:rPr>
                <w:spacing w:val="-10"/>
                <w:sz w:val="21"/>
              </w:rPr>
              <w:t>》</w:t>
            </w:r>
            <w:r>
              <w:rPr>
                <w:sz w:val="21"/>
              </w:rPr>
              <w:t>（</w:t>
            </w:r>
            <w:r>
              <w:rPr>
                <w:spacing w:val="-8"/>
                <w:sz w:val="21"/>
              </w:rPr>
              <w:t>鲁工</w:t>
            </w:r>
            <w:r>
              <w:rPr>
                <w:spacing w:val="-2"/>
                <w:sz w:val="21"/>
              </w:rPr>
              <w:t>信化工〔</w:t>
            </w:r>
            <w:r>
              <w:rPr>
                <w:rFonts w:ascii="Times New Roman" w:eastAsia="Times New Roman"/>
                <w:sz w:val="21"/>
              </w:rPr>
              <w:t>2020</w:t>
            </w:r>
            <w:r>
              <w:rPr>
                <w:spacing w:val="-5"/>
                <w:sz w:val="21"/>
              </w:rPr>
              <w:t>〕</w:t>
            </w:r>
            <w:r>
              <w:rPr>
                <w:rFonts w:ascii="Times New Roman" w:eastAsia="Times New Roman"/>
                <w:sz w:val="21"/>
              </w:rPr>
              <w:t xml:space="preserve">141 </w:t>
            </w:r>
            <w:r>
              <w:rPr>
                <w:sz w:val="21"/>
              </w:rPr>
              <w:t>号</w:t>
            </w:r>
            <w:r>
              <w:rPr>
                <w:spacing w:val="-5"/>
                <w:sz w:val="21"/>
              </w:rPr>
              <w:t>）</w:t>
            </w:r>
            <w:r>
              <w:rPr>
                <w:spacing w:val="-6"/>
                <w:sz w:val="21"/>
              </w:rPr>
              <w:t>具体要求执行，推进化工园区安全生产和环</w:t>
            </w:r>
            <w:r>
              <w:rPr>
                <w:spacing w:val="-4"/>
                <w:sz w:val="21"/>
              </w:rPr>
              <w:t>境管理信息化智能平台建设，实现</w:t>
            </w:r>
            <w:r>
              <w:rPr>
                <w:spacing w:val="-6"/>
                <w:sz w:val="21"/>
              </w:rPr>
              <w:t>对园区内企业、重点场所、重大污染源、重大危险源和基础设施实行风险监控预警。各乡镇现有的具有风险的化工企业，禁止进行改建和</w:t>
            </w:r>
            <w:r>
              <w:rPr>
                <w:spacing w:val="-2"/>
                <w:sz w:val="21"/>
              </w:rPr>
              <w:t>扩建，并加强监管力度。</w:t>
            </w:r>
          </w:p>
          <w:p>
            <w:pPr>
              <w:pStyle w:val="TableParagraph"/>
              <w:spacing w:line="270" w:lineRule="atLeast"/>
              <w:ind w:left="116" w:right="79" w:hanging="1"/>
              <w:jc w:val="center"/>
              <w:rPr>
                <w:sz w:val="21"/>
              </w:rPr>
            </w:pPr>
            <w:r>
              <w:rPr>
                <w:rFonts w:ascii="Times New Roman" w:eastAsia="Times New Roman"/>
                <w:sz w:val="21"/>
              </w:rPr>
              <w:t>7</w:t>
            </w:r>
            <w:r>
              <w:rPr>
                <w:spacing w:val="-3"/>
                <w:sz w:val="21"/>
              </w:rPr>
              <w:t>、建立土壤和地下水污染隐患排</w:t>
            </w:r>
            <w:r>
              <w:rPr>
                <w:spacing w:val="-6"/>
                <w:sz w:val="21"/>
              </w:rPr>
              <w:t>查制度、风险防控体系和长效监管</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9"/>
              </w:rPr>
            </w:pPr>
          </w:p>
          <w:p>
            <w:pPr>
              <w:pStyle w:val="TableParagraph"/>
              <w:spacing w:before="1"/>
              <w:ind w:left="109" w:right="72"/>
              <w:jc w:val="center"/>
              <w:rPr>
                <w:sz w:val="21"/>
              </w:rPr>
            </w:pPr>
            <w:r>
              <w:rPr>
                <w:sz w:val="21"/>
              </w:rPr>
              <w:t>本项目为河湖整治</w:t>
            </w:r>
          </w:p>
          <w:p>
            <w:pPr>
              <w:pStyle w:val="TableParagraph"/>
              <w:spacing w:before="47" w:line="278" w:lineRule="auto"/>
              <w:ind w:left="116" w:right="72" w:hanging="1"/>
              <w:jc w:val="center"/>
              <w:rPr>
                <w:sz w:val="21"/>
              </w:rPr>
            </w:pPr>
            <w:r>
              <w:rPr>
                <w:sz w:val="21"/>
              </w:rPr>
              <w:t>（</w:t>
            </w:r>
            <w:r>
              <w:rPr>
                <w:spacing w:val="-17"/>
                <w:sz w:val="21"/>
              </w:rPr>
              <w:t>不含农村塘堰、水</w:t>
            </w:r>
            <w:r>
              <w:rPr>
                <w:sz w:val="21"/>
              </w:rPr>
              <w:t>渠）</w:t>
            </w:r>
            <w:r>
              <w:rPr>
                <w:spacing w:val="-2"/>
                <w:sz w:val="21"/>
              </w:rPr>
              <w:t>及防洪除涝工</w:t>
            </w:r>
            <w:r>
              <w:rPr>
                <w:spacing w:val="-16"/>
                <w:sz w:val="21"/>
              </w:rPr>
              <w:t>程，运营期不涉及污染物排放，且项目的</w:t>
            </w:r>
            <w:r>
              <w:rPr>
                <w:spacing w:val="-1"/>
                <w:sz w:val="21"/>
              </w:rPr>
              <w:t>实施有利于区域防</w:t>
            </w:r>
            <w:r>
              <w:rPr>
                <w:spacing w:val="-2"/>
                <w:sz w:val="21"/>
              </w:rPr>
              <w:t>洪能力和绿化景观</w:t>
            </w:r>
            <w:r>
              <w:rPr>
                <w:spacing w:val="-3"/>
                <w:sz w:val="21"/>
              </w:rPr>
              <w:t>提升。符合。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194"/>
        <w:ind w:left="0" w:right="705" w:firstLine="0"/>
        <w:jc w:val="right"/>
        <w:rPr>
          <w:sz w:val="28"/>
        </w:rPr>
      </w:pPr>
      <w:r>
        <w:rPr>
          <w:sz w:val="28"/>
        </w:rPr>
        <w:t>—</w:t>
      </w:r>
      <w:r>
        <w:rPr>
          <w:sz w:val="26"/>
        </w:rPr>
        <w:t>12</w:t>
      </w:r>
      <w:r>
        <w:rPr>
          <w:sz w:val="28"/>
        </w:rPr>
        <w:t>—</w:t>
      </w:r>
    </w:p>
    <w:p>
      <w:pPr>
        <w:spacing w:after="0"/>
        <w:jc w:val="right"/>
        <w:rPr>
          <w:sz w:val="28"/>
        </w:rPr>
        <w:sectPr>
          <w:pgSz w:w="11910" w:h="16840"/>
          <w:pgMar w:top="1580" w:right="820" w:bottom="280" w:left="980" w:header="720" w:footer="720" w:gutter="0"/>
          <w:pgNumType w:start="17"/>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41"/>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24"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538"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6" w:type="dxa"/>
            <w:tcBorders>
              <w:top w:val="thinThickMediumGap" w:sz="6" w:space="0" w:color="000000"/>
              <w:left w:val="single" w:sz="6" w:space="0" w:color="000000"/>
              <w:bottom w:val="nil"/>
              <w:right w:val="single" w:sz="6" w:space="0" w:color="000000"/>
            </w:tcBorders>
          </w:tcPr>
          <w:p>
            <w:pPr>
              <w:pStyle w:val="TableParagraph"/>
              <w:spacing w:line="221" w:lineRule="exact"/>
              <w:ind w:left="92" w:right="58"/>
              <w:jc w:val="center"/>
              <w:rPr>
                <w:sz w:val="21"/>
              </w:rPr>
            </w:pPr>
            <w:r>
              <w:rPr>
                <w:sz w:val="21"/>
              </w:rPr>
              <w:t>机制。加强对化工、农药等类型企</w:t>
            </w:r>
          </w:p>
        </w:tc>
        <w:tc>
          <w:tcPr>
            <w:tcW w:w="2009" w:type="dxa"/>
            <w:vMerge w:val="restart"/>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49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538" w:type="dxa"/>
            <w:vMerge/>
            <w:tcBorders>
              <w:top w:val="nil"/>
              <w:left w:val="single" w:sz="6" w:space="0" w:color="000000"/>
              <w:bottom w:val="single" w:sz="6" w:space="0" w:color="000000"/>
              <w:right w:val="single" w:sz="6" w:space="0" w:color="000000"/>
            </w:tcBorders>
          </w:tcPr>
          <w:p>
            <w:pPr>
              <w:rPr>
                <w:sz w:val="2"/>
                <w:szCs w:val="2"/>
              </w:rPr>
            </w:pPr>
          </w:p>
        </w:tc>
        <w:tc>
          <w:tcPr>
            <w:tcW w:w="3356" w:type="dxa"/>
            <w:tcBorders>
              <w:top w:val="nil"/>
              <w:left w:val="single" w:sz="6" w:space="0" w:color="000000"/>
              <w:bottom w:val="single" w:sz="6" w:space="0" w:color="000000"/>
              <w:right w:val="single" w:sz="6" w:space="0" w:color="000000"/>
            </w:tcBorders>
          </w:tcPr>
          <w:p>
            <w:pPr>
              <w:pStyle w:val="TableParagraph"/>
              <w:spacing w:line="242" w:lineRule="exact"/>
              <w:ind w:left="92" w:right="58"/>
              <w:jc w:val="center"/>
              <w:rPr>
                <w:sz w:val="21"/>
              </w:rPr>
            </w:pPr>
            <w:r>
              <w:rPr>
                <w:sz w:val="21"/>
              </w:rPr>
              <w:t>业（包括已经停产）场地土壤污染</w:t>
            </w:r>
          </w:p>
          <w:p>
            <w:pPr>
              <w:pStyle w:val="TableParagraph"/>
              <w:spacing w:line="234" w:lineRule="exact"/>
              <w:ind w:left="92" w:right="62"/>
              <w:jc w:val="center"/>
              <w:rPr>
                <w:sz w:val="21"/>
              </w:rPr>
            </w:pPr>
            <w:r>
              <w:rPr>
                <w:sz w:val="21"/>
              </w:rPr>
              <w:t>环境风险的防控力度。</w:t>
            </w:r>
          </w:p>
        </w:tc>
        <w:tc>
          <w:tcPr>
            <w:tcW w:w="2009" w:type="dxa"/>
            <w:vMerge/>
            <w:tcBorders>
              <w:top w:val="nil"/>
              <w:left w:val="single" w:sz="6" w:space="0" w:color="000000"/>
              <w:bottom w:val="single" w:sz="6"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8"/>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single" w:sz="6" w:space="0" w:color="000000"/>
              <w:left w:val="single" w:sz="6" w:space="0" w:color="000000"/>
              <w:bottom w:val="nil"/>
              <w:right w:val="single" w:sz="6" w:space="0" w:color="000000"/>
            </w:tcBorders>
          </w:tcPr>
          <w:p>
            <w:pPr>
              <w:pStyle w:val="TableParagraph"/>
              <w:rPr>
                <w:rFonts w:ascii="Times New Roman"/>
                <w:sz w:val="20"/>
              </w:rPr>
            </w:pPr>
          </w:p>
        </w:tc>
        <w:tc>
          <w:tcPr>
            <w:tcW w:w="538" w:type="dxa"/>
            <w:vMerge w:val="restart"/>
            <w:tcBorders>
              <w:top w:val="single" w:sz="6" w:space="0" w:color="000000"/>
              <w:left w:val="single" w:sz="6" w:space="0" w:color="000000"/>
              <w:bottom w:val="single" w:sz="24"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spacing w:line="242" w:lineRule="auto"/>
              <w:ind w:left="164" w:right="145"/>
              <w:jc w:val="both"/>
              <w:rPr>
                <w:sz w:val="21"/>
              </w:rPr>
            </w:pPr>
            <w:r>
              <w:rPr>
                <w:sz w:val="21"/>
              </w:rPr>
              <w:t>水资源利用总量要求</w:t>
            </w:r>
          </w:p>
        </w:tc>
        <w:tc>
          <w:tcPr>
            <w:tcW w:w="3356" w:type="dxa"/>
            <w:tcBorders>
              <w:top w:val="single" w:sz="6" w:space="0" w:color="000000"/>
              <w:left w:val="single" w:sz="6" w:space="0" w:color="000000"/>
              <w:bottom w:val="nil"/>
              <w:right w:val="single" w:sz="6" w:space="0" w:color="000000"/>
            </w:tcBorders>
          </w:tcPr>
          <w:p>
            <w:pPr>
              <w:pStyle w:val="TableParagraph"/>
              <w:spacing w:line="243" w:lineRule="exact"/>
              <w:ind w:left="116" w:right="-29"/>
              <w:rPr>
                <w:sz w:val="21"/>
              </w:rPr>
            </w:pPr>
            <w:r>
              <w:rPr>
                <w:rFonts w:ascii="Times New Roman" w:eastAsia="Times New Roman"/>
                <w:sz w:val="21"/>
              </w:rPr>
              <w:t>1</w:t>
            </w:r>
            <w:r>
              <w:rPr>
                <w:spacing w:val="-6"/>
                <w:sz w:val="21"/>
              </w:rPr>
              <w:t>、统筹全市地表水等各类水资源，</w:t>
            </w:r>
          </w:p>
          <w:p>
            <w:pPr>
              <w:pStyle w:val="TableParagraph"/>
              <w:spacing w:before="4" w:line="221" w:lineRule="exact"/>
              <w:ind w:left="116"/>
              <w:rPr>
                <w:sz w:val="21"/>
              </w:rPr>
            </w:pPr>
            <w:r>
              <w:rPr>
                <w:spacing w:val="-4"/>
                <w:sz w:val="21"/>
              </w:rPr>
              <w:t>优先保证生活用水，合理安排农业</w:t>
            </w:r>
          </w:p>
        </w:tc>
        <w:tc>
          <w:tcPr>
            <w:tcW w:w="2009" w:type="dxa"/>
            <w:tcBorders>
              <w:top w:val="single" w:sz="6" w:space="0" w:color="000000"/>
              <w:left w:val="single" w:sz="6" w:space="0" w:color="000000"/>
              <w:bottom w:val="nil"/>
              <w:right w:val="single" w:sz="12" w:space="0" w:color="000000"/>
            </w:tcBorders>
          </w:tcPr>
          <w:p>
            <w:pPr>
              <w:pStyle w:val="TableParagraph"/>
              <w:rPr>
                <w:rFonts w:ascii="Times New Roman"/>
                <w:sz w:val="20"/>
              </w:rPr>
            </w:pPr>
          </w:p>
        </w:tc>
        <w:tc>
          <w:tcPr>
            <w:tcW w:w="125"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48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116"/>
              <w:rPr>
                <w:sz w:val="21"/>
              </w:rPr>
            </w:pPr>
            <w:r>
              <w:rPr>
                <w:spacing w:val="-5"/>
                <w:sz w:val="21"/>
              </w:rPr>
              <w:t>用水和工业用水，实行最严格的水</w:t>
            </w:r>
          </w:p>
          <w:p>
            <w:pPr>
              <w:pStyle w:val="TableParagraph"/>
              <w:spacing w:line="221" w:lineRule="exact"/>
              <w:ind w:left="116"/>
              <w:rPr>
                <w:sz w:val="21"/>
              </w:rPr>
            </w:pPr>
            <w:r>
              <w:rPr>
                <w:spacing w:val="-5"/>
                <w:sz w:val="21"/>
              </w:rPr>
              <w:t>资源管理制度，把水资源作为最大</w:t>
            </w:r>
          </w:p>
        </w:tc>
        <w:tc>
          <w:tcPr>
            <w:tcW w:w="2009"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的刚性约束，加强水资源的开发利</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用管理。积极开展再生水利用，提</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48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116"/>
              <w:rPr>
                <w:sz w:val="21"/>
              </w:rPr>
            </w:pPr>
            <w:r>
              <w:rPr>
                <w:spacing w:val="-5"/>
                <w:sz w:val="21"/>
              </w:rPr>
              <w:t>高再生水利用率。严格落实水资源</w:t>
            </w:r>
          </w:p>
          <w:p>
            <w:pPr>
              <w:pStyle w:val="TableParagraph"/>
              <w:spacing w:line="221" w:lineRule="exact"/>
              <w:ind w:left="116"/>
              <w:rPr>
                <w:sz w:val="21"/>
              </w:rPr>
            </w:pPr>
            <w:r>
              <w:rPr>
                <w:spacing w:val="-5"/>
                <w:sz w:val="21"/>
              </w:rPr>
              <w:t>双控制度，健全市县行政区域规划</w:t>
            </w:r>
          </w:p>
        </w:tc>
        <w:tc>
          <w:tcPr>
            <w:tcW w:w="2009"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期及年度用水总量、用水强度控制</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指标体系，县级以上行政区制定年</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29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92" w:right="58"/>
              <w:jc w:val="center"/>
              <w:rPr>
                <w:sz w:val="21"/>
              </w:rPr>
            </w:pPr>
            <w:r>
              <w:rPr>
                <w:sz w:val="21"/>
              </w:rPr>
              <w:t>度用水控制目标，规模以上用水户</w:t>
            </w:r>
          </w:p>
          <w:p>
            <w:pPr>
              <w:pStyle w:val="TableParagraph"/>
              <w:ind w:left="92" w:right="57"/>
              <w:jc w:val="center"/>
              <w:rPr>
                <w:sz w:val="21"/>
              </w:rPr>
            </w:pPr>
            <w:r>
              <w:rPr>
                <w:sz w:val="21"/>
              </w:rPr>
              <w:t>实行计划用水。</w:t>
            </w:r>
          </w:p>
          <w:p>
            <w:pPr>
              <w:pStyle w:val="TableParagraph"/>
              <w:spacing w:before="4"/>
              <w:ind w:left="92" w:right="58"/>
              <w:jc w:val="center"/>
              <w:rPr>
                <w:sz w:val="21"/>
              </w:rPr>
            </w:pPr>
            <w:r>
              <w:rPr>
                <w:rFonts w:ascii="Times New Roman" w:eastAsia="Times New Roman"/>
                <w:sz w:val="21"/>
              </w:rPr>
              <w:t>2</w:t>
            </w:r>
            <w:r>
              <w:rPr>
                <w:sz w:val="21"/>
              </w:rPr>
              <w:t>、根据水资源承载能力合理规划</w:t>
            </w:r>
          </w:p>
          <w:p>
            <w:pPr>
              <w:pStyle w:val="TableParagraph"/>
              <w:spacing w:before="1" w:line="268" w:lineRule="exact"/>
              <w:ind w:left="116" w:right="69" w:hanging="9"/>
              <w:jc w:val="center"/>
              <w:rPr>
                <w:sz w:val="21"/>
              </w:rPr>
            </w:pPr>
            <w:r>
              <w:rPr>
                <w:sz w:val="21"/>
              </w:rPr>
              <w:t>区域发展和产业布局。控制高耗水行业发展和高耗水工业项目建设，</w:t>
            </w:r>
          </w:p>
        </w:tc>
        <w:tc>
          <w:tcPr>
            <w:tcW w:w="2009"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9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2"/>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72" w:lineRule="exact"/>
              <w:ind w:left="92" w:right="58"/>
              <w:jc w:val="center"/>
              <w:rPr>
                <w:sz w:val="21"/>
              </w:rPr>
            </w:pPr>
            <w:r>
              <w:rPr>
                <w:sz w:val="21"/>
              </w:rPr>
              <w:t>加强固定资产投资项目节能节水</w:t>
            </w:r>
          </w:p>
        </w:tc>
        <w:tc>
          <w:tcPr>
            <w:tcW w:w="2009" w:type="dxa"/>
            <w:tcBorders>
              <w:top w:val="nil"/>
              <w:left w:val="single" w:sz="6" w:space="0" w:color="000000"/>
              <w:bottom w:val="nil"/>
              <w:right w:val="single" w:sz="12" w:space="0" w:color="000000"/>
            </w:tcBorders>
          </w:tcPr>
          <w:p>
            <w:pPr>
              <w:pStyle w:val="TableParagraph"/>
              <w:rPr>
                <w:rFonts w:ascii="Times New Roman"/>
                <w:sz w:val="12"/>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审查，严格建设项目水资源论证审</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93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9" w:line="283" w:lineRule="auto"/>
              <w:ind w:left="360" w:right="121" w:hanging="212"/>
              <w:rPr>
                <w:sz w:val="21"/>
              </w:rPr>
            </w:pPr>
            <w:r>
              <w:rPr>
                <w:sz w:val="21"/>
              </w:rPr>
              <w:t>资源利用效率要求</w:t>
            </w: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92" w:right="61"/>
              <w:jc w:val="center"/>
              <w:rPr>
                <w:sz w:val="21"/>
              </w:rPr>
            </w:pPr>
            <w:r>
              <w:rPr>
                <w:sz w:val="21"/>
              </w:rPr>
              <w:t>查把关。</w:t>
            </w:r>
          </w:p>
          <w:p>
            <w:pPr>
              <w:pStyle w:val="TableParagraph"/>
              <w:spacing w:line="244" w:lineRule="auto"/>
              <w:ind w:left="99" w:right="62"/>
              <w:jc w:val="center"/>
              <w:rPr>
                <w:sz w:val="21"/>
              </w:rPr>
            </w:pPr>
            <w:r>
              <w:rPr>
                <w:rFonts w:ascii="Times New Roman" w:eastAsia="Times New Roman"/>
                <w:sz w:val="21"/>
              </w:rPr>
              <w:t>3</w:t>
            </w:r>
            <w:r>
              <w:rPr>
                <w:sz w:val="21"/>
              </w:rPr>
              <w:t>、创新水权交易措施，用好财税杠杆，实施水价综合改革，倒逼提升节水效果。</w:t>
            </w:r>
          </w:p>
          <w:p>
            <w:pPr>
              <w:pStyle w:val="TableParagraph"/>
              <w:spacing w:line="267" w:lineRule="exact"/>
              <w:ind w:left="92" w:right="57"/>
              <w:jc w:val="center"/>
              <w:rPr>
                <w:sz w:val="21"/>
              </w:rPr>
            </w:pPr>
            <w:r>
              <w:rPr>
                <w:rFonts w:ascii="Times New Roman" w:eastAsia="Times New Roman"/>
                <w:sz w:val="21"/>
              </w:rPr>
              <w:t>4</w:t>
            </w:r>
            <w:r>
              <w:rPr>
                <w:sz w:val="21"/>
              </w:rPr>
              <w:t>、到</w:t>
            </w:r>
            <w:r>
              <w:rPr>
                <w:rFonts w:ascii="Times New Roman" w:eastAsia="Times New Roman"/>
                <w:sz w:val="21"/>
              </w:rPr>
              <w:t>2025</w:t>
            </w:r>
            <w:r>
              <w:rPr>
                <w:sz w:val="21"/>
              </w:rPr>
              <w:t>年，万元</w:t>
            </w:r>
            <w:r>
              <w:rPr>
                <w:rFonts w:ascii="Times New Roman" w:eastAsia="Times New Roman"/>
                <w:sz w:val="21"/>
              </w:rPr>
              <w:t>GDP</w:t>
            </w:r>
            <w:r>
              <w:rPr>
                <w:sz w:val="21"/>
              </w:rPr>
              <w:t>用水量比</w:t>
            </w:r>
          </w:p>
          <w:p>
            <w:pPr>
              <w:pStyle w:val="TableParagraph"/>
              <w:spacing w:line="242" w:lineRule="auto"/>
              <w:ind w:left="116" w:right="78" w:hanging="6"/>
              <w:jc w:val="center"/>
              <w:rPr>
                <w:sz w:val="21"/>
              </w:rPr>
            </w:pPr>
            <w:r>
              <w:rPr>
                <w:rFonts w:ascii="Times New Roman" w:eastAsia="Times New Roman"/>
                <w:sz w:val="21"/>
              </w:rPr>
              <w:t>2020</w:t>
            </w:r>
            <w:r>
              <w:rPr>
                <w:sz w:val="21"/>
              </w:rPr>
              <w:t>年下降</w:t>
            </w:r>
            <w:r>
              <w:rPr>
                <w:rFonts w:ascii="Times New Roman" w:eastAsia="Times New Roman"/>
                <w:sz w:val="21"/>
              </w:rPr>
              <w:t>10%</w:t>
            </w:r>
            <w:r>
              <w:rPr>
                <w:spacing w:val="-3"/>
                <w:sz w:val="21"/>
              </w:rPr>
              <w:t>以上；农田灌溉水</w:t>
            </w:r>
            <w:r>
              <w:rPr>
                <w:spacing w:val="-4"/>
                <w:sz w:val="21"/>
              </w:rPr>
              <w:t>有效利用系数达到</w:t>
            </w:r>
            <w:r>
              <w:rPr>
                <w:rFonts w:ascii="Times New Roman" w:eastAsia="Times New Roman"/>
                <w:sz w:val="21"/>
              </w:rPr>
              <w:t>0.6381</w:t>
            </w:r>
            <w:r>
              <w:rPr>
                <w:spacing w:val="-2"/>
                <w:sz w:val="21"/>
              </w:rPr>
              <w:t>左右。到</w:t>
            </w:r>
            <w:r>
              <w:rPr>
                <w:rFonts w:ascii="Times New Roman" w:eastAsia="Times New Roman"/>
                <w:spacing w:val="-2"/>
                <w:sz w:val="21"/>
              </w:rPr>
              <w:t>2035</w:t>
            </w:r>
            <w:r>
              <w:rPr>
                <w:spacing w:val="-5"/>
                <w:sz w:val="21"/>
              </w:rPr>
              <w:t>年，万元</w:t>
            </w:r>
            <w:r>
              <w:rPr>
                <w:rFonts w:ascii="Times New Roman" w:eastAsia="Times New Roman"/>
                <w:sz w:val="21"/>
              </w:rPr>
              <w:t>GDP</w:t>
            </w:r>
            <w:r>
              <w:rPr>
                <w:spacing w:val="-2"/>
                <w:sz w:val="21"/>
              </w:rPr>
              <w:t>用水量比</w:t>
            </w:r>
            <w:r>
              <w:rPr>
                <w:rFonts w:ascii="Times New Roman" w:eastAsia="Times New Roman"/>
                <w:sz w:val="21"/>
              </w:rPr>
              <w:t>2020</w:t>
            </w:r>
            <w:r>
              <w:rPr>
                <w:spacing w:val="-15"/>
                <w:sz w:val="21"/>
              </w:rPr>
              <w:t>年</w:t>
            </w:r>
            <w:r>
              <w:rPr>
                <w:sz w:val="21"/>
              </w:rPr>
              <w:t>下降</w:t>
            </w:r>
            <w:r>
              <w:rPr>
                <w:rFonts w:ascii="Times New Roman" w:eastAsia="Times New Roman"/>
                <w:sz w:val="21"/>
              </w:rPr>
              <w:t>21%</w:t>
            </w:r>
            <w:r>
              <w:rPr>
                <w:spacing w:val="-3"/>
                <w:sz w:val="21"/>
              </w:rPr>
              <w:t>以上；农田灌溉水有效利用系数达到</w:t>
            </w:r>
            <w:r>
              <w:rPr>
                <w:rFonts w:ascii="Times New Roman" w:eastAsia="Times New Roman"/>
                <w:spacing w:val="-3"/>
                <w:sz w:val="21"/>
              </w:rPr>
              <w:t>0.6411</w:t>
            </w:r>
            <w:r>
              <w:rPr>
                <w:spacing w:val="-2"/>
                <w:sz w:val="21"/>
              </w:rPr>
              <w:t>左右。</w:t>
            </w:r>
          </w:p>
          <w:p>
            <w:pPr>
              <w:pStyle w:val="TableParagraph"/>
              <w:spacing w:before="4" w:line="221" w:lineRule="exact"/>
              <w:ind w:left="92" w:right="58"/>
              <w:jc w:val="center"/>
              <w:rPr>
                <w:sz w:val="21"/>
              </w:rPr>
            </w:pPr>
            <w:r>
              <w:rPr>
                <w:sz w:val="21"/>
              </w:rPr>
              <w:t>加强水资源利用管控，对于城镇建</w:t>
            </w:r>
          </w:p>
        </w:tc>
        <w:tc>
          <w:tcPr>
            <w:tcW w:w="2009" w:type="dxa"/>
            <w:tcBorders>
              <w:top w:val="nil"/>
              <w:left w:val="single" w:sz="6" w:space="0" w:color="000000"/>
              <w:bottom w:val="nil"/>
              <w:right w:val="single" w:sz="12" w:space="0" w:color="000000"/>
            </w:tcBorders>
          </w:tcPr>
          <w:p>
            <w:pPr>
              <w:pStyle w:val="TableParagraph"/>
              <w:rPr>
                <w:sz w:val="20"/>
              </w:rPr>
            </w:pPr>
          </w:p>
          <w:p>
            <w:pPr>
              <w:pStyle w:val="TableParagraph"/>
              <w:rPr>
                <w:sz w:val="20"/>
              </w:rPr>
            </w:pPr>
          </w:p>
          <w:p>
            <w:pPr>
              <w:pStyle w:val="TableParagraph"/>
              <w:spacing w:before="175"/>
              <w:ind w:left="169"/>
              <w:rPr>
                <w:sz w:val="21"/>
              </w:rPr>
            </w:pPr>
            <w:r>
              <w:rPr>
                <w:sz w:val="21"/>
              </w:rPr>
              <w:t>本项目为河湖整治</w:t>
            </w:r>
          </w:p>
          <w:p>
            <w:pPr>
              <w:pStyle w:val="TableParagraph"/>
              <w:spacing w:before="43" w:line="280" w:lineRule="auto"/>
              <w:ind w:left="116" w:right="72"/>
              <w:jc w:val="both"/>
              <w:rPr>
                <w:sz w:val="21"/>
              </w:rPr>
            </w:pPr>
            <w:r>
              <w:rPr>
                <w:sz w:val="21"/>
              </w:rPr>
              <w:t>（</w:t>
            </w:r>
            <w:r>
              <w:rPr>
                <w:spacing w:val="-17"/>
                <w:sz w:val="21"/>
              </w:rPr>
              <w:t>不含农村塘堰、水</w:t>
            </w:r>
            <w:r>
              <w:rPr>
                <w:sz w:val="21"/>
              </w:rPr>
              <w:t>渠）</w:t>
            </w:r>
            <w:r>
              <w:rPr>
                <w:spacing w:val="-2"/>
                <w:sz w:val="21"/>
              </w:rPr>
              <w:t>及防洪除涝工</w:t>
            </w:r>
            <w:r>
              <w:rPr>
                <w:spacing w:val="-16"/>
                <w:sz w:val="21"/>
              </w:rPr>
              <w:t>程，属于有利于城市</w:t>
            </w:r>
            <w:r>
              <w:rPr>
                <w:spacing w:val="-1"/>
                <w:sz w:val="21"/>
              </w:rPr>
              <w:t>建设的项目。符合</w:t>
            </w: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157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951"/>
              <w:rPr>
                <w:sz w:val="21"/>
              </w:rPr>
            </w:pPr>
            <w:r>
              <w:rPr>
                <w:sz w:val="21"/>
              </w:rPr>
              <w:t>设和生活用水：</w:t>
            </w:r>
          </w:p>
          <w:p>
            <w:pPr>
              <w:pStyle w:val="TableParagraph"/>
              <w:spacing w:before="4" w:line="242" w:lineRule="auto"/>
              <w:ind w:left="116" w:right="-29"/>
              <w:rPr>
                <w:sz w:val="21"/>
              </w:rPr>
            </w:pPr>
            <w:r>
              <w:rPr>
                <w:rFonts w:ascii="Times New Roman" w:eastAsia="Times New Roman"/>
                <w:sz w:val="21"/>
              </w:rPr>
              <w:t>1</w:t>
            </w:r>
            <w:r>
              <w:rPr>
                <w:spacing w:val="-6"/>
                <w:sz w:val="21"/>
              </w:rPr>
              <w:t xml:space="preserve">、深入推进城市建成区雨污分流， </w:t>
            </w:r>
            <w:r>
              <w:rPr>
                <w:spacing w:val="-3"/>
                <w:sz w:val="21"/>
              </w:rPr>
              <w:t xml:space="preserve">建设雨水收集、调蓄、利用设施； </w:t>
            </w:r>
            <w:r>
              <w:rPr>
                <w:rFonts w:ascii="Times New Roman" w:eastAsia="Times New Roman"/>
                <w:spacing w:val="-3"/>
                <w:sz w:val="21"/>
              </w:rPr>
              <w:t>2</w:t>
            </w:r>
            <w:r>
              <w:rPr>
                <w:spacing w:val="-5"/>
                <w:sz w:val="21"/>
              </w:rPr>
              <w:t>、在具备条件的城镇污水处理厂 排污口下游建设水质深度净化工</w:t>
            </w:r>
          </w:p>
          <w:p>
            <w:pPr>
              <w:pStyle w:val="TableParagraph"/>
              <w:spacing w:line="219" w:lineRule="exact"/>
              <w:ind w:left="116"/>
              <w:rPr>
                <w:sz w:val="21"/>
              </w:rPr>
            </w:pPr>
            <w:r>
              <w:rPr>
                <w:sz w:val="21"/>
              </w:rPr>
              <w:t>程，完善再生水利用的基础设施和</w:t>
            </w:r>
          </w:p>
        </w:tc>
        <w:tc>
          <w:tcPr>
            <w:tcW w:w="2009"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政策措施，提高再生水利用率，城</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14"/>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194" w:lineRule="exact"/>
              <w:ind w:left="92" w:right="58"/>
              <w:jc w:val="center"/>
              <w:rPr>
                <w:sz w:val="21"/>
              </w:rPr>
            </w:pPr>
            <w:r>
              <w:rPr>
                <w:sz w:val="21"/>
              </w:rPr>
              <w:t>市建成区景观绿化、市政清洁等原</w:t>
            </w:r>
          </w:p>
        </w:tc>
        <w:tc>
          <w:tcPr>
            <w:tcW w:w="2009" w:type="dxa"/>
            <w:tcBorders>
              <w:top w:val="nil"/>
              <w:left w:val="single" w:sz="6" w:space="0" w:color="000000"/>
              <w:bottom w:val="nil"/>
              <w:right w:val="single" w:sz="12" w:space="0" w:color="000000"/>
            </w:tcBorders>
          </w:tcPr>
          <w:p>
            <w:pPr>
              <w:pStyle w:val="TableParagraph"/>
              <w:rPr>
                <w:rFonts w:ascii="Times New Roman"/>
                <w:sz w:val="14"/>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11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nil"/>
              <w:right w:val="single" w:sz="6" w:space="0" w:color="000000"/>
            </w:tcBorders>
          </w:tcPr>
          <w:p>
            <w:pPr>
              <w:pStyle w:val="TableParagraph"/>
              <w:rPr>
                <w:rFonts w:ascii="Times New Roman"/>
                <w:sz w:val="20"/>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nil"/>
              <w:right w:val="single" w:sz="6" w:space="0" w:color="000000"/>
            </w:tcBorders>
          </w:tcPr>
          <w:p>
            <w:pPr>
              <w:pStyle w:val="TableParagraph"/>
              <w:spacing w:line="242" w:lineRule="exact"/>
              <w:ind w:left="92" w:right="58"/>
              <w:jc w:val="center"/>
              <w:rPr>
                <w:sz w:val="21"/>
              </w:rPr>
            </w:pPr>
            <w:r>
              <w:rPr>
                <w:sz w:val="21"/>
              </w:rPr>
              <w:t>则上应使用再生水；</w:t>
            </w:r>
          </w:p>
          <w:p>
            <w:pPr>
              <w:pStyle w:val="TableParagraph"/>
              <w:spacing w:line="244" w:lineRule="auto"/>
              <w:ind w:left="164" w:right="127"/>
              <w:jc w:val="center"/>
              <w:rPr>
                <w:sz w:val="21"/>
              </w:rPr>
            </w:pPr>
            <w:r>
              <w:rPr>
                <w:rFonts w:ascii="Times New Roman" w:eastAsia="Times New Roman"/>
                <w:sz w:val="21"/>
              </w:rPr>
              <w:t>3</w:t>
            </w:r>
            <w:r>
              <w:rPr>
                <w:sz w:val="21"/>
              </w:rPr>
              <w:t>、引导和推动合同节水管理，实行节水奖励补贴制度；</w:t>
            </w:r>
          </w:p>
          <w:p>
            <w:pPr>
              <w:pStyle w:val="TableParagraph"/>
              <w:spacing w:line="242" w:lineRule="auto"/>
              <w:ind w:left="116" w:right="79" w:hanging="1"/>
              <w:jc w:val="center"/>
              <w:rPr>
                <w:sz w:val="21"/>
              </w:rPr>
            </w:pPr>
            <w:r>
              <w:rPr>
                <w:rFonts w:ascii="Times New Roman" w:eastAsia="Times New Roman"/>
                <w:sz w:val="21"/>
              </w:rPr>
              <w:t>4</w:t>
            </w:r>
            <w:r>
              <w:rPr>
                <w:spacing w:val="-3"/>
                <w:sz w:val="21"/>
              </w:rPr>
              <w:t>、以学校、医院、景区、体育馆</w:t>
            </w:r>
            <w:r>
              <w:rPr>
                <w:spacing w:val="-6"/>
                <w:sz w:val="21"/>
              </w:rPr>
              <w:t>等为重点，开展节水改造，普及节</w:t>
            </w:r>
            <w:r>
              <w:rPr>
                <w:sz w:val="21"/>
              </w:rPr>
              <w:t>水器具；</w:t>
            </w:r>
          </w:p>
          <w:p>
            <w:pPr>
              <w:pStyle w:val="TableParagraph"/>
              <w:ind w:left="92" w:right="58"/>
              <w:jc w:val="center"/>
              <w:rPr>
                <w:sz w:val="21"/>
              </w:rPr>
            </w:pPr>
            <w:r>
              <w:rPr>
                <w:rFonts w:ascii="Times New Roman" w:eastAsia="Times New Roman"/>
                <w:sz w:val="21"/>
              </w:rPr>
              <w:t>5</w:t>
            </w:r>
            <w:r>
              <w:rPr>
                <w:sz w:val="21"/>
              </w:rPr>
              <w:t>、加强公共供水系统运行监督管</w:t>
            </w:r>
          </w:p>
          <w:p>
            <w:pPr>
              <w:pStyle w:val="TableParagraph"/>
              <w:spacing w:before="4" w:line="221" w:lineRule="exact"/>
              <w:ind w:left="92" w:right="58"/>
              <w:jc w:val="center"/>
              <w:rPr>
                <w:sz w:val="21"/>
              </w:rPr>
            </w:pPr>
            <w:r>
              <w:rPr>
                <w:sz w:val="21"/>
              </w:rPr>
              <w:t>理，健全管网检漏机制，推进老旧</w:t>
            </w:r>
          </w:p>
        </w:tc>
        <w:tc>
          <w:tcPr>
            <w:tcW w:w="2009" w:type="dxa"/>
            <w:tcBorders>
              <w:top w:val="nil"/>
              <w:left w:val="single" w:sz="6"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4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tcBorders>
              <w:top w:val="nil"/>
              <w:left w:val="single" w:sz="6" w:space="0" w:color="000000"/>
              <w:bottom w:val="single" w:sz="24" w:space="0" w:color="000000"/>
              <w:right w:val="single" w:sz="6" w:space="0" w:color="000000"/>
            </w:tcBorders>
          </w:tcPr>
          <w:p>
            <w:pPr>
              <w:pStyle w:val="TableParagraph"/>
              <w:rPr>
                <w:rFonts w:ascii="Times New Roman"/>
                <w:sz w:val="16"/>
              </w:rPr>
            </w:pPr>
          </w:p>
        </w:tc>
        <w:tc>
          <w:tcPr>
            <w:tcW w:w="538" w:type="dxa"/>
            <w:vMerge/>
            <w:tcBorders>
              <w:top w:val="nil"/>
              <w:left w:val="single" w:sz="6" w:space="0" w:color="000000"/>
              <w:bottom w:val="single" w:sz="24" w:space="0" w:color="000000"/>
              <w:right w:val="single" w:sz="6" w:space="0" w:color="000000"/>
            </w:tcBorders>
          </w:tcPr>
          <w:p>
            <w:pPr>
              <w:rPr>
                <w:sz w:val="2"/>
                <w:szCs w:val="2"/>
              </w:rPr>
            </w:pPr>
          </w:p>
        </w:tc>
        <w:tc>
          <w:tcPr>
            <w:tcW w:w="3356" w:type="dxa"/>
            <w:tcBorders>
              <w:top w:val="nil"/>
              <w:left w:val="single" w:sz="6" w:space="0" w:color="000000"/>
              <w:bottom w:val="single" w:sz="24" w:space="0" w:color="000000"/>
              <w:right w:val="single" w:sz="6" w:space="0" w:color="000000"/>
            </w:tcBorders>
          </w:tcPr>
          <w:p>
            <w:pPr>
              <w:pStyle w:val="TableParagraph"/>
              <w:spacing w:line="224" w:lineRule="exact"/>
              <w:ind w:left="92" w:right="58"/>
              <w:jc w:val="center"/>
              <w:rPr>
                <w:sz w:val="21"/>
              </w:rPr>
            </w:pPr>
            <w:r>
              <w:rPr>
                <w:sz w:val="21"/>
              </w:rPr>
              <w:t>破损管网更新改造。</w:t>
            </w:r>
          </w:p>
        </w:tc>
        <w:tc>
          <w:tcPr>
            <w:tcW w:w="2009" w:type="dxa"/>
            <w:tcBorders>
              <w:top w:val="nil"/>
              <w:left w:val="single" w:sz="6" w:space="0" w:color="000000"/>
              <w:bottom w:val="single" w:sz="24" w:space="0" w:color="000000"/>
              <w:right w:val="single" w:sz="12" w:space="0" w:color="000000"/>
            </w:tcBorders>
          </w:tcPr>
          <w:p>
            <w:pPr>
              <w:pStyle w:val="TableParagraph"/>
              <w:rPr>
                <w:rFonts w:ascii="Times New Roman"/>
                <w:sz w:val="16"/>
              </w:rPr>
            </w:pPr>
          </w:p>
        </w:tc>
        <w:tc>
          <w:tcPr>
            <w:tcW w:w="125" w:type="dxa"/>
            <w:vMerge/>
            <w:tcBorders>
              <w:top w:val="nil"/>
              <w:left w:val="single" w:sz="12" w:space="0" w:color="000000"/>
            </w:tcBorders>
          </w:tcPr>
          <w:p>
            <w:pPr>
              <w:rPr>
                <w:sz w:val="2"/>
                <w:szCs w:val="2"/>
              </w:rPr>
            </w:pPr>
          </w:p>
        </w:tc>
      </w:tr>
    </w:tbl>
    <w:p>
      <w:pPr>
        <w:pStyle w:val="BodyText"/>
        <w:rPr>
          <w:sz w:val="20"/>
        </w:rPr>
      </w:pPr>
    </w:p>
    <w:p>
      <w:pPr>
        <w:pStyle w:val="BodyText"/>
        <w:spacing w:before="4"/>
        <w:rPr>
          <w:sz w:val="27"/>
        </w:rPr>
      </w:pPr>
    </w:p>
    <w:p>
      <w:pPr>
        <w:spacing w:before="60"/>
        <w:ind w:left="551" w:right="0" w:firstLine="0"/>
        <w:jc w:val="left"/>
        <w:rPr>
          <w:sz w:val="28"/>
        </w:rPr>
      </w:pPr>
      <w:r>
        <w:rPr>
          <w:sz w:val="28"/>
        </w:rPr>
        <w:t>—</w:t>
      </w:r>
      <w:r>
        <w:rPr>
          <w:sz w:val="26"/>
        </w:rPr>
        <w:t>13</w:t>
      </w:r>
      <w:r>
        <w:rPr>
          <w:sz w:val="28"/>
        </w:rPr>
        <w:t>—</w:t>
      </w:r>
    </w:p>
    <w:p>
      <w:pPr>
        <w:spacing w:after="0"/>
        <w:jc w:val="left"/>
        <w:rPr>
          <w:sz w:val="28"/>
        </w:rPr>
        <w:sectPr>
          <w:pgSz w:w="11910" w:h="16840"/>
          <w:pgMar w:top="1580" w:right="820" w:bottom="280" w:left="980" w:header="720" w:footer="720" w:gutter="0"/>
          <w:pgNumType w:start="18"/>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38"/>
        <w:gridCol w:w="3356"/>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8702"/>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thinThickMediumGap" w:sz="6" w:space="0" w:color="000000"/>
              <w:right w:val="single" w:sz="6" w:space="0" w:color="000000"/>
            </w:tcBorders>
          </w:tcPr>
          <w:p>
            <w:pPr>
              <w:pStyle w:val="TableParagraph"/>
              <w:rPr>
                <w:rFonts w:ascii="Times New Roman"/>
                <w:sz w:val="20"/>
              </w:rPr>
            </w:pPr>
          </w:p>
        </w:tc>
        <w:tc>
          <w:tcPr>
            <w:tcW w:w="538" w:type="dxa"/>
            <w:tcBorders>
              <w:top w:val="thinThickMediumGap" w:sz="6" w:space="0" w:color="000000"/>
              <w:left w:val="single" w:sz="6"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5"/>
              </w:rPr>
            </w:pPr>
          </w:p>
          <w:p>
            <w:pPr>
              <w:pStyle w:val="TableParagraph"/>
              <w:spacing w:line="242" w:lineRule="auto"/>
              <w:ind w:left="164" w:right="145"/>
              <w:jc w:val="both"/>
              <w:rPr>
                <w:sz w:val="21"/>
              </w:rPr>
            </w:pPr>
            <w:r>
              <w:rPr>
                <w:sz w:val="21"/>
              </w:rPr>
              <w:t>地下水开采要求</w:t>
            </w:r>
          </w:p>
        </w:tc>
        <w:tc>
          <w:tcPr>
            <w:tcW w:w="3356" w:type="dxa"/>
            <w:tcBorders>
              <w:top w:val="thinThickMediumGap" w:sz="6" w:space="0" w:color="000000"/>
              <w:left w:val="single" w:sz="6" w:space="0" w:color="000000"/>
              <w:bottom w:val="single" w:sz="6" w:space="0" w:color="000000"/>
              <w:right w:val="single" w:sz="6" w:space="0" w:color="000000"/>
            </w:tcBorders>
          </w:tcPr>
          <w:p>
            <w:pPr>
              <w:pStyle w:val="TableParagraph"/>
              <w:spacing w:line="242" w:lineRule="auto"/>
              <w:ind w:left="116" w:right="79" w:hanging="1"/>
              <w:jc w:val="center"/>
              <w:rPr>
                <w:sz w:val="21"/>
              </w:rPr>
            </w:pPr>
            <w:r>
              <w:rPr>
                <w:rFonts w:ascii="Times New Roman" w:eastAsia="Times New Roman"/>
                <w:sz w:val="21"/>
              </w:rPr>
              <w:t>1</w:t>
            </w:r>
            <w:r>
              <w:rPr>
                <w:spacing w:val="-3"/>
                <w:sz w:val="21"/>
              </w:rPr>
              <w:t xml:space="preserve">、实行总量与水位双调控制度， </w:t>
            </w:r>
            <w:r>
              <w:rPr>
                <w:spacing w:val="-5"/>
                <w:sz w:val="21"/>
              </w:rPr>
              <w:t xml:space="preserve">区域内取用地下水总量已达到或 </w:t>
            </w:r>
            <w:r>
              <w:rPr>
                <w:spacing w:val="-7"/>
                <w:sz w:val="21"/>
              </w:rPr>
              <w:t>超过控制指标的地区，暂停审批其</w:t>
            </w:r>
            <w:r>
              <w:rPr>
                <w:spacing w:val="-5"/>
                <w:sz w:val="21"/>
              </w:rPr>
              <w:t>建设项目新增取用地下水。在地下</w:t>
            </w:r>
            <w:r>
              <w:rPr>
                <w:spacing w:val="-6"/>
                <w:sz w:val="21"/>
              </w:rPr>
              <w:t>水超采区内，除居民生活用水与应</w:t>
            </w:r>
            <w:r>
              <w:rPr>
                <w:spacing w:val="-3"/>
                <w:sz w:val="21"/>
              </w:rPr>
              <w:t xml:space="preserve">急供水外，严禁新增地下水取水 </w:t>
            </w:r>
            <w:r>
              <w:rPr>
                <w:spacing w:val="-5"/>
                <w:sz w:val="21"/>
              </w:rPr>
              <w:t xml:space="preserve">量。在超采区内确需取用地下水 </w:t>
            </w:r>
            <w:r>
              <w:rPr>
                <w:spacing w:val="-6"/>
                <w:sz w:val="21"/>
              </w:rPr>
              <w:t>的，要在现有地下水开采总量控制</w:t>
            </w:r>
            <w:r>
              <w:rPr>
                <w:spacing w:val="-2"/>
                <w:sz w:val="21"/>
              </w:rPr>
              <w:t>指标内调剂解决，并逐步削减</w:t>
            </w:r>
          </w:p>
          <w:p>
            <w:pPr>
              <w:pStyle w:val="TableParagraph"/>
              <w:spacing w:before="3"/>
              <w:ind w:left="92" w:right="57"/>
              <w:jc w:val="center"/>
              <w:rPr>
                <w:sz w:val="21"/>
              </w:rPr>
            </w:pPr>
            <w:r>
              <w:rPr>
                <w:sz w:val="21"/>
              </w:rPr>
              <w:t>地下水开采量。</w:t>
            </w:r>
          </w:p>
          <w:p>
            <w:pPr>
              <w:pStyle w:val="TableParagraph"/>
              <w:spacing w:before="5" w:line="242" w:lineRule="auto"/>
              <w:ind w:left="116" w:right="-29" w:hanging="106"/>
              <w:jc w:val="center"/>
              <w:rPr>
                <w:sz w:val="21"/>
              </w:rPr>
            </w:pPr>
            <w:r>
              <w:rPr>
                <w:rFonts w:ascii="Times New Roman" w:eastAsia="Times New Roman"/>
                <w:sz w:val="21"/>
              </w:rPr>
              <w:t>2</w:t>
            </w:r>
            <w:r>
              <w:rPr>
                <w:spacing w:val="-3"/>
                <w:sz w:val="21"/>
              </w:rPr>
              <w:t xml:space="preserve">、对区域内具备使用再生水条件  </w:t>
            </w:r>
            <w:r>
              <w:rPr>
                <w:spacing w:val="-15"/>
                <w:sz w:val="21"/>
              </w:rPr>
              <w:t>但未充分利用的钢铁、火电、化工、</w:t>
            </w:r>
            <w:r>
              <w:rPr>
                <w:spacing w:val="-5"/>
                <w:sz w:val="21"/>
              </w:rPr>
              <w:t>制浆造纸、印染等项目，不得批准 其新增取用地下水。</w:t>
            </w:r>
          </w:p>
          <w:p>
            <w:pPr>
              <w:pStyle w:val="TableParagraph"/>
              <w:spacing w:before="2" w:line="242" w:lineRule="auto"/>
              <w:ind w:left="116" w:right="79" w:hanging="1"/>
              <w:jc w:val="center"/>
              <w:rPr>
                <w:sz w:val="21"/>
              </w:rPr>
            </w:pPr>
            <w:r>
              <w:rPr>
                <w:rFonts w:ascii="Times New Roman" w:eastAsia="Times New Roman"/>
                <w:sz w:val="21"/>
              </w:rPr>
              <w:t>3</w:t>
            </w:r>
            <w:r>
              <w:rPr>
                <w:spacing w:val="-3"/>
                <w:sz w:val="21"/>
              </w:rPr>
              <w:t>、深层地下水：深层承压水超采</w:t>
            </w:r>
            <w:r>
              <w:rPr>
                <w:spacing w:val="-7"/>
                <w:sz w:val="21"/>
              </w:rPr>
              <w:t>区全部划为禁采区，现状深层承压</w:t>
            </w:r>
            <w:r>
              <w:rPr>
                <w:spacing w:val="-3"/>
                <w:sz w:val="21"/>
              </w:rPr>
              <w:t xml:space="preserve">水开采井要结合替代水源建设逐 </w:t>
            </w:r>
            <w:r>
              <w:rPr>
                <w:spacing w:val="-6"/>
                <w:sz w:val="21"/>
              </w:rPr>
              <w:t>步封停。逐步关停非生活用水和部</w:t>
            </w:r>
            <w:r>
              <w:rPr>
                <w:spacing w:val="-3"/>
                <w:sz w:val="21"/>
              </w:rPr>
              <w:t>分有水源替代条件的深层承压水 开采井，</w:t>
            </w:r>
            <w:r>
              <w:rPr>
                <w:rFonts w:ascii="Times New Roman" w:eastAsia="Times New Roman"/>
                <w:spacing w:val="-3"/>
                <w:sz w:val="21"/>
              </w:rPr>
              <w:t>2025</w:t>
            </w:r>
            <w:r>
              <w:rPr>
                <w:rFonts w:ascii="Times New Roman" w:eastAsia="Times New Roman"/>
                <w:spacing w:val="8"/>
                <w:sz w:val="21"/>
              </w:rPr>
              <w:t xml:space="preserve"> </w:t>
            </w:r>
            <w:r>
              <w:rPr>
                <w:spacing w:val="-3"/>
                <w:sz w:val="21"/>
              </w:rPr>
              <w:t>年前全部关停深层</w:t>
            </w:r>
            <w:r>
              <w:rPr>
                <w:spacing w:val="-5"/>
                <w:sz w:val="21"/>
              </w:rPr>
              <w:t>承压水开采井</w:t>
            </w:r>
            <w:r>
              <w:rPr>
                <w:sz w:val="21"/>
              </w:rPr>
              <w:t>（</w:t>
            </w:r>
            <w:r>
              <w:rPr>
                <w:spacing w:val="-5"/>
                <w:sz w:val="21"/>
              </w:rPr>
              <w:t>饮用水按照相关要</w:t>
            </w:r>
            <w:r>
              <w:rPr>
                <w:sz w:val="21"/>
              </w:rPr>
              <w:t>求执行）。</w:t>
            </w:r>
          </w:p>
          <w:p>
            <w:pPr>
              <w:pStyle w:val="TableParagraph"/>
              <w:spacing w:before="6" w:line="242" w:lineRule="auto"/>
              <w:ind w:left="116" w:right="69" w:hanging="10"/>
              <w:jc w:val="center"/>
              <w:rPr>
                <w:sz w:val="21"/>
              </w:rPr>
            </w:pPr>
            <w:r>
              <w:rPr>
                <w:rFonts w:ascii="Times New Roman" w:eastAsia="Times New Roman"/>
                <w:sz w:val="21"/>
              </w:rPr>
              <w:t>4</w:t>
            </w:r>
            <w:r>
              <w:rPr>
                <w:spacing w:val="-3"/>
                <w:sz w:val="21"/>
              </w:rPr>
              <w:t>、浅层地下水：浅层地下水超采</w:t>
            </w:r>
            <w:r>
              <w:rPr>
                <w:spacing w:val="-6"/>
                <w:sz w:val="21"/>
              </w:rPr>
              <w:t>区全部划定为限采区，超采区内工</w:t>
            </w:r>
            <w:r>
              <w:rPr>
                <w:spacing w:val="-5"/>
                <w:sz w:val="21"/>
              </w:rPr>
              <w:t xml:space="preserve">业公共供水管网内浅层地下水分 </w:t>
            </w:r>
            <w:r>
              <w:rPr>
                <w:spacing w:val="-6"/>
                <w:sz w:val="21"/>
              </w:rPr>
              <w:t xml:space="preserve">期全部封填。工业公共供水管网外应逐步关停；农业公共供水管网覆盖地区的自备井要分期全部封填， </w:t>
            </w:r>
            <w:r>
              <w:rPr>
                <w:spacing w:val="-4"/>
                <w:sz w:val="21"/>
              </w:rPr>
              <w:t>井灌区主要通过节水灌溉、地表水</w:t>
            </w:r>
            <w:r>
              <w:rPr>
                <w:spacing w:val="-6"/>
                <w:sz w:val="21"/>
              </w:rPr>
              <w:t>源替代等措施压减地下水开采量，</w:t>
            </w:r>
          </w:p>
          <w:p>
            <w:pPr>
              <w:pStyle w:val="TableParagraph"/>
              <w:spacing w:before="5" w:line="270" w:lineRule="atLeast"/>
              <w:ind w:left="116" w:right="79"/>
              <w:jc w:val="center"/>
              <w:rPr>
                <w:sz w:val="21"/>
              </w:rPr>
            </w:pPr>
            <w:r>
              <w:rPr>
                <w:spacing w:val="-5"/>
                <w:sz w:val="21"/>
              </w:rPr>
              <w:t>农灌机井不要求封填，作为干旱年</w:t>
            </w:r>
            <w:r>
              <w:rPr>
                <w:spacing w:val="-3"/>
                <w:sz w:val="21"/>
              </w:rPr>
              <w:t>份的备用水源以确保粮食安全。</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7"/>
              </w:rPr>
            </w:pPr>
          </w:p>
          <w:p>
            <w:pPr>
              <w:pStyle w:val="TableParagraph"/>
              <w:spacing w:before="1" w:line="280" w:lineRule="auto"/>
              <w:ind w:left="116" w:right="182" w:hanging="1"/>
              <w:jc w:val="center"/>
              <w:rPr>
                <w:sz w:val="21"/>
              </w:rPr>
            </w:pPr>
            <w:r>
              <w:rPr>
                <w:spacing w:val="-1"/>
                <w:sz w:val="21"/>
              </w:rPr>
              <w:t xml:space="preserve">本项目不开采地 </w:t>
            </w:r>
            <w:r>
              <w:rPr>
                <w:spacing w:val="-4"/>
                <w:sz w:val="21"/>
              </w:rPr>
              <w:t>下水，生活用水由</w:t>
            </w:r>
            <w:r>
              <w:rPr>
                <w:spacing w:val="-3"/>
                <w:sz w:val="21"/>
              </w:rPr>
              <w:t>市政供水提供。符</w:t>
            </w:r>
            <w:r>
              <w:rPr>
                <w:sz w:val="21"/>
              </w:rPr>
              <w:t>合。</w:t>
            </w: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431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38" w:type="dxa"/>
            <w:tcBorders>
              <w:top w:val="single" w:sz="6" w:space="0" w:color="000000"/>
              <w:left w:val="single" w:sz="6"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spacing w:before="142" w:line="242" w:lineRule="auto"/>
              <w:ind w:left="164" w:right="145"/>
              <w:jc w:val="both"/>
              <w:rPr>
                <w:sz w:val="21"/>
              </w:rPr>
            </w:pPr>
            <w:r>
              <w:rPr>
                <w:sz w:val="21"/>
              </w:rPr>
              <w:t>能源利用总量及效率要求</w:t>
            </w:r>
          </w:p>
        </w:tc>
        <w:tc>
          <w:tcPr>
            <w:tcW w:w="3356" w:type="dxa"/>
            <w:tcBorders>
              <w:top w:val="single" w:sz="6" w:space="0" w:color="000000"/>
              <w:left w:val="single" w:sz="6" w:space="0" w:color="000000"/>
              <w:bottom w:val="thinThickMediumGap" w:sz="6" w:space="0" w:color="000000"/>
              <w:right w:val="single" w:sz="6" w:space="0" w:color="000000"/>
            </w:tcBorders>
          </w:tcPr>
          <w:p>
            <w:pPr>
              <w:pStyle w:val="TableParagraph"/>
              <w:spacing w:line="247" w:lineRule="exact"/>
              <w:ind w:left="92" w:right="58"/>
              <w:jc w:val="center"/>
              <w:rPr>
                <w:sz w:val="21"/>
              </w:rPr>
            </w:pPr>
            <w:r>
              <w:rPr>
                <w:rFonts w:ascii="Times New Roman" w:eastAsia="Times New Roman"/>
                <w:sz w:val="21"/>
              </w:rPr>
              <w:t>1</w:t>
            </w:r>
            <w:r>
              <w:rPr>
                <w:sz w:val="21"/>
              </w:rPr>
              <w:t>、限制高耗能项目特别是高耗能</w:t>
            </w:r>
          </w:p>
          <w:p>
            <w:pPr>
              <w:pStyle w:val="TableParagraph"/>
              <w:spacing w:line="242" w:lineRule="auto"/>
              <w:ind w:left="116" w:right="78" w:hanging="1"/>
              <w:jc w:val="center"/>
              <w:rPr>
                <w:sz w:val="21"/>
              </w:rPr>
            </w:pPr>
            <w:r>
              <w:rPr>
                <w:spacing w:val="-6"/>
                <w:sz w:val="21"/>
              </w:rPr>
              <w:t>工业项目建设，严格控制新增煤耗</w:t>
            </w:r>
            <w:r>
              <w:rPr>
                <w:spacing w:val="-3"/>
                <w:sz w:val="21"/>
              </w:rPr>
              <w:t>项目，新</w:t>
            </w:r>
            <w:r>
              <w:rPr>
                <w:sz w:val="21"/>
              </w:rPr>
              <w:t>（</w:t>
            </w:r>
            <w:r>
              <w:rPr>
                <w:spacing w:val="-2"/>
                <w:sz w:val="21"/>
              </w:rPr>
              <w:t>改、扩</w:t>
            </w:r>
            <w:r>
              <w:rPr>
                <w:spacing w:val="-5"/>
                <w:sz w:val="21"/>
              </w:rPr>
              <w:t>）建耗煤项目须</w:t>
            </w:r>
            <w:r>
              <w:rPr>
                <w:spacing w:val="-3"/>
                <w:sz w:val="21"/>
              </w:rPr>
              <w:t xml:space="preserve">取得煤炭消费总量控制部门出具 </w:t>
            </w:r>
            <w:r>
              <w:rPr>
                <w:spacing w:val="-4"/>
                <w:sz w:val="21"/>
              </w:rPr>
              <w:t>的审查意见。</w:t>
            </w:r>
          </w:p>
          <w:p>
            <w:pPr>
              <w:pStyle w:val="TableParagraph"/>
              <w:spacing w:before="3" w:line="242" w:lineRule="auto"/>
              <w:ind w:left="116" w:right="79" w:hanging="1"/>
              <w:jc w:val="center"/>
              <w:rPr>
                <w:sz w:val="21"/>
              </w:rPr>
            </w:pPr>
            <w:r>
              <w:rPr>
                <w:rFonts w:ascii="Times New Roman" w:eastAsia="Times New Roman" w:hAnsi="Times New Roman"/>
                <w:sz w:val="21"/>
              </w:rPr>
              <w:t>2</w:t>
            </w:r>
            <w:r>
              <w:rPr>
                <w:spacing w:val="-3"/>
                <w:sz w:val="21"/>
              </w:rPr>
              <w:t>、按照能源消费强度和消费总量</w:t>
            </w:r>
            <w:r>
              <w:rPr>
                <w:spacing w:val="-7"/>
                <w:sz w:val="21"/>
              </w:rPr>
              <w:t>“双控”机制要求，制定实施全市</w:t>
            </w:r>
            <w:r>
              <w:rPr>
                <w:spacing w:val="-5"/>
                <w:sz w:val="21"/>
              </w:rPr>
              <w:t>煤炭消费压减工作方案，完成省定</w:t>
            </w:r>
            <w:r>
              <w:rPr>
                <w:sz w:val="21"/>
              </w:rPr>
              <w:t>减压任务。</w:t>
            </w:r>
          </w:p>
          <w:p>
            <w:pPr>
              <w:pStyle w:val="TableParagraph"/>
              <w:spacing w:before="2" w:line="242" w:lineRule="auto"/>
              <w:ind w:left="116" w:right="69" w:hanging="10"/>
              <w:jc w:val="center"/>
              <w:rPr>
                <w:sz w:val="21"/>
              </w:rPr>
            </w:pPr>
            <w:r>
              <w:rPr>
                <w:rFonts w:ascii="Times New Roman" w:eastAsia="Times New Roman"/>
                <w:sz w:val="21"/>
              </w:rPr>
              <w:t>3</w:t>
            </w:r>
            <w:r>
              <w:rPr>
                <w:sz w:val="21"/>
              </w:rPr>
              <w:t>、各类工业园区与工业集中区应实施热电联产或集中供热改造，全面取消分散的自备燃煤锅炉。在供热供气管网覆盖不到的其他地区， 应使用清洁能源。</w:t>
            </w:r>
          </w:p>
          <w:p>
            <w:pPr>
              <w:pStyle w:val="TableParagraph"/>
              <w:spacing w:before="4" w:line="270" w:lineRule="atLeast"/>
              <w:ind w:left="164" w:right="127"/>
              <w:jc w:val="center"/>
              <w:rPr>
                <w:sz w:val="21"/>
              </w:rPr>
            </w:pPr>
            <w:r>
              <w:rPr>
                <w:rFonts w:ascii="Times New Roman" w:eastAsia="Times New Roman"/>
                <w:sz w:val="21"/>
              </w:rPr>
              <w:t>4</w:t>
            </w:r>
            <w:r>
              <w:rPr>
                <w:sz w:val="21"/>
              </w:rPr>
              <w:t>、逐步提高城镇建成区集中供暖率，减少散煤消耗量。</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spacing w:before="11"/>
              <w:rPr>
                <w:sz w:val="25"/>
              </w:rPr>
            </w:pPr>
          </w:p>
          <w:p>
            <w:pPr>
              <w:pStyle w:val="TableParagraph"/>
              <w:ind w:left="109" w:right="72"/>
              <w:jc w:val="center"/>
              <w:rPr>
                <w:sz w:val="21"/>
              </w:rPr>
            </w:pPr>
            <w:r>
              <w:rPr>
                <w:sz w:val="21"/>
              </w:rPr>
              <w:t>本项目为河湖整治</w:t>
            </w:r>
          </w:p>
          <w:p>
            <w:pPr>
              <w:pStyle w:val="TableParagraph"/>
              <w:spacing w:before="43" w:line="278" w:lineRule="auto"/>
              <w:ind w:left="116" w:right="-29" w:hanging="101"/>
              <w:jc w:val="center"/>
              <w:rPr>
                <w:sz w:val="21"/>
              </w:rPr>
            </w:pPr>
            <w:r>
              <w:rPr>
                <w:sz w:val="21"/>
              </w:rPr>
              <w:t>（</w:t>
            </w:r>
            <w:r>
              <w:rPr>
                <w:spacing w:val="-15"/>
                <w:sz w:val="21"/>
              </w:rPr>
              <w:t>不含农村塘堰、水 渠）</w:t>
            </w:r>
            <w:r>
              <w:rPr>
                <w:spacing w:val="-7"/>
                <w:sz w:val="21"/>
              </w:rPr>
              <w:t xml:space="preserve">及防洪除涝工  </w:t>
            </w:r>
            <w:r>
              <w:rPr>
                <w:spacing w:val="-8"/>
                <w:sz w:val="21"/>
              </w:rPr>
              <w:t xml:space="preserve">程，不属于“两高” </w:t>
            </w:r>
            <w:r>
              <w:rPr>
                <w:spacing w:val="-14"/>
                <w:sz w:val="21"/>
              </w:rPr>
              <w:t xml:space="preserve">项目，无需用热，运 </w:t>
            </w:r>
            <w:r>
              <w:rPr>
                <w:spacing w:val="-9"/>
                <w:sz w:val="21"/>
              </w:rPr>
              <w:t xml:space="preserve">营期不涉及污染物  </w:t>
            </w:r>
            <w:r>
              <w:rPr>
                <w:spacing w:val="-15"/>
                <w:sz w:val="21"/>
              </w:rPr>
              <w:t xml:space="preserve">排放，且项目的实施 </w:t>
            </w:r>
            <w:r>
              <w:rPr>
                <w:spacing w:val="-9"/>
                <w:sz w:val="21"/>
              </w:rPr>
              <w:t>有利于区域防洪能  力和绿化景观提升。</w:t>
            </w:r>
            <w:r>
              <w:rPr>
                <w:sz w:val="21"/>
              </w:rPr>
              <w:t>符合。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spacing w:before="194"/>
        <w:ind w:left="0" w:right="705" w:firstLine="0"/>
        <w:jc w:val="right"/>
        <w:rPr>
          <w:sz w:val="28"/>
        </w:rPr>
      </w:pPr>
      <w:r>
        <w:rPr>
          <w:sz w:val="28"/>
        </w:rPr>
        <w:t>—</w:t>
      </w:r>
      <w:r>
        <w:rPr>
          <w:sz w:val="26"/>
        </w:rPr>
        <w:t>14</w:t>
      </w:r>
      <w:r>
        <w:rPr>
          <w:sz w:val="28"/>
        </w:rPr>
        <w:t>—</w:t>
      </w:r>
    </w:p>
    <w:p>
      <w:pPr>
        <w:spacing w:after="0"/>
        <w:jc w:val="right"/>
        <w:rPr>
          <w:sz w:val="28"/>
        </w:rPr>
        <w:sectPr>
          <w:pgSz w:w="11910" w:h="16840"/>
          <w:pgMar w:top="1580" w:right="820" w:bottom="280" w:left="980" w:header="720" w:footer="720" w:gutter="0"/>
          <w:pgNumType w:start="19"/>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40"/>
        <w:gridCol w:w="3354"/>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60"/>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540" w:type="dxa"/>
            <w:tcBorders>
              <w:top w:val="thinThickMediumGap"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3354" w:type="dxa"/>
            <w:tcBorders>
              <w:top w:val="thinThickMediumGap" w:sz="6" w:space="0" w:color="000000"/>
              <w:left w:val="single" w:sz="6" w:space="0" w:color="000000"/>
              <w:bottom w:val="single" w:sz="6" w:space="0" w:color="000000"/>
              <w:right w:val="single" w:sz="6" w:space="0" w:color="000000"/>
            </w:tcBorders>
          </w:tcPr>
          <w:p>
            <w:pPr>
              <w:pStyle w:val="TableParagraph"/>
              <w:spacing w:line="242" w:lineRule="auto"/>
              <w:ind w:left="114" w:right="-29" w:firstLine="48"/>
              <w:rPr>
                <w:sz w:val="21"/>
              </w:rPr>
            </w:pPr>
            <w:r>
              <w:rPr>
                <w:rFonts w:ascii="Times New Roman" w:eastAsia="Times New Roman" w:hAnsi="Times New Roman"/>
                <w:sz w:val="21"/>
              </w:rPr>
              <w:t>5</w:t>
            </w:r>
            <w:r>
              <w:rPr>
                <w:spacing w:val="-3"/>
                <w:sz w:val="21"/>
              </w:rPr>
              <w:t>、坚决淘汰落后产能，落实能耗</w:t>
            </w:r>
            <w:r>
              <w:rPr>
                <w:spacing w:val="-14"/>
                <w:sz w:val="21"/>
              </w:rPr>
              <w:t xml:space="preserve">双控措施，严控‘两高’项目建设， </w:t>
            </w:r>
            <w:r>
              <w:rPr>
                <w:spacing w:val="-5"/>
                <w:sz w:val="21"/>
              </w:rPr>
              <w:t>严格执行‘五个减量替代’，全市煤炭消耗量只减不增，‘两高’行</w:t>
            </w:r>
          </w:p>
          <w:p>
            <w:pPr>
              <w:pStyle w:val="TableParagraph"/>
              <w:spacing w:before="3" w:line="250" w:lineRule="exact"/>
              <w:ind w:left="844"/>
              <w:rPr>
                <w:sz w:val="21"/>
              </w:rPr>
            </w:pPr>
            <w:r>
              <w:rPr>
                <w:sz w:val="21"/>
              </w:rPr>
              <w:t>业能耗只减不增。</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50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540" w:type="dxa"/>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spacing w:before="5"/>
              <w:rPr>
                <w:sz w:val="24"/>
              </w:rPr>
            </w:pPr>
          </w:p>
          <w:p>
            <w:pPr>
              <w:pStyle w:val="TableParagraph"/>
              <w:spacing w:before="1" w:line="242" w:lineRule="auto"/>
              <w:ind w:left="164" w:right="147"/>
              <w:jc w:val="both"/>
              <w:rPr>
                <w:sz w:val="21"/>
              </w:rPr>
            </w:pPr>
            <w:r>
              <w:rPr>
                <w:sz w:val="21"/>
              </w:rPr>
              <w:t>禁燃区要求</w:t>
            </w:r>
          </w:p>
        </w:tc>
        <w:tc>
          <w:tcPr>
            <w:tcW w:w="3354" w:type="dxa"/>
            <w:tcBorders>
              <w:top w:val="single" w:sz="6" w:space="0" w:color="000000"/>
              <w:left w:val="single" w:sz="6" w:space="0" w:color="000000"/>
              <w:bottom w:val="single" w:sz="6" w:space="0" w:color="000000"/>
              <w:right w:val="single" w:sz="6" w:space="0" w:color="000000"/>
            </w:tcBorders>
          </w:tcPr>
          <w:p>
            <w:pPr>
              <w:pStyle w:val="TableParagraph"/>
              <w:spacing w:before="22" w:line="244" w:lineRule="auto"/>
              <w:ind w:left="162" w:right="127"/>
              <w:jc w:val="center"/>
              <w:rPr>
                <w:sz w:val="21"/>
              </w:rPr>
            </w:pPr>
            <w:r>
              <w:rPr>
                <w:rFonts w:ascii="Times New Roman" w:eastAsia="Times New Roman"/>
                <w:sz w:val="21"/>
              </w:rPr>
              <w:t>1</w:t>
            </w:r>
            <w:r>
              <w:rPr>
                <w:sz w:val="21"/>
              </w:rPr>
              <w:t>、各县市区根据实际情况及时调整公布本行政区域高污染燃料禁燃区。</w:t>
            </w:r>
          </w:p>
          <w:p>
            <w:pPr>
              <w:pStyle w:val="TableParagraph"/>
              <w:spacing w:line="244" w:lineRule="auto"/>
              <w:ind w:left="114" w:right="79" w:hanging="1"/>
              <w:jc w:val="center"/>
              <w:rPr>
                <w:sz w:val="21"/>
              </w:rPr>
            </w:pPr>
            <w:r>
              <w:rPr>
                <w:rFonts w:ascii="Times New Roman" w:eastAsia="Times New Roman"/>
                <w:sz w:val="21"/>
              </w:rPr>
              <w:t>2</w:t>
            </w:r>
            <w:r>
              <w:rPr>
                <w:spacing w:val="-3"/>
                <w:sz w:val="21"/>
              </w:rPr>
              <w:t>、各县市区调整划定的禁燃区应</w:t>
            </w:r>
            <w:r>
              <w:rPr>
                <w:spacing w:val="-6"/>
                <w:sz w:val="21"/>
              </w:rPr>
              <w:t>明确管理要求，禁燃区内禁止生产</w:t>
            </w:r>
            <w:r>
              <w:rPr>
                <w:spacing w:val="-1"/>
                <w:sz w:val="21"/>
              </w:rPr>
              <w:t>和销售高污染燃料。</w:t>
            </w:r>
          </w:p>
          <w:p>
            <w:pPr>
              <w:pStyle w:val="TableParagraph"/>
              <w:spacing w:line="242" w:lineRule="auto"/>
              <w:ind w:left="162" w:right="127"/>
              <w:jc w:val="center"/>
              <w:rPr>
                <w:sz w:val="21"/>
              </w:rPr>
            </w:pPr>
            <w:r>
              <w:rPr>
                <w:rFonts w:ascii="Times New Roman" w:eastAsia="Times New Roman"/>
                <w:sz w:val="21"/>
              </w:rPr>
              <w:t>3</w:t>
            </w:r>
            <w:r>
              <w:rPr>
                <w:sz w:val="21"/>
              </w:rPr>
              <w:t>、各县市区禁燃区内禁止新建、扩建、改建使用高污染燃料的项目。</w:t>
            </w:r>
          </w:p>
        </w:tc>
        <w:tc>
          <w:tcPr>
            <w:tcW w:w="2009" w:type="dxa"/>
            <w:tcBorders>
              <w:top w:val="single" w:sz="6" w:space="0" w:color="000000"/>
              <w:left w:val="single" w:sz="6" w:space="0" w:color="000000"/>
              <w:bottom w:val="single" w:sz="6" w:space="0" w:color="000000"/>
              <w:right w:val="single" w:sz="12" w:space="0" w:color="000000"/>
            </w:tcBorders>
          </w:tcPr>
          <w:p>
            <w:pPr>
              <w:pStyle w:val="TableParagraph"/>
              <w:spacing w:line="267" w:lineRule="exact"/>
              <w:ind w:left="109" w:right="72"/>
              <w:jc w:val="center"/>
              <w:rPr>
                <w:sz w:val="21"/>
              </w:rPr>
            </w:pPr>
            <w:r>
              <w:rPr>
                <w:sz w:val="21"/>
              </w:rPr>
              <w:t>本项目为河湖整治</w:t>
            </w:r>
          </w:p>
          <w:p>
            <w:pPr>
              <w:pStyle w:val="TableParagraph"/>
              <w:spacing w:before="43" w:line="278" w:lineRule="auto"/>
              <w:ind w:left="116" w:right="72"/>
              <w:jc w:val="both"/>
              <w:rPr>
                <w:sz w:val="21"/>
              </w:rPr>
            </w:pPr>
            <w:r>
              <w:rPr>
                <w:sz w:val="21"/>
              </w:rPr>
              <w:t>（</w:t>
            </w:r>
            <w:r>
              <w:rPr>
                <w:spacing w:val="-17"/>
                <w:sz w:val="21"/>
              </w:rPr>
              <w:t>不含农村塘堰、水</w:t>
            </w:r>
            <w:r>
              <w:rPr>
                <w:sz w:val="21"/>
              </w:rPr>
              <w:t>渠）</w:t>
            </w:r>
            <w:r>
              <w:rPr>
                <w:spacing w:val="-2"/>
                <w:sz w:val="21"/>
              </w:rPr>
              <w:t>及防洪除涝工</w:t>
            </w:r>
            <w:r>
              <w:rPr>
                <w:spacing w:val="-16"/>
                <w:sz w:val="21"/>
              </w:rPr>
              <w:t>程，不使用高污染燃料，且项目的实施有</w:t>
            </w:r>
            <w:r>
              <w:rPr>
                <w:spacing w:val="-1"/>
                <w:sz w:val="21"/>
              </w:rPr>
              <w:t>利于区域防洪能力</w:t>
            </w:r>
            <w:r>
              <w:rPr>
                <w:spacing w:val="-16"/>
                <w:sz w:val="21"/>
              </w:rPr>
              <w:t>和绿化景观提升。符</w:t>
            </w:r>
          </w:p>
          <w:p>
            <w:pPr>
              <w:pStyle w:val="TableParagraph"/>
              <w:spacing w:before="4"/>
              <w:ind w:left="113" w:right="72"/>
              <w:jc w:val="center"/>
              <w:rPr>
                <w:sz w:val="21"/>
              </w:rPr>
            </w:pPr>
            <w:r>
              <w:rPr>
                <w:sz w:val="21"/>
              </w:rPr>
              <w:t>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271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6" w:space="0" w:color="000000"/>
              <w:right w:val="single" w:sz="6" w:space="0" w:color="000000"/>
            </w:tcBorders>
          </w:tcPr>
          <w:p>
            <w:pPr>
              <w:rPr>
                <w:sz w:val="2"/>
                <w:szCs w:val="2"/>
              </w:rPr>
            </w:pPr>
          </w:p>
        </w:tc>
        <w:tc>
          <w:tcPr>
            <w:tcW w:w="1344" w:type="dxa"/>
            <w:vMerge/>
            <w:tcBorders>
              <w:top w:val="nil"/>
              <w:left w:val="single" w:sz="6" w:space="0" w:color="000000"/>
              <w:bottom w:val="single" w:sz="6" w:space="0" w:color="000000"/>
              <w:right w:val="single" w:sz="6" w:space="0" w:color="000000"/>
            </w:tcBorders>
          </w:tcPr>
          <w:p>
            <w:pPr>
              <w:rPr>
                <w:sz w:val="2"/>
                <w:szCs w:val="2"/>
              </w:rPr>
            </w:pPr>
          </w:p>
        </w:tc>
        <w:tc>
          <w:tcPr>
            <w:tcW w:w="540" w:type="dxa"/>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spacing w:before="3"/>
              <w:rPr>
                <w:sz w:val="23"/>
              </w:rPr>
            </w:pPr>
          </w:p>
          <w:p>
            <w:pPr>
              <w:pStyle w:val="TableParagraph"/>
              <w:spacing w:line="242" w:lineRule="auto"/>
              <w:ind w:left="164" w:right="147"/>
              <w:jc w:val="both"/>
              <w:rPr>
                <w:sz w:val="21"/>
              </w:rPr>
            </w:pPr>
            <w:r>
              <w:rPr>
                <w:sz w:val="21"/>
              </w:rPr>
              <w:t>土地资源</w:t>
            </w:r>
          </w:p>
        </w:tc>
        <w:tc>
          <w:tcPr>
            <w:tcW w:w="3354" w:type="dxa"/>
            <w:tcBorders>
              <w:top w:val="single" w:sz="6" w:space="0" w:color="000000"/>
              <w:left w:val="single" w:sz="6" w:space="0" w:color="000000"/>
              <w:bottom w:val="single" w:sz="6" w:space="0" w:color="000000"/>
              <w:right w:val="single" w:sz="6" w:space="0" w:color="000000"/>
            </w:tcBorders>
          </w:tcPr>
          <w:p>
            <w:pPr>
              <w:pStyle w:val="TableParagraph"/>
              <w:spacing w:line="242" w:lineRule="auto"/>
              <w:ind w:left="114" w:right="79" w:hanging="1"/>
              <w:jc w:val="center"/>
              <w:rPr>
                <w:sz w:val="21"/>
              </w:rPr>
            </w:pPr>
            <w:r>
              <w:rPr>
                <w:rFonts w:ascii="Times New Roman" w:eastAsia="Times New Roman"/>
                <w:sz w:val="21"/>
              </w:rPr>
              <w:t>1</w:t>
            </w:r>
            <w:r>
              <w:rPr>
                <w:spacing w:val="-3"/>
                <w:sz w:val="21"/>
              </w:rPr>
              <w:t>、制定建设项目特别是工业项目</w:t>
            </w:r>
            <w:r>
              <w:rPr>
                <w:spacing w:val="-7"/>
                <w:sz w:val="21"/>
              </w:rPr>
              <w:t>土地建设投资强度等限制要求，提</w:t>
            </w:r>
            <w:r>
              <w:rPr>
                <w:spacing w:val="-6"/>
                <w:sz w:val="21"/>
              </w:rPr>
              <w:t>高土地利用率。推广共享工厂、共</w:t>
            </w:r>
            <w:r>
              <w:rPr>
                <w:sz w:val="21"/>
              </w:rPr>
              <w:t>享车间。</w:t>
            </w:r>
          </w:p>
          <w:p>
            <w:pPr>
              <w:pStyle w:val="TableParagraph"/>
              <w:spacing w:line="242" w:lineRule="auto"/>
              <w:ind w:left="114" w:right="79" w:hanging="1"/>
              <w:jc w:val="center"/>
              <w:rPr>
                <w:sz w:val="21"/>
              </w:rPr>
            </w:pPr>
            <w:r>
              <w:rPr>
                <w:rFonts w:ascii="Times New Roman" w:eastAsia="Times New Roman"/>
                <w:sz w:val="21"/>
              </w:rPr>
              <w:t>2</w:t>
            </w:r>
            <w:r>
              <w:rPr>
                <w:spacing w:val="-3"/>
                <w:sz w:val="21"/>
              </w:rPr>
              <w:t>、推进工业园区或工业集中区建</w:t>
            </w:r>
            <w:r>
              <w:rPr>
                <w:spacing w:val="-6"/>
                <w:sz w:val="21"/>
              </w:rPr>
              <w:t>设，乡镇及街道新等新建工业项目</w:t>
            </w:r>
            <w:r>
              <w:rPr>
                <w:spacing w:val="-5"/>
                <w:sz w:val="21"/>
              </w:rPr>
              <w:t>应进入工业园区或工业集中区，现</w:t>
            </w:r>
            <w:r>
              <w:rPr>
                <w:spacing w:val="-3"/>
                <w:sz w:val="21"/>
              </w:rPr>
              <w:t xml:space="preserve">有工业企业应逐步向工业园区或 </w:t>
            </w:r>
            <w:r>
              <w:rPr>
                <w:spacing w:val="-6"/>
                <w:sz w:val="21"/>
              </w:rPr>
              <w:t>工业集中区搬迁，以提高建设用地</w:t>
            </w:r>
          </w:p>
          <w:p>
            <w:pPr>
              <w:pStyle w:val="TableParagraph"/>
              <w:spacing w:line="254" w:lineRule="exact"/>
              <w:ind w:left="156" w:right="127"/>
              <w:jc w:val="center"/>
              <w:rPr>
                <w:sz w:val="21"/>
              </w:rPr>
            </w:pPr>
            <w:r>
              <w:rPr>
                <w:sz w:val="21"/>
              </w:rPr>
              <w:t>利用率。</w:t>
            </w:r>
          </w:p>
        </w:tc>
        <w:tc>
          <w:tcPr>
            <w:tcW w:w="2009" w:type="dxa"/>
            <w:tcBorders>
              <w:top w:val="single" w:sz="6" w:space="0" w:color="000000"/>
              <w:left w:val="single" w:sz="6" w:space="0" w:color="000000"/>
              <w:bottom w:val="single" w:sz="6" w:space="0" w:color="000000"/>
              <w:right w:val="single" w:sz="12" w:space="0" w:color="000000"/>
            </w:tcBorders>
          </w:tcPr>
          <w:p>
            <w:pPr>
              <w:pStyle w:val="TableParagraph"/>
              <w:spacing w:before="99"/>
              <w:ind w:left="109" w:right="72"/>
              <w:jc w:val="center"/>
              <w:rPr>
                <w:sz w:val="21"/>
              </w:rPr>
            </w:pPr>
            <w:r>
              <w:rPr>
                <w:sz w:val="21"/>
              </w:rPr>
              <w:t>本项目为河湖整治</w:t>
            </w:r>
          </w:p>
          <w:p>
            <w:pPr>
              <w:pStyle w:val="TableParagraph"/>
              <w:spacing w:before="48" w:line="278" w:lineRule="auto"/>
              <w:ind w:left="116" w:right="72"/>
              <w:jc w:val="center"/>
              <w:rPr>
                <w:sz w:val="21"/>
              </w:rPr>
            </w:pPr>
            <w:r>
              <w:rPr>
                <w:sz w:val="21"/>
              </w:rPr>
              <w:t>（</w:t>
            </w:r>
            <w:r>
              <w:rPr>
                <w:spacing w:val="-17"/>
                <w:sz w:val="21"/>
              </w:rPr>
              <w:t>不含农村塘堰、水</w:t>
            </w:r>
            <w:r>
              <w:rPr>
                <w:sz w:val="21"/>
              </w:rPr>
              <w:t>渠）</w:t>
            </w:r>
            <w:r>
              <w:rPr>
                <w:spacing w:val="-2"/>
                <w:sz w:val="21"/>
              </w:rPr>
              <w:t>及防洪除涝工</w:t>
            </w:r>
            <w:r>
              <w:rPr>
                <w:spacing w:val="-16"/>
                <w:sz w:val="21"/>
              </w:rPr>
              <w:t>程，运营期不涉及污染物排放，且项目的</w:t>
            </w:r>
            <w:r>
              <w:rPr>
                <w:spacing w:val="-1"/>
                <w:sz w:val="21"/>
              </w:rPr>
              <w:t>实施有利于区域防</w:t>
            </w:r>
            <w:r>
              <w:rPr>
                <w:spacing w:val="-2"/>
                <w:sz w:val="21"/>
              </w:rPr>
              <w:t>洪能力和绿化景观</w:t>
            </w:r>
            <w:r>
              <w:rPr>
                <w:spacing w:val="-3"/>
                <w:sz w:val="21"/>
              </w:rPr>
              <w:t>提升。符合。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42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val="restart"/>
            <w:tcBorders>
              <w:top w:val="single" w:sz="6" w:space="0" w:color="000000"/>
              <w:left w:val="single" w:sz="12" w:space="0" w:color="000000"/>
              <w:bottom w:val="single" w:sz="24"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6"/>
              </w:rPr>
            </w:pPr>
          </w:p>
          <w:p>
            <w:pPr>
              <w:pStyle w:val="TableParagraph"/>
              <w:spacing w:line="280" w:lineRule="auto"/>
              <w:ind w:left="114" w:right="93"/>
              <w:jc w:val="both"/>
              <w:rPr>
                <w:sz w:val="21"/>
              </w:rPr>
            </w:pPr>
            <w:r>
              <w:rPr>
                <w:spacing w:val="-9"/>
                <w:sz w:val="21"/>
              </w:rPr>
              <w:t>附件</w:t>
            </w:r>
            <w:r>
              <w:rPr>
                <w:rFonts w:ascii="Times New Roman" w:eastAsia="Times New Roman"/>
                <w:sz w:val="21"/>
              </w:rPr>
              <w:t xml:space="preserve">3 </w:t>
            </w:r>
            <w:r>
              <w:rPr>
                <w:sz w:val="21"/>
              </w:rPr>
              <w:t>德</w:t>
            </w:r>
            <w:r>
              <w:rPr>
                <w:spacing w:val="-9"/>
                <w:sz w:val="21"/>
              </w:rPr>
              <w:t>州市生态环境准入清单</w:t>
            </w:r>
          </w:p>
          <w:p>
            <w:pPr>
              <w:pStyle w:val="TableParagraph"/>
              <w:spacing w:line="278" w:lineRule="auto"/>
              <w:ind w:left="114" w:right="93"/>
              <w:rPr>
                <w:sz w:val="21"/>
              </w:rPr>
            </w:pPr>
            <w:r>
              <w:rPr>
                <w:sz w:val="21"/>
              </w:rPr>
              <w:t>（</w:t>
            </w:r>
            <w:r>
              <w:rPr>
                <w:spacing w:val="-17"/>
                <w:sz w:val="21"/>
              </w:rPr>
              <w:t>单</w:t>
            </w:r>
            <w:r>
              <w:rPr>
                <w:sz w:val="21"/>
              </w:rPr>
              <w:t>元</w:t>
            </w:r>
            <w:r>
              <w:rPr>
                <w:spacing w:val="-17"/>
                <w:sz w:val="21"/>
              </w:rPr>
              <w:t>）</w:t>
            </w:r>
          </w:p>
        </w:tc>
        <w:tc>
          <w:tcPr>
            <w:tcW w:w="1344" w:type="dxa"/>
            <w:vMerge w:val="restart"/>
            <w:tcBorders>
              <w:top w:val="single" w:sz="6" w:space="0" w:color="000000"/>
              <w:left w:val="single" w:sz="6" w:space="0" w:color="000000"/>
              <w:bottom w:val="single" w:sz="24"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3"/>
              </w:rPr>
            </w:pPr>
          </w:p>
          <w:p>
            <w:pPr>
              <w:pStyle w:val="TableParagraph"/>
              <w:spacing w:line="280" w:lineRule="auto"/>
              <w:ind w:left="110" w:right="193" w:hanging="5"/>
              <w:jc w:val="center"/>
              <w:rPr>
                <w:sz w:val="21"/>
              </w:rPr>
            </w:pPr>
            <w:r>
              <w:rPr>
                <w:sz w:val="21"/>
              </w:rPr>
              <w:t>重点管控</w:t>
            </w:r>
            <w:r>
              <w:rPr>
                <w:spacing w:val="-17"/>
                <w:sz w:val="21"/>
              </w:rPr>
              <w:t>单元</w:t>
            </w:r>
            <w:r>
              <w:rPr>
                <w:sz w:val="21"/>
              </w:rPr>
              <w:t>（</w:t>
            </w:r>
            <w:r>
              <w:rPr>
                <w:spacing w:val="-8"/>
                <w:sz w:val="21"/>
              </w:rPr>
              <w:t>德州</w:t>
            </w:r>
            <w:r>
              <w:rPr>
                <w:sz w:val="21"/>
              </w:rPr>
              <w:t>经济技术开发区）</w:t>
            </w:r>
          </w:p>
        </w:tc>
        <w:tc>
          <w:tcPr>
            <w:tcW w:w="540" w:type="dxa"/>
            <w:tcBorders>
              <w:top w:val="single" w:sz="6" w:space="0" w:color="000000"/>
              <w:left w:val="single" w:sz="6" w:space="0" w:color="000000"/>
              <w:bottom w:val="single" w:sz="6" w:space="0" w:color="000000"/>
            </w:tcBorders>
          </w:tcPr>
          <w:p>
            <w:pPr>
              <w:pStyle w:val="TableParagraph"/>
              <w:rPr>
                <w:sz w:val="20"/>
              </w:rPr>
            </w:pPr>
          </w:p>
          <w:p>
            <w:pPr>
              <w:pStyle w:val="TableParagraph"/>
              <w:rPr>
                <w:sz w:val="20"/>
              </w:rPr>
            </w:pPr>
          </w:p>
          <w:p>
            <w:pPr>
              <w:pStyle w:val="TableParagraph"/>
              <w:spacing w:before="7"/>
              <w:rPr>
                <w:sz w:val="20"/>
              </w:rPr>
            </w:pPr>
          </w:p>
          <w:p>
            <w:pPr>
              <w:pStyle w:val="TableParagraph"/>
              <w:spacing w:line="280" w:lineRule="auto"/>
              <w:ind w:left="164" w:right="144"/>
              <w:jc w:val="both"/>
              <w:rPr>
                <w:sz w:val="21"/>
              </w:rPr>
            </w:pPr>
            <w:r>
              <w:rPr>
                <w:sz w:val="21"/>
              </w:rPr>
              <w:t>空间布局要求</w:t>
            </w:r>
          </w:p>
        </w:tc>
        <w:tc>
          <w:tcPr>
            <w:tcW w:w="3354" w:type="dxa"/>
            <w:tcBorders>
              <w:top w:val="single" w:sz="6" w:space="0" w:color="000000"/>
              <w:bottom w:val="single" w:sz="6" w:space="0" w:color="000000"/>
              <w:right w:val="single" w:sz="6" w:space="0" w:color="000000"/>
            </w:tcBorders>
          </w:tcPr>
          <w:p>
            <w:pPr>
              <w:pStyle w:val="TableParagraph"/>
              <w:numPr>
                <w:ilvl w:val="0"/>
                <w:numId w:val="4"/>
              </w:numPr>
              <w:tabs>
                <w:tab w:val="left" w:pos="396"/>
              </w:tabs>
              <w:spacing w:before="0" w:after="0" w:line="263" w:lineRule="exact"/>
              <w:ind w:left="395" w:right="0" w:hanging="371"/>
              <w:jc w:val="left"/>
              <w:rPr>
                <w:sz w:val="21"/>
              </w:rPr>
            </w:pPr>
            <w:r>
              <w:rPr>
                <w:spacing w:val="-3"/>
                <w:sz w:val="21"/>
              </w:rPr>
              <w:t>执行全市空间布局约束要求。</w:t>
            </w:r>
          </w:p>
          <w:p>
            <w:pPr>
              <w:pStyle w:val="TableParagraph"/>
              <w:numPr>
                <w:ilvl w:val="0"/>
                <w:numId w:val="4"/>
              </w:numPr>
              <w:tabs>
                <w:tab w:val="left" w:pos="291"/>
              </w:tabs>
              <w:spacing w:before="43" w:after="0" w:line="240" w:lineRule="auto"/>
              <w:ind w:left="290" w:right="0" w:hanging="266"/>
              <w:jc w:val="left"/>
              <w:rPr>
                <w:sz w:val="21"/>
              </w:rPr>
            </w:pPr>
            <w:r>
              <w:rPr>
                <w:spacing w:val="-3"/>
                <w:sz w:val="21"/>
              </w:rPr>
              <w:t>禁止报告书级别化工项目建设。</w:t>
            </w:r>
          </w:p>
          <w:p>
            <w:pPr>
              <w:pStyle w:val="TableParagraph"/>
              <w:numPr>
                <w:ilvl w:val="0"/>
                <w:numId w:val="4"/>
              </w:numPr>
              <w:tabs>
                <w:tab w:val="left" w:pos="291"/>
              </w:tabs>
              <w:spacing w:before="47" w:after="0" w:line="278" w:lineRule="auto"/>
              <w:ind w:left="130" w:right="103" w:firstLine="0"/>
              <w:jc w:val="left"/>
              <w:rPr>
                <w:sz w:val="21"/>
              </w:rPr>
            </w:pPr>
            <w:r>
              <w:rPr>
                <w:spacing w:val="-4"/>
                <w:sz w:val="21"/>
              </w:rPr>
              <w:t>限制制浆造纸、印染、碳素、制</w:t>
            </w:r>
            <w:r>
              <w:rPr>
                <w:spacing w:val="-2"/>
                <w:sz w:val="21"/>
              </w:rPr>
              <w:t>革、电镀等工业项目建设。</w:t>
            </w:r>
          </w:p>
          <w:p>
            <w:pPr>
              <w:pStyle w:val="TableParagraph"/>
              <w:numPr>
                <w:ilvl w:val="0"/>
                <w:numId w:val="4"/>
              </w:numPr>
              <w:tabs>
                <w:tab w:val="left" w:pos="291"/>
              </w:tabs>
              <w:spacing w:before="1" w:after="0" w:line="278" w:lineRule="auto"/>
              <w:ind w:left="130" w:right="103" w:firstLine="0"/>
              <w:jc w:val="left"/>
              <w:rPr>
                <w:sz w:val="21"/>
              </w:rPr>
            </w:pPr>
            <w:r>
              <w:rPr>
                <w:spacing w:val="-4"/>
                <w:sz w:val="21"/>
              </w:rPr>
              <w:t>工业建设建设应符合开发区规划</w:t>
            </w:r>
            <w:r>
              <w:rPr>
                <w:spacing w:val="-2"/>
                <w:sz w:val="21"/>
              </w:rPr>
              <w:t>环评中产业准入要求。</w:t>
            </w:r>
          </w:p>
          <w:p>
            <w:pPr>
              <w:pStyle w:val="TableParagraph"/>
              <w:numPr>
                <w:ilvl w:val="0"/>
                <w:numId w:val="4"/>
              </w:numPr>
              <w:tabs>
                <w:tab w:val="left" w:pos="291"/>
              </w:tabs>
              <w:spacing w:before="4" w:after="0" w:line="278" w:lineRule="auto"/>
              <w:ind w:left="130" w:right="103" w:firstLine="0"/>
              <w:jc w:val="left"/>
              <w:rPr>
                <w:sz w:val="21"/>
              </w:rPr>
            </w:pPr>
            <w:r>
              <w:rPr>
                <w:spacing w:val="-4"/>
                <w:sz w:val="21"/>
              </w:rPr>
              <w:t>项目建设应充分考虑开发区内上</w:t>
            </w:r>
            <w:r>
              <w:rPr>
                <w:spacing w:val="-2"/>
                <w:sz w:val="21"/>
              </w:rPr>
              <w:t>下游产业链，突出产业协同优</w:t>
            </w:r>
          </w:p>
          <w:p>
            <w:pPr>
              <w:pStyle w:val="TableParagraph"/>
              <w:spacing w:line="269" w:lineRule="exact"/>
              <w:ind w:left="83" w:right="57"/>
              <w:jc w:val="center"/>
              <w:rPr>
                <w:sz w:val="21"/>
              </w:rPr>
            </w:pPr>
            <w:r>
              <w:rPr>
                <w:sz w:val="21"/>
              </w:rPr>
              <w:t>势。</w:t>
            </w:r>
          </w:p>
          <w:p>
            <w:pPr>
              <w:pStyle w:val="TableParagraph"/>
              <w:numPr>
                <w:ilvl w:val="0"/>
                <w:numId w:val="4"/>
              </w:numPr>
              <w:tabs>
                <w:tab w:val="left" w:pos="291"/>
              </w:tabs>
              <w:spacing w:before="43" w:after="0" w:line="240" w:lineRule="auto"/>
              <w:ind w:left="290" w:right="0" w:hanging="266"/>
              <w:jc w:val="left"/>
              <w:rPr>
                <w:sz w:val="21"/>
              </w:rPr>
            </w:pPr>
            <w:r>
              <w:rPr>
                <w:spacing w:val="-2"/>
                <w:sz w:val="21"/>
              </w:rPr>
              <w:t>控制高耗水、高耗能</w:t>
            </w:r>
            <w:r>
              <w:rPr>
                <w:sz w:val="21"/>
              </w:rPr>
              <w:t>（</w:t>
            </w:r>
            <w:r>
              <w:rPr>
                <w:spacing w:val="-2"/>
                <w:sz w:val="21"/>
              </w:rPr>
              <w:t>特别是煤</w:t>
            </w:r>
          </w:p>
          <w:p>
            <w:pPr>
              <w:pStyle w:val="TableParagraph"/>
              <w:spacing w:before="48"/>
              <w:ind w:left="87" w:right="57"/>
              <w:jc w:val="center"/>
              <w:rPr>
                <w:sz w:val="21"/>
              </w:rPr>
            </w:pPr>
            <w:r>
              <w:rPr>
                <w:sz w:val="21"/>
              </w:rPr>
              <w:t>炭）工业项目建设。</w:t>
            </w:r>
          </w:p>
        </w:tc>
        <w:tc>
          <w:tcPr>
            <w:tcW w:w="2009" w:type="dxa"/>
            <w:tcBorders>
              <w:top w:val="single" w:sz="6" w:space="0" w:color="000000"/>
              <w:left w:val="single" w:sz="6" w:space="0" w:color="000000"/>
              <w:bottom w:val="single" w:sz="6" w:space="0" w:color="000000"/>
              <w:right w:val="single" w:sz="12" w:space="0" w:color="000000"/>
            </w:tcBorders>
          </w:tcPr>
          <w:p>
            <w:pPr>
              <w:pStyle w:val="TableParagraph"/>
              <w:spacing w:before="152" w:line="278" w:lineRule="auto"/>
              <w:ind w:left="275" w:right="72" w:hanging="159"/>
              <w:rPr>
                <w:sz w:val="21"/>
              </w:rPr>
            </w:pPr>
            <w:r>
              <w:rPr>
                <w:spacing w:val="-16"/>
                <w:sz w:val="21"/>
              </w:rPr>
              <w:t>根据“德州市生态环</w:t>
            </w:r>
            <w:r>
              <w:rPr>
                <w:spacing w:val="-1"/>
                <w:sz w:val="21"/>
              </w:rPr>
              <w:t>境准入清单</w:t>
            </w:r>
            <w:r>
              <w:rPr>
                <w:sz w:val="21"/>
              </w:rPr>
              <w:t>（总</w:t>
            </w:r>
          </w:p>
          <w:p>
            <w:pPr>
              <w:pStyle w:val="TableParagraph"/>
              <w:spacing w:line="278" w:lineRule="auto"/>
              <w:ind w:left="116" w:right="-29"/>
              <w:rPr>
                <w:sz w:val="21"/>
              </w:rPr>
            </w:pPr>
            <w:r>
              <w:rPr>
                <w:sz w:val="21"/>
              </w:rPr>
              <w:t>则</w:t>
            </w:r>
            <w:r>
              <w:rPr>
                <w:spacing w:val="-34"/>
                <w:sz w:val="21"/>
              </w:rPr>
              <w:t>）”，</w:t>
            </w:r>
            <w:r>
              <w:rPr>
                <w:spacing w:val="-2"/>
                <w:sz w:val="21"/>
              </w:rPr>
              <w:t>项目符合全</w:t>
            </w:r>
            <w:r>
              <w:rPr>
                <w:spacing w:val="-3"/>
                <w:sz w:val="21"/>
              </w:rPr>
              <w:t xml:space="preserve">市空间布局约束空 </w:t>
            </w:r>
            <w:r>
              <w:rPr>
                <w:spacing w:val="-15"/>
                <w:sz w:val="21"/>
              </w:rPr>
              <w:t>间准入要求；项目属</w:t>
            </w:r>
            <w:r>
              <w:rPr>
                <w:spacing w:val="-33"/>
                <w:sz w:val="21"/>
              </w:rPr>
              <w:t>于河湖整治</w:t>
            </w:r>
            <w:r>
              <w:rPr>
                <w:sz w:val="21"/>
              </w:rPr>
              <w:t>（</w:t>
            </w:r>
            <w:r>
              <w:rPr>
                <w:spacing w:val="-2"/>
                <w:sz w:val="21"/>
              </w:rPr>
              <w:t>不含农</w:t>
            </w:r>
            <w:r>
              <w:rPr>
                <w:spacing w:val="-10"/>
                <w:sz w:val="21"/>
              </w:rPr>
              <w:t>村塘堰、水渠</w:t>
            </w:r>
            <w:r>
              <w:rPr>
                <w:spacing w:val="-53"/>
                <w:sz w:val="21"/>
              </w:rPr>
              <w:t>）</w:t>
            </w:r>
            <w:r>
              <w:rPr>
                <w:sz w:val="21"/>
              </w:rPr>
              <w:t>及防</w:t>
            </w:r>
            <w:r>
              <w:rPr>
                <w:spacing w:val="-13"/>
                <w:sz w:val="21"/>
              </w:rPr>
              <w:t>洪除涝工程，不属于</w:t>
            </w:r>
            <w:r>
              <w:rPr>
                <w:spacing w:val="-8"/>
                <w:sz w:val="21"/>
              </w:rPr>
              <w:t>左侧所列的控制和 限制类项目，符合。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07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single" w:sz="24" w:space="0" w:color="000000"/>
              <w:right w:val="single" w:sz="6" w:space="0" w:color="000000"/>
            </w:tcBorders>
          </w:tcPr>
          <w:p>
            <w:pPr>
              <w:rPr>
                <w:sz w:val="2"/>
                <w:szCs w:val="2"/>
              </w:rPr>
            </w:pPr>
          </w:p>
        </w:tc>
        <w:tc>
          <w:tcPr>
            <w:tcW w:w="1344" w:type="dxa"/>
            <w:vMerge/>
            <w:tcBorders>
              <w:top w:val="nil"/>
              <w:left w:val="single" w:sz="6" w:space="0" w:color="000000"/>
              <w:bottom w:val="single" w:sz="24" w:space="0" w:color="000000"/>
              <w:right w:val="single" w:sz="6" w:space="0" w:color="000000"/>
            </w:tcBorders>
          </w:tcPr>
          <w:p>
            <w:pPr>
              <w:rPr>
                <w:sz w:val="2"/>
                <w:szCs w:val="2"/>
              </w:rPr>
            </w:pPr>
          </w:p>
        </w:tc>
        <w:tc>
          <w:tcPr>
            <w:tcW w:w="540" w:type="dxa"/>
            <w:tcBorders>
              <w:top w:val="single" w:sz="6" w:space="0" w:color="000000"/>
              <w:left w:val="single" w:sz="6" w:space="0" w:color="000000"/>
              <w:bottom w:val="single" w:sz="24" w:space="0" w:color="000000"/>
            </w:tcBorders>
          </w:tcPr>
          <w:p>
            <w:pPr>
              <w:pStyle w:val="TableParagraph"/>
              <w:rPr>
                <w:sz w:val="20"/>
              </w:rPr>
            </w:pPr>
          </w:p>
          <w:p>
            <w:pPr>
              <w:pStyle w:val="TableParagraph"/>
              <w:spacing w:before="8"/>
              <w:rPr>
                <w:sz w:val="14"/>
              </w:rPr>
            </w:pPr>
          </w:p>
          <w:p>
            <w:pPr>
              <w:pStyle w:val="TableParagraph"/>
              <w:spacing w:line="278" w:lineRule="auto"/>
              <w:ind w:left="164" w:right="144"/>
              <w:jc w:val="both"/>
              <w:rPr>
                <w:sz w:val="21"/>
              </w:rPr>
            </w:pPr>
            <w:r>
              <w:rPr>
                <w:sz w:val="21"/>
              </w:rPr>
              <w:t>污染物排放管控</w:t>
            </w:r>
          </w:p>
        </w:tc>
        <w:tc>
          <w:tcPr>
            <w:tcW w:w="3354" w:type="dxa"/>
            <w:tcBorders>
              <w:top w:val="single" w:sz="6" w:space="0" w:color="000000"/>
              <w:bottom w:val="single" w:sz="24" w:space="0" w:color="000000"/>
              <w:right w:val="single" w:sz="6" w:space="0" w:color="000000"/>
            </w:tcBorders>
          </w:tcPr>
          <w:p>
            <w:pPr>
              <w:pStyle w:val="TableParagraph"/>
              <w:numPr>
                <w:ilvl w:val="0"/>
                <w:numId w:val="5"/>
              </w:numPr>
              <w:tabs>
                <w:tab w:val="left" w:pos="291"/>
              </w:tabs>
              <w:spacing w:before="0" w:after="0" w:line="243" w:lineRule="exact"/>
              <w:ind w:left="290" w:right="0" w:hanging="266"/>
              <w:jc w:val="left"/>
              <w:rPr>
                <w:sz w:val="21"/>
              </w:rPr>
            </w:pPr>
            <w:r>
              <w:rPr>
                <w:spacing w:val="-3"/>
                <w:sz w:val="21"/>
              </w:rPr>
              <w:t>执行《区域性大气污染物综合排</w:t>
            </w:r>
          </w:p>
          <w:p>
            <w:pPr>
              <w:pStyle w:val="TableParagraph"/>
              <w:spacing w:before="43" w:line="280" w:lineRule="auto"/>
              <w:ind w:left="90" w:right="57"/>
              <w:jc w:val="center"/>
              <w:rPr>
                <w:sz w:val="21"/>
              </w:rPr>
            </w:pPr>
            <w:r>
              <w:rPr>
                <w:sz w:val="21"/>
              </w:rPr>
              <w:t>放标准》（</w:t>
            </w:r>
            <w:r>
              <w:rPr>
                <w:rFonts w:ascii="Times New Roman" w:eastAsia="Times New Roman"/>
                <w:sz w:val="21"/>
              </w:rPr>
              <w:t>DB37/2376)</w:t>
            </w:r>
            <w:r>
              <w:rPr>
                <w:sz w:val="21"/>
              </w:rPr>
              <w:t>（包括有分区要求的行业标准）规定的重点控制区排放标准。</w:t>
            </w:r>
          </w:p>
          <w:p>
            <w:pPr>
              <w:pStyle w:val="TableParagraph"/>
              <w:numPr>
                <w:ilvl w:val="0"/>
                <w:numId w:val="5"/>
              </w:numPr>
              <w:tabs>
                <w:tab w:val="left" w:pos="291"/>
              </w:tabs>
              <w:spacing w:before="0" w:after="0" w:line="278" w:lineRule="auto"/>
              <w:ind w:left="111" w:right="79" w:hanging="5"/>
              <w:jc w:val="left"/>
              <w:rPr>
                <w:sz w:val="21"/>
              </w:rPr>
            </w:pPr>
            <w:r>
              <w:rPr>
                <w:spacing w:val="-10"/>
                <w:sz w:val="21"/>
              </w:rPr>
              <w:t xml:space="preserve">严格控制 </w:t>
            </w:r>
            <w:r>
              <w:rPr>
                <w:rFonts w:ascii="Times New Roman" w:eastAsia="Times New Roman"/>
                <w:sz w:val="21"/>
              </w:rPr>
              <w:t>VOCs</w:t>
            </w:r>
            <w:r>
              <w:rPr>
                <w:rFonts w:ascii="Times New Roman" w:eastAsia="Times New Roman"/>
                <w:spacing w:val="2"/>
                <w:sz w:val="21"/>
              </w:rPr>
              <w:t xml:space="preserve"> </w:t>
            </w:r>
            <w:r>
              <w:rPr>
                <w:spacing w:val="-3"/>
                <w:sz w:val="21"/>
              </w:rPr>
              <w:t>排放重点行业新</w:t>
            </w:r>
            <w:r>
              <w:rPr>
                <w:spacing w:val="-5"/>
                <w:sz w:val="21"/>
              </w:rPr>
              <w:t xml:space="preserve">增污染物排放量，单元内涉及挥 发性有机物排放的行业应严格遵 </w:t>
            </w:r>
            <w:r>
              <w:rPr>
                <w:spacing w:val="-7"/>
                <w:sz w:val="21"/>
              </w:rPr>
              <w:t>守山东省地方标准《挥发性有机物</w:t>
            </w:r>
            <w:r>
              <w:rPr>
                <w:spacing w:val="-1"/>
                <w:sz w:val="21"/>
              </w:rPr>
              <w:t>排放标准》</w:t>
            </w:r>
            <w:r>
              <w:rPr>
                <w:sz w:val="21"/>
              </w:rPr>
              <w:t>（</w:t>
            </w:r>
            <w:r>
              <w:rPr>
                <w:rFonts w:ascii="Times New Roman" w:eastAsia="Times New Roman"/>
                <w:sz w:val="21"/>
              </w:rPr>
              <w:t>DB37/ 2801</w:t>
            </w:r>
            <w:r>
              <w:rPr>
                <w:sz w:val="21"/>
              </w:rPr>
              <w:t>）。涉</w:t>
            </w:r>
          </w:p>
          <w:p>
            <w:pPr>
              <w:pStyle w:val="TableParagraph"/>
              <w:spacing w:before="1" w:line="266" w:lineRule="exact"/>
              <w:ind w:left="87" w:right="57"/>
              <w:jc w:val="center"/>
              <w:rPr>
                <w:sz w:val="21"/>
              </w:rPr>
            </w:pPr>
            <w:r>
              <w:rPr>
                <w:rFonts w:ascii="Times New Roman" w:eastAsia="Times New Roman"/>
                <w:sz w:val="21"/>
              </w:rPr>
              <w:t xml:space="preserve">VOCs </w:t>
            </w:r>
            <w:r>
              <w:rPr>
                <w:sz w:val="21"/>
              </w:rPr>
              <w:t>企业无组织排放控制执行</w:t>
            </w:r>
          </w:p>
        </w:tc>
        <w:tc>
          <w:tcPr>
            <w:tcW w:w="2009" w:type="dxa"/>
            <w:tcBorders>
              <w:top w:val="single" w:sz="6" w:space="0" w:color="000000"/>
              <w:left w:val="single" w:sz="6" w:space="0" w:color="000000"/>
              <w:bottom w:val="single" w:sz="24" w:space="0" w:color="000000"/>
              <w:right w:val="single" w:sz="12" w:space="0" w:color="000000"/>
            </w:tcBorders>
          </w:tcPr>
          <w:p>
            <w:pPr>
              <w:pStyle w:val="TableParagraph"/>
              <w:spacing w:before="2"/>
              <w:rPr>
                <w:sz w:val="18"/>
              </w:rPr>
            </w:pPr>
          </w:p>
          <w:p>
            <w:pPr>
              <w:pStyle w:val="TableParagraph"/>
              <w:spacing w:line="280" w:lineRule="auto"/>
              <w:ind w:left="116" w:right="182" w:hanging="1"/>
              <w:jc w:val="center"/>
              <w:rPr>
                <w:sz w:val="21"/>
              </w:rPr>
            </w:pPr>
            <w:r>
              <w:rPr>
                <w:spacing w:val="-1"/>
                <w:sz w:val="21"/>
              </w:rPr>
              <w:t>本项目为河湖整 治（</w:t>
            </w:r>
            <w:r>
              <w:rPr>
                <w:spacing w:val="-3"/>
                <w:sz w:val="21"/>
              </w:rPr>
              <w:t xml:space="preserve">不含农村塘 </w:t>
            </w:r>
            <w:r>
              <w:rPr>
                <w:spacing w:val="-4"/>
                <w:sz w:val="21"/>
              </w:rPr>
              <w:t>堰、水渠</w:t>
            </w:r>
            <w:r>
              <w:rPr>
                <w:sz w:val="21"/>
              </w:rPr>
              <w:t>）</w:t>
            </w:r>
            <w:r>
              <w:rPr>
                <w:spacing w:val="-6"/>
                <w:sz w:val="21"/>
              </w:rPr>
              <w:t>及防洪</w:t>
            </w:r>
            <w:r>
              <w:rPr>
                <w:spacing w:val="-4"/>
                <w:sz w:val="21"/>
              </w:rPr>
              <w:t>除涝工程，不属于</w:t>
            </w:r>
            <w:r>
              <w:rPr>
                <w:spacing w:val="-3"/>
                <w:sz w:val="21"/>
              </w:rPr>
              <w:t>工业建设项目，运</w:t>
            </w:r>
            <w:r>
              <w:rPr>
                <w:spacing w:val="-1"/>
                <w:sz w:val="21"/>
              </w:rPr>
              <w:t xml:space="preserve">营期不涉及大气 </w:t>
            </w:r>
            <w:r>
              <w:rPr>
                <w:spacing w:val="-2"/>
                <w:sz w:val="21"/>
              </w:rPr>
              <w:t>污染物排放。符 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spacing w:before="9"/>
        <w:rPr>
          <w:sz w:val="18"/>
        </w:rPr>
      </w:pPr>
    </w:p>
    <w:p>
      <w:pPr>
        <w:spacing w:before="60"/>
        <w:ind w:left="551" w:right="0" w:firstLine="0"/>
        <w:jc w:val="left"/>
        <w:rPr>
          <w:sz w:val="28"/>
        </w:rPr>
      </w:pPr>
      <w:r>
        <w:rPr>
          <w:sz w:val="28"/>
        </w:rPr>
        <w:t>—</w:t>
      </w:r>
      <w:r>
        <w:rPr>
          <w:sz w:val="26"/>
        </w:rPr>
        <w:t>15</w:t>
      </w:r>
      <w:r>
        <w:rPr>
          <w:sz w:val="28"/>
        </w:rPr>
        <w:t>—</w:t>
      </w:r>
    </w:p>
    <w:p>
      <w:pPr>
        <w:spacing w:after="0"/>
        <w:jc w:val="left"/>
        <w:rPr>
          <w:sz w:val="28"/>
        </w:rPr>
        <w:sectPr>
          <w:pgSz w:w="11910" w:h="16840"/>
          <w:pgMar w:top="1580" w:right="820" w:bottom="280" w:left="980" w:header="720" w:footer="720" w:gutter="0"/>
          <w:pgNumType w:start="20"/>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40"/>
        <w:gridCol w:w="3354"/>
        <w:gridCol w:w="2009"/>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5942"/>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thinThickMediumGap" w:sz="6"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thinThickMediumGap" w:sz="6" w:space="0" w:color="000000"/>
              <w:right w:val="single" w:sz="6" w:space="0" w:color="000000"/>
            </w:tcBorders>
          </w:tcPr>
          <w:p>
            <w:pPr>
              <w:pStyle w:val="TableParagraph"/>
              <w:rPr>
                <w:rFonts w:ascii="Times New Roman"/>
                <w:sz w:val="20"/>
              </w:rPr>
            </w:pPr>
          </w:p>
        </w:tc>
        <w:tc>
          <w:tcPr>
            <w:tcW w:w="540" w:type="dxa"/>
            <w:tcBorders>
              <w:top w:val="thinThickMediumGap" w:sz="6" w:space="0" w:color="000000"/>
              <w:left w:val="single" w:sz="6" w:space="0" w:color="000000"/>
              <w:bottom w:val="single" w:sz="6" w:space="0" w:color="000000"/>
            </w:tcBorders>
          </w:tcPr>
          <w:p>
            <w:pPr>
              <w:pStyle w:val="TableParagraph"/>
              <w:rPr>
                <w:rFonts w:ascii="Times New Roman"/>
                <w:sz w:val="20"/>
              </w:rPr>
            </w:pPr>
          </w:p>
        </w:tc>
        <w:tc>
          <w:tcPr>
            <w:tcW w:w="3354" w:type="dxa"/>
            <w:tcBorders>
              <w:top w:val="thinThickMediumGap" w:sz="6" w:space="0" w:color="000000"/>
              <w:bottom w:val="single" w:sz="6" w:space="0" w:color="000000"/>
              <w:right w:val="single" w:sz="6" w:space="0" w:color="000000"/>
            </w:tcBorders>
          </w:tcPr>
          <w:p>
            <w:pPr>
              <w:pStyle w:val="TableParagraph"/>
              <w:spacing w:line="278" w:lineRule="auto"/>
              <w:ind w:left="111" w:right="78" w:hanging="1"/>
              <w:jc w:val="center"/>
              <w:rPr>
                <w:sz w:val="21"/>
              </w:rPr>
            </w:pPr>
            <w:r>
              <w:rPr>
                <w:spacing w:val="-3"/>
                <w:sz w:val="21"/>
              </w:rPr>
              <w:t xml:space="preserve">《挥发性有机物无组织排放控制 </w:t>
            </w:r>
            <w:r>
              <w:rPr>
                <w:spacing w:val="-1"/>
                <w:sz w:val="21"/>
              </w:rPr>
              <w:t>标准</w:t>
            </w:r>
            <w:r>
              <w:rPr>
                <w:sz w:val="21"/>
              </w:rPr>
              <w:t>（</w:t>
            </w:r>
            <w:r>
              <w:rPr>
                <w:rFonts w:ascii="Times New Roman" w:eastAsia="Times New Roman"/>
                <w:sz w:val="21"/>
              </w:rPr>
              <w:t>GB37822</w:t>
            </w:r>
            <w:r>
              <w:rPr>
                <w:sz w:val="21"/>
              </w:rPr>
              <w:t>）</w:t>
            </w:r>
            <w:r>
              <w:rPr>
                <w:spacing w:val="-3"/>
                <w:sz w:val="21"/>
              </w:rPr>
              <w:t>》。玻璃钢、工</w:t>
            </w:r>
            <w:r>
              <w:rPr>
                <w:spacing w:val="-6"/>
                <w:sz w:val="21"/>
              </w:rPr>
              <w:t>业涂装等行业执行《山东省涉挥发</w:t>
            </w:r>
            <w:r>
              <w:rPr>
                <w:spacing w:val="-3"/>
                <w:sz w:val="21"/>
              </w:rPr>
              <w:t xml:space="preserve">性有机物企业分行业治理指导意 </w:t>
            </w:r>
            <w:r>
              <w:rPr>
                <w:spacing w:val="-6"/>
                <w:sz w:val="21"/>
              </w:rPr>
              <w:t>见》，推行源头替代、加强过程控</w:t>
            </w:r>
            <w:r>
              <w:rPr>
                <w:spacing w:val="-3"/>
                <w:sz w:val="21"/>
              </w:rPr>
              <w:t>制和末端治理，加强挥发性有机 物</w:t>
            </w:r>
            <w:r>
              <w:rPr>
                <w:rFonts w:ascii="Times New Roman" w:eastAsia="Times New Roman"/>
                <w:spacing w:val="-3"/>
                <w:sz w:val="21"/>
              </w:rPr>
              <w:t>(VOCs)</w:t>
            </w:r>
            <w:r>
              <w:rPr>
                <w:spacing w:val="-4"/>
                <w:sz w:val="21"/>
              </w:rPr>
              <w:t>废气收集与治理，建设</w:t>
            </w:r>
            <w:r>
              <w:rPr>
                <w:sz w:val="21"/>
              </w:rPr>
              <w:t>有效的废气收集系统和</w:t>
            </w:r>
            <w:r>
              <w:rPr>
                <w:rFonts w:ascii="Times New Roman" w:eastAsia="Times New Roman"/>
                <w:sz w:val="21"/>
              </w:rPr>
              <w:t>VOCs</w:t>
            </w:r>
            <w:r>
              <w:rPr>
                <w:rFonts w:ascii="Times New Roman" w:eastAsia="Times New Roman"/>
                <w:spacing w:val="4"/>
                <w:sz w:val="21"/>
              </w:rPr>
              <w:t xml:space="preserve"> </w:t>
            </w:r>
            <w:r>
              <w:rPr>
                <w:spacing w:val="-8"/>
                <w:sz w:val="21"/>
              </w:rPr>
              <w:t>处理</w:t>
            </w:r>
            <w:r>
              <w:rPr>
                <w:spacing w:val="5"/>
                <w:sz w:val="21"/>
              </w:rPr>
              <w:t>设施。重点排放源</w:t>
            </w:r>
            <w:r>
              <w:rPr>
                <w:rFonts w:ascii="Times New Roman" w:eastAsia="Times New Roman"/>
                <w:sz w:val="21"/>
              </w:rPr>
              <w:t>VOCs</w:t>
            </w:r>
            <w:r>
              <w:rPr>
                <w:rFonts w:ascii="Times New Roman" w:eastAsia="Times New Roman"/>
                <w:spacing w:val="4"/>
                <w:sz w:val="21"/>
              </w:rPr>
              <w:t xml:space="preserve"> </w:t>
            </w:r>
            <w:r>
              <w:rPr>
                <w:spacing w:val="-6"/>
                <w:sz w:val="21"/>
              </w:rPr>
              <w:t>处理效率</w:t>
            </w:r>
            <w:r>
              <w:rPr>
                <w:spacing w:val="-18"/>
                <w:sz w:val="21"/>
              </w:rPr>
              <w:t xml:space="preserve">达到 </w:t>
            </w:r>
            <w:r>
              <w:rPr>
                <w:rFonts w:ascii="Times New Roman" w:eastAsia="Times New Roman"/>
                <w:sz w:val="21"/>
              </w:rPr>
              <w:t>80%</w:t>
            </w:r>
            <w:r>
              <w:rPr>
                <w:sz w:val="21"/>
              </w:rPr>
              <w:t>以上。</w:t>
            </w:r>
          </w:p>
          <w:p>
            <w:pPr>
              <w:pStyle w:val="TableParagraph"/>
              <w:spacing w:before="9" w:line="280" w:lineRule="auto"/>
              <w:ind w:left="111" w:right="78" w:hanging="6"/>
              <w:jc w:val="center"/>
              <w:rPr>
                <w:sz w:val="21"/>
              </w:rPr>
            </w:pPr>
            <w:r>
              <w:rPr>
                <w:rFonts w:ascii="Times New Roman" w:eastAsia="Times New Roman"/>
                <w:sz w:val="21"/>
              </w:rPr>
              <w:t>3.</w:t>
            </w:r>
            <w:r>
              <w:rPr>
                <w:spacing w:val="-3"/>
                <w:sz w:val="21"/>
              </w:rPr>
              <w:t>执行《流域水污染物综合排放标</w:t>
            </w:r>
            <w:r>
              <w:rPr>
                <w:spacing w:val="-18"/>
                <w:sz w:val="21"/>
              </w:rPr>
              <w:t xml:space="preserve">准第 </w:t>
            </w:r>
            <w:r>
              <w:rPr>
                <w:rFonts w:ascii="Times New Roman" w:eastAsia="Times New Roman"/>
                <w:sz w:val="21"/>
              </w:rPr>
              <w:t xml:space="preserve">4 </w:t>
            </w:r>
            <w:r>
              <w:rPr>
                <w:spacing w:val="-11"/>
                <w:sz w:val="21"/>
              </w:rPr>
              <w:t>部分：海河流域》标准。排</w:t>
            </w:r>
            <w:r>
              <w:rPr>
                <w:spacing w:val="-2"/>
                <w:sz w:val="21"/>
              </w:rPr>
              <w:t>入集中污水处理设施的工业企</w:t>
            </w:r>
          </w:p>
          <w:p>
            <w:pPr>
              <w:pStyle w:val="TableParagraph"/>
              <w:spacing w:line="278" w:lineRule="auto"/>
              <w:ind w:left="212" w:right="179"/>
              <w:jc w:val="both"/>
              <w:rPr>
                <w:sz w:val="21"/>
              </w:rPr>
            </w:pPr>
            <w:r>
              <w:rPr>
                <w:sz w:val="21"/>
              </w:rPr>
              <w:t>业，所排废水经预处理后须达到集中处理要求。对影响集中污水处理设施出水稳定达标的企业进行生产工艺和污染治理设施升级改造，确保集中污水处理设施出</w:t>
            </w:r>
          </w:p>
          <w:p>
            <w:pPr>
              <w:pStyle w:val="TableParagraph"/>
              <w:spacing w:before="2"/>
              <w:ind w:left="88" w:right="57"/>
              <w:jc w:val="center"/>
              <w:rPr>
                <w:sz w:val="21"/>
              </w:rPr>
            </w:pPr>
            <w:r>
              <w:rPr>
                <w:sz w:val="21"/>
              </w:rPr>
              <w:t>水稳定达标。</w:t>
            </w:r>
          </w:p>
        </w:tc>
        <w:tc>
          <w:tcPr>
            <w:tcW w:w="2009" w:type="dxa"/>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716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655" w:type="dxa"/>
            <w:vMerge/>
            <w:tcBorders>
              <w:top w:val="nil"/>
              <w:left w:val="single" w:sz="12" w:space="0" w:color="000000"/>
              <w:bottom w:val="thinThickMediumGap" w:sz="6" w:space="0" w:color="000000"/>
              <w:right w:val="single" w:sz="6" w:space="0" w:color="000000"/>
            </w:tcBorders>
          </w:tcPr>
          <w:p>
            <w:pPr>
              <w:rPr>
                <w:sz w:val="2"/>
                <w:szCs w:val="2"/>
              </w:rPr>
            </w:pPr>
          </w:p>
        </w:tc>
        <w:tc>
          <w:tcPr>
            <w:tcW w:w="1344" w:type="dxa"/>
            <w:vMerge/>
            <w:tcBorders>
              <w:top w:val="nil"/>
              <w:left w:val="single" w:sz="6" w:space="0" w:color="000000"/>
              <w:bottom w:val="thinThickMediumGap" w:sz="6" w:space="0" w:color="000000"/>
              <w:right w:val="single" w:sz="6" w:space="0" w:color="000000"/>
            </w:tcBorders>
          </w:tcPr>
          <w:p>
            <w:pPr>
              <w:rPr>
                <w:sz w:val="2"/>
                <w:szCs w:val="2"/>
              </w:rPr>
            </w:pPr>
          </w:p>
        </w:tc>
        <w:tc>
          <w:tcPr>
            <w:tcW w:w="540" w:type="dxa"/>
            <w:tcBorders>
              <w:top w:val="single" w:sz="6" w:space="0" w:color="000000"/>
              <w:left w:val="single" w:sz="6" w:space="0" w:color="000000"/>
              <w:bottom w:val="thinThickMediumGap"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6"/>
              </w:rPr>
            </w:pPr>
          </w:p>
          <w:p>
            <w:pPr>
              <w:pStyle w:val="TableParagraph"/>
              <w:spacing w:line="278" w:lineRule="auto"/>
              <w:ind w:left="164" w:right="144"/>
              <w:jc w:val="both"/>
              <w:rPr>
                <w:sz w:val="21"/>
              </w:rPr>
            </w:pPr>
            <w:r>
              <w:rPr>
                <w:sz w:val="21"/>
              </w:rPr>
              <w:t>环境风险防控</w:t>
            </w:r>
          </w:p>
        </w:tc>
        <w:tc>
          <w:tcPr>
            <w:tcW w:w="3354" w:type="dxa"/>
            <w:tcBorders>
              <w:top w:val="single" w:sz="6" w:space="0" w:color="000000"/>
              <w:bottom w:val="thinThickMediumGap" w:sz="6" w:space="0" w:color="000000"/>
              <w:right w:val="single" w:sz="6" w:space="0" w:color="000000"/>
            </w:tcBorders>
          </w:tcPr>
          <w:p>
            <w:pPr>
              <w:pStyle w:val="TableParagraph"/>
              <w:numPr>
                <w:ilvl w:val="0"/>
                <w:numId w:val="6"/>
              </w:numPr>
              <w:tabs>
                <w:tab w:val="left" w:pos="291"/>
              </w:tabs>
              <w:spacing w:before="0" w:after="0" w:line="250" w:lineRule="exact"/>
              <w:ind w:left="290" w:right="0" w:hanging="266"/>
              <w:jc w:val="left"/>
              <w:rPr>
                <w:sz w:val="21"/>
              </w:rPr>
            </w:pPr>
            <w:r>
              <w:rPr>
                <w:spacing w:val="-3"/>
                <w:sz w:val="21"/>
              </w:rPr>
              <w:t>建立健全环境风险管控体系，编</w:t>
            </w:r>
          </w:p>
          <w:p>
            <w:pPr>
              <w:pStyle w:val="TableParagraph"/>
              <w:spacing w:before="43" w:line="278" w:lineRule="auto"/>
              <w:ind w:left="212" w:right="179"/>
              <w:jc w:val="center"/>
              <w:rPr>
                <w:sz w:val="21"/>
              </w:rPr>
            </w:pPr>
            <w:r>
              <w:rPr>
                <w:sz w:val="21"/>
              </w:rPr>
              <w:t>制应急预案，建设环境应急管理机构、专职环境救援机构；按照应急预案要求组织演练。</w:t>
            </w:r>
          </w:p>
          <w:p>
            <w:pPr>
              <w:pStyle w:val="TableParagraph"/>
              <w:numPr>
                <w:ilvl w:val="0"/>
                <w:numId w:val="6"/>
              </w:numPr>
              <w:tabs>
                <w:tab w:val="left" w:pos="291"/>
              </w:tabs>
              <w:spacing w:before="4" w:after="0" w:line="278" w:lineRule="auto"/>
              <w:ind w:left="130" w:right="103" w:firstLine="0"/>
              <w:jc w:val="left"/>
              <w:rPr>
                <w:sz w:val="21"/>
              </w:rPr>
            </w:pPr>
            <w:r>
              <w:rPr>
                <w:spacing w:val="-4"/>
                <w:sz w:val="21"/>
              </w:rPr>
              <w:t>涉及有毒有害气体的企业应制定</w:t>
            </w:r>
            <w:r>
              <w:rPr>
                <w:spacing w:val="-3"/>
                <w:sz w:val="21"/>
              </w:rPr>
              <w:t>并落实监测计划，开发区应具备</w:t>
            </w:r>
            <w:r>
              <w:rPr>
                <w:spacing w:val="-5"/>
                <w:sz w:val="21"/>
              </w:rPr>
              <w:t>相应的自行监测能力。</w:t>
            </w:r>
          </w:p>
          <w:p>
            <w:pPr>
              <w:pStyle w:val="TableParagraph"/>
              <w:numPr>
                <w:ilvl w:val="0"/>
                <w:numId w:val="6"/>
              </w:numPr>
              <w:tabs>
                <w:tab w:val="left" w:pos="291"/>
              </w:tabs>
              <w:spacing w:before="1" w:after="0" w:line="283" w:lineRule="auto"/>
              <w:ind w:left="130" w:right="103" w:firstLine="0"/>
              <w:jc w:val="left"/>
              <w:rPr>
                <w:sz w:val="21"/>
              </w:rPr>
            </w:pPr>
            <w:r>
              <w:rPr>
                <w:spacing w:val="-4"/>
                <w:sz w:val="21"/>
              </w:rPr>
              <w:t>按照应急预案要求配置污染物拦</w:t>
            </w:r>
            <w:r>
              <w:rPr>
                <w:spacing w:val="-2"/>
                <w:sz w:val="21"/>
              </w:rPr>
              <w:t>截、处置等应急物资。</w:t>
            </w:r>
          </w:p>
          <w:p>
            <w:pPr>
              <w:pStyle w:val="TableParagraph"/>
              <w:numPr>
                <w:ilvl w:val="0"/>
                <w:numId w:val="6"/>
              </w:numPr>
              <w:tabs>
                <w:tab w:val="left" w:pos="291"/>
              </w:tabs>
              <w:spacing w:before="0" w:after="0" w:line="278" w:lineRule="auto"/>
              <w:ind w:left="111" w:right="79" w:hanging="5"/>
              <w:jc w:val="left"/>
              <w:rPr>
                <w:sz w:val="21"/>
              </w:rPr>
            </w:pPr>
            <w:r>
              <w:rPr>
                <w:spacing w:val="-1"/>
                <w:sz w:val="21"/>
              </w:rPr>
              <w:t>环境高风险企业</w:t>
            </w:r>
            <w:r>
              <w:rPr>
                <w:spacing w:val="-5"/>
                <w:sz w:val="21"/>
              </w:rPr>
              <w:t>（</w:t>
            </w:r>
            <w:r>
              <w:rPr>
                <w:spacing w:val="-2"/>
                <w:sz w:val="21"/>
              </w:rPr>
              <w:t>《突发环境事</w:t>
            </w:r>
            <w:r>
              <w:rPr>
                <w:spacing w:val="-6"/>
                <w:sz w:val="21"/>
              </w:rPr>
              <w:t>件风险评估报告》中风险等级为较</w:t>
            </w:r>
            <w:r>
              <w:rPr>
                <w:spacing w:val="-1"/>
                <w:sz w:val="21"/>
              </w:rPr>
              <w:t>大或重大的企业</w:t>
            </w:r>
            <w:r>
              <w:rPr>
                <w:spacing w:val="-10"/>
                <w:sz w:val="21"/>
              </w:rPr>
              <w:t>）</w:t>
            </w:r>
            <w:r>
              <w:rPr>
                <w:spacing w:val="-5"/>
                <w:sz w:val="21"/>
              </w:rPr>
              <w:t>应向保险公司投</w:t>
            </w:r>
            <w:r>
              <w:rPr>
                <w:spacing w:val="-3"/>
                <w:sz w:val="21"/>
              </w:rPr>
              <w:t xml:space="preserve">保环境污染责任保险。主动公开 </w:t>
            </w:r>
            <w:r>
              <w:rPr>
                <w:spacing w:val="-4"/>
                <w:sz w:val="21"/>
              </w:rPr>
              <w:t>生态环境相关信息。</w:t>
            </w:r>
          </w:p>
          <w:p>
            <w:pPr>
              <w:pStyle w:val="TableParagraph"/>
              <w:numPr>
                <w:ilvl w:val="0"/>
                <w:numId w:val="6"/>
              </w:numPr>
              <w:tabs>
                <w:tab w:val="left" w:pos="291"/>
              </w:tabs>
              <w:spacing w:before="0" w:after="0" w:line="280" w:lineRule="auto"/>
              <w:ind w:left="111" w:right="79" w:hanging="5"/>
              <w:jc w:val="left"/>
              <w:rPr>
                <w:sz w:val="21"/>
              </w:rPr>
            </w:pPr>
            <w:r>
              <w:rPr>
                <w:spacing w:val="-3"/>
                <w:sz w:val="21"/>
              </w:rPr>
              <w:t>开发区内企业存在生产、储存装</w:t>
            </w:r>
            <w:r>
              <w:rPr>
                <w:spacing w:val="-5"/>
                <w:sz w:val="21"/>
              </w:rPr>
              <w:t xml:space="preserve">置与学校、医院、居民集中区等 敏感点的距离应当符合安全、卫 生防护等有关要求。危险化学品 生产和储存装置安全防护距离测 </w:t>
            </w:r>
            <w:r>
              <w:rPr>
                <w:spacing w:val="-6"/>
                <w:sz w:val="21"/>
              </w:rPr>
              <w:t>算参考《危险化学品生产和储存装</w:t>
            </w:r>
            <w:r>
              <w:rPr>
                <w:spacing w:val="-3"/>
                <w:sz w:val="21"/>
              </w:rPr>
              <w:t>置外部安全防护距离确定方法》</w:t>
            </w:r>
          </w:p>
          <w:p>
            <w:pPr>
              <w:pStyle w:val="TableParagraph"/>
              <w:spacing w:line="259" w:lineRule="exact"/>
              <w:ind w:left="83" w:right="57"/>
              <w:jc w:val="center"/>
              <w:rPr>
                <w:sz w:val="21"/>
              </w:rPr>
            </w:pPr>
            <w:r>
              <w:rPr>
                <w:sz w:val="21"/>
              </w:rPr>
              <w:t>（</w:t>
            </w:r>
            <w:r>
              <w:rPr>
                <w:rFonts w:ascii="Times New Roman" w:eastAsia="Times New Roman"/>
                <w:sz w:val="21"/>
              </w:rPr>
              <w:t>GB/T37243-2019)</w:t>
            </w:r>
            <w:r>
              <w:rPr>
                <w:sz w:val="21"/>
              </w:rPr>
              <w:t>。</w:t>
            </w:r>
          </w:p>
          <w:p>
            <w:pPr>
              <w:pStyle w:val="TableParagraph"/>
              <w:numPr>
                <w:ilvl w:val="0"/>
                <w:numId w:val="6"/>
              </w:numPr>
              <w:tabs>
                <w:tab w:val="left" w:pos="291"/>
              </w:tabs>
              <w:spacing w:before="41" w:after="0" w:line="240" w:lineRule="auto"/>
              <w:ind w:left="290" w:right="0" w:hanging="266"/>
              <w:jc w:val="left"/>
              <w:rPr>
                <w:sz w:val="21"/>
              </w:rPr>
            </w:pPr>
            <w:r>
              <w:rPr>
                <w:spacing w:val="-3"/>
                <w:sz w:val="21"/>
              </w:rPr>
              <w:t>对从业和管理人员进行环境和安</w:t>
            </w:r>
          </w:p>
        </w:tc>
        <w:tc>
          <w:tcPr>
            <w:tcW w:w="2009" w:type="dxa"/>
            <w:tcBorders>
              <w:top w:val="single" w:sz="6" w:space="0" w:color="000000"/>
              <w:left w:val="single" w:sz="6" w:space="0" w:color="000000"/>
              <w:bottom w:val="thinThickMediumGap" w:sz="6" w:space="0" w:color="000000"/>
              <w:right w:val="single" w:sz="12"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14"/>
              </w:rPr>
            </w:pPr>
          </w:p>
          <w:p>
            <w:pPr>
              <w:pStyle w:val="TableParagraph"/>
              <w:spacing w:before="1"/>
              <w:ind w:left="109" w:right="72"/>
              <w:jc w:val="center"/>
              <w:rPr>
                <w:sz w:val="21"/>
              </w:rPr>
            </w:pPr>
            <w:r>
              <w:rPr>
                <w:sz w:val="21"/>
              </w:rPr>
              <w:t>本项目为河湖整治</w:t>
            </w:r>
          </w:p>
          <w:p>
            <w:pPr>
              <w:pStyle w:val="TableParagraph"/>
              <w:spacing w:before="43" w:line="278" w:lineRule="auto"/>
              <w:ind w:left="116" w:right="72" w:hanging="1"/>
              <w:jc w:val="center"/>
              <w:rPr>
                <w:sz w:val="21"/>
              </w:rPr>
            </w:pPr>
            <w:r>
              <w:rPr>
                <w:sz w:val="21"/>
              </w:rPr>
              <w:t>（</w:t>
            </w:r>
            <w:r>
              <w:rPr>
                <w:spacing w:val="-17"/>
                <w:sz w:val="21"/>
              </w:rPr>
              <w:t>不含农村塘堰、水</w:t>
            </w:r>
            <w:r>
              <w:rPr>
                <w:sz w:val="21"/>
              </w:rPr>
              <w:t>渠）</w:t>
            </w:r>
            <w:r>
              <w:rPr>
                <w:spacing w:val="-2"/>
                <w:sz w:val="21"/>
              </w:rPr>
              <w:t>及防洪除涝工</w:t>
            </w:r>
            <w:r>
              <w:rPr>
                <w:spacing w:val="-16"/>
                <w:sz w:val="21"/>
              </w:rPr>
              <w:t>程，不属于工业建设项目，运营期不涉及</w:t>
            </w:r>
            <w:r>
              <w:rPr>
                <w:spacing w:val="-15"/>
                <w:sz w:val="21"/>
              </w:rPr>
              <w:t>大气污染物排放。符</w:t>
            </w:r>
            <w:r>
              <w:rPr>
                <w:sz w:val="21"/>
              </w:rPr>
              <w:t>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spacing w:before="2"/>
      </w:pPr>
    </w:p>
    <w:p>
      <w:pPr>
        <w:spacing w:before="59"/>
        <w:ind w:left="0" w:right="705" w:firstLine="0"/>
        <w:jc w:val="right"/>
        <w:rPr>
          <w:sz w:val="28"/>
        </w:rPr>
      </w:pPr>
      <w:r>
        <w:rPr>
          <w:sz w:val="28"/>
        </w:rPr>
        <w:t>—</w:t>
      </w:r>
      <w:r>
        <w:rPr>
          <w:sz w:val="26"/>
        </w:rPr>
        <w:t>16</w:t>
      </w:r>
      <w:r>
        <w:rPr>
          <w:sz w:val="28"/>
        </w:rPr>
        <w:t>—</w:t>
      </w:r>
    </w:p>
    <w:p>
      <w:pPr>
        <w:spacing w:after="0"/>
        <w:jc w:val="right"/>
        <w:rPr>
          <w:sz w:val="28"/>
        </w:rPr>
        <w:sectPr>
          <w:pgSz w:w="11910" w:h="16840"/>
          <w:pgMar w:top="1580" w:right="820" w:bottom="280" w:left="980" w:header="720" w:footer="720" w:gutter="0"/>
          <w:pgNumType w:start="21"/>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655"/>
        <w:gridCol w:w="1344"/>
        <w:gridCol w:w="540"/>
        <w:gridCol w:w="1862"/>
        <w:gridCol w:w="1491"/>
        <w:gridCol w:w="1246"/>
        <w:gridCol w:w="763"/>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249"/>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bottom w:val="nil"/>
              <w:right w:val="single" w:sz="12" w:space="0" w:color="000000"/>
            </w:tcBorders>
          </w:tcPr>
          <w:p>
            <w:pPr>
              <w:pStyle w:val="TableParagraph"/>
              <w:rPr>
                <w:rFonts w:ascii="Times New Roman"/>
                <w:sz w:val="20"/>
              </w:rPr>
            </w:pPr>
          </w:p>
        </w:tc>
        <w:tc>
          <w:tcPr>
            <w:tcW w:w="655" w:type="dxa"/>
            <w:vMerge w:val="restart"/>
            <w:tcBorders>
              <w:top w:val="thinThickMediumGap" w:sz="6" w:space="0" w:color="000000"/>
              <w:left w:val="single" w:sz="12" w:space="0" w:color="000000"/>
              <w:bottom w:val="single" w:sz="12" w:space="0" w:color="000000"/>
              <w:right w:val="single" w:sz="6" w:space="0" w:color="000000"/>
            </w:tcBorders>
          </w:tcPr>
          <w:p>
            <w:pPr>
              <w:pStyle w:val="TableParagraph"/>
              <w:rPr>
                <w:rFonts w:ascii="Times New Roman"/>
                <w:sz w:val="20"/>
              </w:rPr>
            </w:pPr>
          </w:p>
        </w:tc>
        <w:tc>
          <w:tcPr>
            <w:tcW w:w="1344" w:type="dxa"/>
            <w:vMerge w:val="restart"/>
            <w:tcBorders>
              <w:top w:val="thinThickMediumGap" w:sz="6" w:space="0" w:color="000000"/>
              <w:left w:val="single" w:sz="6" w:space="0" w:color="000000"/>
              <w:bottom w:val="single" w:sz="12" w:space="0" w:color="000000"/>
              <w:right w:val="single" w:sz="6" w:space="0" w:color="000000"/>
            </w:tcBorders>
          </w:tcPr>
          <w:p>
            <w:pPr>
              <w:pStyle w:val="TableParagraph"/>
              <w:rPr>
                <w:rFonts w:ascii="Times New Roman"/>
                <w:sz w:val="20"/>
              </w:rPr>
            </w:pPr>
          </w:p>
        </w:tc>
        <w:tc>
          <w:tcPr>
            <w:tcW w:w="540" w:type="dxa"/>
            <w:tcBorders>
              <w:top w:val="thinThickMediumGap" w:sz="6" w:space="0" w:color="000000"/>
              <w:left w:val="single" w:sz="6" w:space="0" w:color="000000"/>
              <w:bottom w:val="single" w:sz="6" w:space="0" w:color="000000"/>
            </w:tcBorders>
          </w:tcPr>
          <w:p>
            <w:pPr>
              <w:pStyle w:val="TableParagraph"/>
              <w:rPr>
                <w:rFonts w:ascii="Times New Roman"/>
                <w:sz w:val="20"/>
              </w:rPr>
            </w:pPr>
          </w:p>
        </w:tc>
        <w:tc>
          <w:tcPr>
            <w:tcW w:w="3353" w:type="dxa"/>
            <w:gridSpan w:val="2"/>
            <w:tcBorders>
              <w:top w:val="thinThickMediumGap" w:sz="6" w:space="0" w:color="000000"/>
              <w:bottom w:val="single" w:sz="6" w:space="0" w:color="000000"/>
              <w:right w:val="single" w:sz="6" w:space="0" w:color="000000"/>
            </w:tcBorders>
          </w:tcPr>
          <w:p>
            <w:pPr>
              <w:pStyle w:val="TableParagraph"/>
              <w:spacing w:line="278" w:lineRule="auto"/>
              <w:ind w:left="212" w:right="178"/>
              <w:jc w:val="both"/>
              <w:rPr>
                <w:sz w:val="21"/>
              </w:rPr>
            </w:pPr>
            <w:r>
              <w:rPr>
                <w:sz w:val="21"/>
              </w:rPr>
              <w:t>全专业教育，提高环境防控和安全意识以及技术素养，形成与园区环境和安全风险相匹配的管理</w:t>
            </w:r>
          </w:p>
          <w:p>
            <w:pPr>
              <w:pStyle w:val="TableParagraph"/>
              <w:spacing w:before="5"/>
              <w:ind w:left="841"/>
              <w:rPr>
                <w:sz w:val="21"/>
              </w:rPr>
            </w:pPr>
            <w:r>
              <w:rPr>
                <w:sz w:val="21"/>
              </w:rPr>
              <w:t>能力和管理水平。</w:t>
            </w:r>
          </w:p>
        </w:tc>
        <w:tc>
          <w:tcPr>
            <w:tcW w:w="2009" w:type="dxa"/>
            <w:gridSpan w:val="2"/>
            <w:tcBorders>
              <w:top w:val="thinThickMediumGap" w:sz="6" w:space="0" w:color="000000"/>
              <w:left w:val="single" w:sz="6"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375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655" w:type="dxa"/>
            <w:vMerge/>
            <w:tcBorders>
              <w:top w:val="nil"/>
              <w:left w:val="single" w:sz="12" w:space="0" w:color="000000"/>
              <w:bottom w:val="single" w:sz="12" w:space="0" w:color="000000"/>
              <w:right w:val="single" w:sz="6" w:space="0" w:color="000000"/>
            </w:tcBorders>
          </w:tcPr>
          <w:p>
            <w:pPr>
              <w:rPr>
                <w:sz w:val="2"/>
                <w:szCs w:val="2"/>
              </w:rPr>
            </w:pPr>
          </w:p>
        </w:tc>
        <w:tc>
          <w:tcPr>
            <w:tcW w:w="1344" w:type="dxa"/>
            <w:vMerge/>
            <w:tcBorders>
              <w:top w:val="nil"/>
              <w:left w:val="single" w:sz="6" w:space="0" w:color="000000"/>
              <w:bottom w:val="single" w:sz="12" w:space="0" w:color="000000"/>
              <w:right w:val="single" w:sz="6" w:space="0" w:color="000000"/>
            </w:tcBorders>
          </w:tcPr>
          <w:p>
            <w:pPr>
              <w:rPr>
                <w:sz w:val="2"/>
                <w:szCs w:val="2"/>
              </w:rPr>
            </w:pPr>
          </w:p>
        </w:tc>
        <w:tc>
          <w:tcPr>
            <w:tcW w:w="540" w:type="dxa"/>
            <w:tcBorders>
              <w:top w:val="single" w:sz="6" w:space="0" w:color="000000"/>
              <w:left w:val="single" w:sz="6" w:space="0" w:color="000000"/>
              <w:bottom w:val="single" w:sz="12" w:space="0" w:color="000000"/>
            </w:tcBorders>
          </w:tcPr>
          <w:p>
            <w:pPr>
              <w:pStyle w:val="TableParagraph"/>
              <w:rPr>
                <w:sz w:val="20"/>
              </w:rPr>
            </w:pPr>
          </w:p>
          <w:p>
            <w:pPr>
              <w:pStyle w:val="TableParagraph"/>
              <w:spacing w:before="10"/>
              <w:rPr>
                <w:sz w:val="27"/>
              </w:rPr>
            </w:pPr>
          </w:p>
          <w:p>
            <w:pPr>
              <w:pStyle w:val="TableParagraph"/>
              <w:spacing w:line="278" w:lineRule="auto"/>
              <w:ind w:left="164" w:right="144"/>
              <w:jc w:val="both"/>
              <w:rPr>
                <w:sz w:val="21"/>
              </w:rPr>
            </w:pPr>
            <w:r>
              <w:rPr>
                <w:sz w:val="21"/>
              </w:rPr>
              <w:t>资源开发效率要求</w:t>
            </w:r>
          </w:p>
        </w:tc>
        <w:tc>
          <w:tcPr>
            <w:tcW w:w="3353" w:type="dxa"/>
            <w:gridSpan w:val="2"/>
            <w:tcBorders>
              <w:top w:val="single" w:sz="6" w:space="0" w:color="000000"/>
              <w:bottom w:val="single" w:sz="12" w:space="0" w:color="000000"/>
              <w:right w:val="single" w:sz="6" w:space="0" w:color="000000"/>
            </w:tcBorders>
          </w:tcPr>
          <w:p>
            <w:pPr>
              <w:pStyle w:val="TableParagraph"/>
              <w:numPr>
                <w:ilvl w:val="0"/>
                <w:numId w:val="7"/>
              </w:numPr>
              <w:tabs>
                <w:tab w:val="left" w:pos="291"/>
              </w:tabs>
              <w:spacing w:before="0" w:after="0" w:line="280" w:lineRule="auto"/>
              <w:ind w:left="130" w:right="102" w:firstLine="0"/>
              <w:jc w:val="left"/>
              <w:rPr>
                <w:sz w:val="21"/>
              </w:rPr>
            </w:pPr>
            <w:r>
              <w:rPr>
                <w:spacing w:val="-4"/>
                <w:sz w:val="21"/>
              </w:rPr>
              <w:t>现有高耗水行业水资源消耗强度</w:t>
            </w:r>
            <w:r>
              <w:rPr>
                <w:spacing w:val="-3"/>
                <w:sz w:val="21"/>
              </w:rPr>
              <w:t>和污染物排放水平应要达到国内</w:t>
            </w:r>
            <w:r>
              <w:rPr>
                <w:spacing w:val="-5"/>
                <w:sz w:val="21"/>
              </w:rPr>
              <w:t>同行先进水平，落后工艺限期进行升级改造。</w:t>
            </w:r>
          </w:p>
          <w:p>
            <w:pPr>
              <w:pStyle w:val="TableParagraph"/>
              <w:numPr>
                <w:ilvl w:val="0"/>
                <w:numId w:val="7"/>
              </w:numPr>
              <w:tabs>
                <w:tab w:val="left" w:pos="396"/>
              </w:tabs>
              <w:spacing w:before="0" w:after="0" w:line="263" w:lineRule="exact"/>
              <w:ind w:left="395" w:right="0" w:hanging="370"/>
              <w:jc w:val="left"/>
              <w:rPr>
                <w:sz w:val="21"/>
              </w:rPr>
            </w:pPr>
            <w:r>
              <w:rPr>
                <w:spacing w:val="-3"/>
                <w:sz w:val="21"/>
              </w:rPr>
              <w:t>推进重点企业清洁生产审核。</w:t>
            </w:r>
          </w:p>
          <w:p>
            <w:pPr>
              <w:pStyle w:val="TableParagraph"/>
              <w:numPr>
                <w:ilvl w:val="0"/>
                <w:numId w:val="7"/>
              </w:numPr>
              <w:tabs>
                <w:tab w:val="left" w:pos="291"/>
              </w:tabs>
              <w:spacing w:before="31" w:after="0" w:line="280" w:lineRule="auto"/>
              <w:ind w:left="130" w:right="102" w:firstLine="0"/>
              <w:jc w:val="left"/>
              <w:rPr>
                <w:sz w:val="21"/>
              </w:rPr>
            </w:pPr>
            <w:r>
              <w:rPr>
                <w:spacing w:val="-4"/>
                <w:sz w:val="21"/>
              </w:rPr>
              <w:t>提高节水型企业比例，提高工业</w:t>
            </w:r>
            <w:r>
              <w:rPr>
                <w:spacing w:val="-3"/>
                <w:sz w:val="21"/>
              </w:rPr>
              <w:t>用水重复利用率，提高再生水利</w:t>
            </w:r>
            <w:r>
              <w:rPr>
                <w:spacing w:val="-5"/>
                <w:sz w:val="21"/>
              </w:rPr>
              <w:t>用率，降低万元工业增加值新鲜水消耗量。</w:t>
            </w:r>
          </w:p>
          <w:p>
            <w:pPr>
              <w:pStyle w:val="TableParagraph"/>
              <w:numPr>
                <w:ilvl w:val="0"/>
                <w:numId w:val="7"/>
              </w:numPr>
              <w:tabs>
                <w:tab w:val="left" w:pos="396"/>
              </w:tabs>
              <w:spacing w:before="0" w:after="0" w:line="278" w:lineRule="auto"/>
              <w:ind w:left="236" w:right="207" w:firstLine="0"/>
              <w:jc w:val="left"/>
              <w:rPr>
                <w:sz w:val="21"/>
              </w:rPr>
            </w:pPr>
            <w:r>
              <w:rPr>
                <w:spacing w:val="-5"/>
                <w:sz w:val="21"/>
              </w:rPr>
              <w:t>开展国家生态工业示范园区建</w:t>
            </w:r>
            <w:r>
              <w:rPr>
                <w:sz w:val="21"/>
              </w:rPr>
              <w:t>设。</w:t>
            </w:r>
          </w:p>
          <w:p>
            <w:pPr>
              <w:pStyle w:val="TableParagraph"/>
              <w:numPr>
                <w:ilvl w:val="0"/>
                <w:numId w:val="7"/>
              </w:numPr>
              <w:tabs>
                <w:tab w:val="left" w:pos="396"/>
              </w:tabs>
              <w:spacing w:before="0" w:after="0" w:line="240" w:lineRule="auto"/>
              <w:ind w:left="395" w:right="0" w:hanging="370"/>
              <w:jc w:val="left"/>
              <w:rPr>
                <w:sz w:val="21"/>
              </w:rPr>
            </w:pPr>
            <w:r>
              <w:rPr>
                <w:spacing w:val="-3"/>
                <w:sz w:val="21"/>
              </w:rPr>
              <w:t>执行高污染燃料禁燃区要求。</w:t>
            </w:r>
          </w:p>
        </w:tc>
        <w:tc>
          <w:tcPr>
            <w:tcW w:w="2009" w:type="dxa"/>
            <w:gridSpan w:val="2"/>
            <w:tcBorders>
              <w:top w:val="single" w:sz="6" w:space="0" w:color="000000"/>
              <w:left w:val="single" w:sz="6" w:space="0" w:color="000000"/>
              <w:bottom w:val="single" w:sz="12" w:space="0" w:color="000000"/>
              <w:right w:val="single" w:sz="12" w:space="0" w:color="000000"/>
            </w:tcBorders>
          </w:tcPr>
          <w:p>
            <w:pPr>
              <w:pStyle w:val="TableParagraph"/>
              <w:rPr>
                <w:sz w:val="20"/>
              </w:rPr>
            </w:pPr>
          </w:p>
          <w:p>
            <w:pPr>
              <w:pStyle w:val="TableParagraph"/>
              <w:spacing w:before="10"/>
              <w:rPr>
                <w:sz w:val="27"/>
              </w:rPr>
            </w:pPr>
          </w:p>
          <w:p>
            <w:pPr>
              <w:pStyle w:val="TableParagraph"/>
              <w:ind w:left="111" w:right="72"/>
              <w:jc w:val="center"/>
              <w:rPr>
                <w:sz w:val="21"/>
              </w:rPr>
            </w:pPr>
            <w:r>
              <w:rPr>
                <w:sz w:val="21"/>
              </w:rPr>
              <w:t>本项目为河湖整治</w:t>
            </w:r>
          </w:p>
          <w:p>
            <w:pPr>
              <w:pStyle w:val="TableParagraph"/>
              <w:spacing w:before="48" w:line="278" w:lineRule="auto"/>
              <w:ind w:left="117" w:right="71"/>
              <w:jc w:val="center"/>
              <w:rPr>
                <w:sz w:val="21"/>
              </w:rPr>
            </w:pPr>
            <w:r>
              <w:rPr>
                <w:sz w:val="21"/>
              </w:rPr>
              <w:t>（</w:t>
            </w:r>
            <w:r>
              <w:rPr>
                <w:spacing w:val="-17"/>
                <w:sz w:val="21"/>
              </w:rPr>
              <w:t>不含农村塘堰、水</w:t>
            </w:r>
            <w:r>
              <w:rPr>
                <w:sz w:val="21"/>
              </w:rPr>
              <w:t>渠）</w:t>
            </w:r>
            <w:r>
              <w:rPr>
                <w:spacing w:val="-2"/>
                <w:sz w:val="21"/>
              </w:rPr>
              <w:t>及防洪除涝工</w:t>
            </w:r>
            <w:r>
              <w:rPr>
                <w:spacing w:val="-16"/>
                <w:sz w:val="21"/>
              </w:rPr>
              <w:t>程，运营期不涉及污染物排放，且项目的</w:t>
            </w:r>
            <w:r>
              <w:rPr>
                <w:spacing w:val="-1"/>
                <w:sz w:val="21"/>
              </w:rPr>
              <w:t>实施有利于区域防</w:t>
            </w:r>
            <w:r>
              <w:rPr>
                <w:spacing w:val="-2"/>
                <w:sz w:val="21"/>
              </w:rPr>
              <w:t>洪能力和绿化景观</w:t>
            </w:r>
            <w:r>
              <w:rPr>
                <w:spacing w:val="-3"/>
                <w:sz w:val="21"/>
              </w:rPr>
              <w:t>提升。符合。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4401"/>
        </w:trPr>
        <w:tc>
          <w:tcPr>
            <w:tcW w:w="725" w:type="dxa"/>
            <w:vMerge/>
            <w:tcBorders>
              <w:top w:val="nil"/>
              <w:right w:val="single" w:sz="4" w:space="0" w:color="000000"/>
            </w:tcBorders>
          </w:tcPr>
          <w:p>
            <w:pPr>
              <w:rPr>
                <w:sz w:val="2"/>
                <w:szCs w:val="2"/>
              </w:rPr>
            </w:pPr>
          </w:p>
        </w:tc>
        <w:tc>
          <w:tcPr>
            <w:tcW w:w="8146" w:type="dxa"/>
            <w:gridSpan w:val="9"/>
            <w:tcBorders>
              <w:top w:val="single" w:sz="12" w:space="0" w:color="000000"/>
              <w:left w:val="single" w:sz="4" w:space="0" w:color="000000"/>
              <w:bottom w:val="single" w:sz="12" w:space="0" w:color="000000"/>
            </w:tcBorders>
          </w:tcPr>
          <w:p>
            <w:pPr>
              <w:pStyle w:val="TableParagraph"/>
              <w:spacing w:before="119" w:line="364" w:lineRule="auto"/>
              <w:ind w:left="110" w:right="-44" w:firstLine="480"/>
              <w:rPr>
                <w:sz w:val="24"/>
              </w:rPr>
            </w:pPr>
            <w:r>
              <w:rPr>
                <w:spacing w:val="-10"/>
                <w:sz w:val="24"/>
              </w:rPr>
              <w:t>综上所述，拟建项目符合《德州市人民政府关于印发德州市“三线一单” 生态环境分区管控方案的通知》（德政字</w:t>
            </w:r>
            <w:r>
              <w:rPr>
                <w:rFonts w:ascii="Times New Roman" w:eastAsia="Times New Roman" w:hAnsi="Times New Roman"/>
                <w:spacing w:val="-10"/>
                <w:sz w:val="24"/>
              </w:rPr>
              <w:t>[2021]19</w:t>
            </w:r>
            <w:r>
              <w:rPr>
                <w:rFonts w:ascii="Times New Roman" w:eastAsia="Times New Roman" w:hAnsi="Times New Roman"/>
                <w:spacing w:val="31"/>
                <w:sz w:val="24"/>
              </w:rPr>
              <w:t xml:space="preserve"> </w:t>
            </w:r>
            <w:r>
              <w:rPr>
                <w:sz w:val="24"/>
              </w:rPr>
              <w:t>号）及德州市生态环境保</w:t>
            </w:r>
            <w:r>
              <w:rPr>
                <w:spacing w:val="-7"/>
                <w:sz w:val="24"/>
              </w:rPr>
              <w:t xml:space="preserve">护委员会办公室关于印发《德州市“三线一单”生态环境分区管控方案 </w:t>
            </w:r>
            <w:r>
              <w:rPr>
                <w:rFonts w:ascii="Times New Roman" w:eastAsia="Times New Roman" w:hAnsi="Times New Roman"/>
                <w:sz w:val="24"/>
              </w:rPr>
              <w:t xml:space="preserve">2022 </w:t>
            </w:r>
            <w:r>
              <w:rPr>
                <w:sz w:val="24"/>
              </w:rPr>
              <w:t>年度更新内容》的通知（德环委办字【</w:t>
            </w:r>
            <w:r>
              <w:rPr>
                <w:rFonts w:ascii="Times New Roman" w:eastAsia="Times New Roman" w:hAnsi="Times New Roman"/>
                <w:sz w:val="24"/>
              </w:rPr>
              <w:t>2023</w:t>
            </w:r>
            <w:r>
              <w:rPr>
                <w:sz w:val="24"/>
              </w:rPr>
              <w:t>】</w:t>
            </w:r>
            <w:r>
              <w:rPr>
                <w:rFonts w:ascii="Times New Roman" w:eastAsia="Times New Roman" w:hAnsi="Times New Roman"/>
                <w:sz w:val="24"/>
              </w:rPr>
              <w:t>8</w:t>
            </w:r>
            <w:r>
              <w:rPr>
                <w:rFonts w:ascii="Times New Roman" w:eastAsia="Times New Roman" w:hAnsi="Times New Roman"/>
                <w:spacing w:val="-3"/>
                <w:sz w:val="24"/>
              </w:rPr>
              <w:t xml:space="preserve"> </w:t>
            </w:r>
            <w:r>
              <w:rPr>
                <w:sz w:val="24"/>
              </w:rPr>
              <w:t>号）相关要求。</w:t>
            </w:r>
          </w:p>
          <w:p>
            <w:pPr>
              <w:pStyle w:val="TableParagraph"/>
              <w:spacing w:line="362" w:lineRule="auto"/>
              <w:ind w:left="110" w:right="77" w:firstLine="480"/>
              <w:rPr>
                <w:b/>
                <w:sz w:val="24"/>
              </w:rPr>
            </w:pPr>
            <w:r>
              <w:rPr>
                <w:rFonts w:ascii="Times New Roman" w:eastAsia="Times New Roman"/>
                <w:b/>
                <w:spacing w:val="4"/>
                <w:w w:val="95"/>
                <w:sz w:val="24"/>
              </w:rPr>
              <w:t>3</w:t>
            </w:r>
            <w:r>
              <w:rPr>
                <w:b/>
                <w:spacing w:val="4"/>
                <w:w w:val="95"/>
                <w:sz w:val="24"/>
              </w:rPr>
              <w:t>、与水利建设项目（</w:t>
            </w:r>
            <w:r>
              <w:rPr>
                <w:b/>
                <w:spacing w:val="1"/>
                <w:w w:val="95"/>
                <w:sz w:val="24"/>
              </w:rPr>
              <w:t>河湖整治与防洪除涝工程</w:t>
            </w:r>
            <w:r>
              <w:rPr>
                <w:b/>
                <w:spacing w:val="4"/>
                <w:w w:val="95"/>
                <w:sz w:val="24"/>
              </w:rPr>
              <w:t xml:space="preserve">）环境影响评价文件审  </w:t>
            </w:r>
            <w:r>
              <w:rPr>
                <w:b/>
                <w:spacing w:val="1"/>
                <w:sz w:val="24"/>
              </w:rPr>
              <w:t>批原则</w:t>
            </w:r>
            <w:r>
              <w:rPr>
                <w:b/>
                <w:sz w:val="24"/>
              </w:rPr>
              <w:t>（试行）相符性分析</w:t>
            </w:r>
          </w:p>
          <w:p>
            <w:pPr>
              <w:pStyle w:val="TableParagraph"/>
              <w:spacing w:before="6" w:line="362" w:lineRule="auto"/>
              <w:ind w:left="110" w:right="89" w:firstLine="480"/>
              <w:rPr>
                <w:sz w:val="24"/>
              </w:rPr>
            </w:pPr>
            <w:r>
              <w:rPr>
                <w:sz w:val="24"/>
              </w:rPr>
              <w:t>本项目与水利建设项目（河湖整治与防洪除涝工程）环境影响评价文件审批原则（试行）相符性分析详见下表：</w:t>
            </w:r>
          </w:p>
          <w:p>
            <w:pPr>
              <w:pStyle w:val="TableParagraph"/>
              <w:spacing w:line="268" w:lineRule="exact"/>
              <w:ind w:left="-48"/>
              <w:rPr>
                <w:b/>
                <w:sz w:val="21"/>
              </w:rPr>
            </w:pPr>
            <w:r>
              <w:rPr>
                <w:b/>
                <w:sz w:val="21"/>
              </w:rPr>
              <w:t>表</w:t>
            </w:r>
            <w:r>
              <w:rPr>
                <w:rFonts w:ascii="Times New Roman" w:eastAsia="Times New Roman"/>
                <w:b/>
                <w:sz w:val="21"/>
              </w:rPr>
              <w:t xml:space="preserve">3 </w:t>
            </w:r>
            <w:r>
              <w:rPr>
                <w:b/>
                <w:sz w:val="21"/>
              </w:rPr>
              <w:t>项目与水利建设项目（河湖整治与防洪除涝工程）环境影响评价文件审批原则（试</w:t>
            </w:r>
          </w:p>
          <w:p>
            <w:pPr>
              <w:pStyle w:val="TableParagraph"/>
              <w:spacing w:before="4" w:line="257" w:lineRule="exact"/>
              <w:ind w:left="3025"/>
              <w:rPr>
                <w:b/>
                <w:sz w:val="21"/>
              </w:rPr>
            </w:pPr>
            <w:r>
              <w:rPr>
                <w:b/>
                <w:sz w:val="21"/>
              </w:rPr>
              <w:t>行）相符性分析一览表</w:t>
            </w:r>
          </w:p>
        </w:tc>
      </w:tr>
      <w:tr>
        <w:tblPrEx>
          <w:tblW w:w="0" w:type="auto"/>
          <w:tblInd w:w="547" w:type="dxa"/>
          <w:tblLayout w:type="fixed"/>
          <w:tblCellMar>
            <w:top w:w="0" w:type="dxa"/>
            <w:left w:w="0" w:type="dxa"/>
            <w:bottom w:w="0" w:type="dxa"/>
            <w:right w:w="0" w:type="dxa"/>
          </w:tblCellMar>
        </w:tblPrEx>
        <w:trPr>
          <w:trHeight w:val="335"/>
        </w:trPr>
        <w:tc>
          <w:tcPr>
            <w:tcW w:w="725" w:type="dxa"/>
            <w:vMerge/>
            <w:tcBorders>
              <w:top w:val="nil"/>
              <w:right w:val="single" w:sz="4" w:space="0" w:color="000000"/>
            </w:tcBorders>
          </w:tcPr>
          <w:p>
            <w:pPr>
              <w:rPr>
                <w:sz w:val="2"/>
                <w:szCs w:val="2"/>
              </w:rPr>
            </w:pPr>
          </w:p>
        </w:tc>
        <w:tc>
          <w:tcPr>
            <w:tcW w:w="120" w:type="dxa"/>
            <w:vMerge w:val="restart"/>
            <w:tcBorders>
              <w:top w:val="nil"/>
              <w:left w:val="single" w:sz="4" w:space="0" w:color="000000"/>
              <w:right w:val="single" w:sz="12" w:space="0" w:color="000000"/>
            </w:tcBorders>
          </w:tcPr>
          <w:p>
            <w:pPr>
              <w:pStyle w:val="TableParagraph"/>
              <w:rPr>
                <w:rFonts w:ascii="Times New Roman"/>
                <w:sz w:val="20"/>
              </w:rPr>
            </w:pPr>
          </w:p>
        </w:tc>
        <w:tc>
          <w:tcPr>
            <w:tcW w:w="4401" w:type="dxa"/>
            <w:gridSpan w:val="4"/>
            <w:tcBorders>
              <w:top w:val="single" w:sz="12" w:space="0" w:color="000000"/>
              <w:left w:val="single" w:sz="12" w:space="0" w:color="000000"/>
              <w:bottom w:val="single" w:sz="6" w:space="0" w:color="000000"/>
              <w:right w:val="single" w:sz="4" w:space="0" w:color="000000"/>
            </w:tcBorders>
          </w:tcPr>
          <w:p>
            <w:pPr>
              <w:pStyle w:val="TableParagraph"/>
              <w:spacing w:before="29"/>
              <w:ind w:left="1751" w:right="1745"/>
              <w:jc w:val="center"/>
              <w:rPr>
                <w:b/>
                <w:sz w:val="21"/>
              </w:rPr>
            </w:pPr>
            <w:r>
              <w:rPr>
                <w:b/>
                <w:sz w:val="21"/>
              </w:rPr>
              <w:t>审批原则</w:t>
            </w:r>
          </w:p>
        </w:tc>
        <w:tc>
          <w:tcPr>
            <w:tcW w:w="2737" w:type="dxa"/>
            <w:gridSpan w:val="2"/>
            <w:tcBorders>
              <w:top w:val="single" w:sz="12" w:space="0" w:color="000000"/>
              <w:left w:val="single" w:sz="4" w:space="0" w:color="000000"/>
              <w:bottom w:val="single" w:sz="6" w:space="0" w:color="000000"/>
              <w:right w:val="single" w:sz="4" w:space="0" w:color="000000"/>
            </w:tcBorders>
          </w:tcPr>
          <w:p>
            <w:pPr>
              <w:pStyle w:val="TableParagraph"/>
              <w:spacing w:before="29"/>
              <w:ind w:left="847"/>
              <w:rPr>
                <w:b/>
                <w:sz w:val="21"/>
              </w:rPr>
            </w:pPr>
            <w:r>
              <w:rPr>
                <w:b/>
                <w:sz w:val="21"/>
              </w:rPr>
              <w:t>本项目情况</w:t>
            </w:r>
          </w:p>
        </w:tc>
        <w:tc>
          <w:tcPr>
            <w:tcW w:w="763" w:type="dxa"/>
            <w:tcBorders>
              <w:top w:val="single" w:sz="12" w:space="0" w:color="000000"/>
              <w:left w:val="single" w:sz="4" w:space="0" w:color="000000"/>
              <w:bottom w:val="single" w:sz="6" w:space="0" w:color="000000"/>
              <w:right w:val="single" w:sz="12" w:space="0" w:color="000000"/>
            </w:tcBorders>
          </w:tcPr>
          <w:p>
            <w:pPr>
              <w:pStyle w:val="TableParagraph"/>
              <w:spacing w:before="29"/>
              <w:ind w:left="54" w:right="15"/>
              <w:jc w:val="center"/>
              <w:rPr>
                <w:b/>
                <w:sz w:val="21"/>
              </w:rPr>
            </w:pPr>
            <w:r>
              <w:rPr>
                <w:b/>
                <w:sz w:val="21"/>
              </w:rPr>
              <w:t>符合性</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621"/>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1" w:type="dxa"/>
            <w:gridSpan w:val="4"/>
            <w:tcBorders>
              <w:top w:val="single" w:sz="6" w:space="0" w:color="000000"/>
              <w:left w:val="single" w:sz="12" w:space="0" w:color="000000"/>
              <w:bottom w:val="single" w:sz="4" w:space="0" w:color="000000"/>
              <w:right w:val="single" w:sz="4" w:space="0" w:color="000000"/>
            </w:tcBorders>
          </w:tcPr>
          <w:p>
            <w:pPr>
              <w:pStyle w:val="TableParagraph"/>
              <w:spacing w:line="242" w:lineRule="auto"/>
              <w:ind w:left="105" w:right="-29"/>
              <w:rPr>
                <w:sz w:val="21"/>
              </w:rPr>
            </w:pPr>
            <w:r>
              <w:rPr>
                <w:sz w:val="21"/>
              </w:rPr>
              <w:t>第一条 本原则适用于河湖整治与防洪除涝工</w:t>
            </w:r>
            <w:r>
              <w:rPr>
                <w:spacing w:val="-5"/>
                <w:sz w:val="21"/>
              </w:rPr>
              <w:t>程环境影响评价文件的审批，工程建设内容包</w:t>
            </w:r>
            <w:r>
              <w:rPr>
                <w:spacing w:val="-13"/>
                <w:sz w:val="21"/>
              </w:rPr>
              <w:t>括疏浚、堤防建设、闸坝闸站建设、岸线治理、</w:t>
            </w:r>
            <w:r>
              <w:rPr>
                <w:spacing w:val="-23"/>
                <w:sz w:val="21"/>
              </w:rPr>
              <w:t>水系连通、蓄</w:t>
            </w:r>
            <w:r>
              <w:rPr>
                <w:sz w:val="21"/>
              </w:rPr>
              <w:t>（</w:t>
            </w:r>
            <w:r>
              <w:rPr>
                <w:spacing w:val="-5"/>
                <w:sz w:val="21"/>
              </w:rPr>
              <w:t>滞</w:t>
            </w:r>
            <w:r>
              <w:rPr>
                <w:spacing w:val="-44"/>
                <w:sz w:val="21"/>
              </w:rPr>
              <w:t>）</w:t>
            </w:r>
            <w:r>
              <w:rPr>
                <w:spacing w:val="-12"/>
                <w:sz w:val="21"/>
              </w:rPr>
              <w:t>洪区建设、排涝治理等</w:t>
            </w:r>
            <w:r>
              <w:rPr>
                <w:spacing w:val="-5"/>
                <w:sz w:val="21"/>
              </w:rPr>
              <w:t>（</w:t>
            </w:r>
            <w:r>
              <w:rPr>
                <w:sz w:val="21"/>
              </w:rPr>
              <w:t>引</w:t>
            </w:r>
            <w:r>
              <w:rPr>
                <w:spacing w:val="-5"/>
                <w:sz w:val="21"/>
              </w:rPr>
              <w:t>调水、防洪水库等水利枢纽工程除外）。其他</w:t>
            </w:r>
          </w:p>
          <w:p>
            <w:pPr>
              <w:pStyle w:val="TableParagraph"/>
              <w:spacing w:line="247" w:lineRule="exact"/>
              <w:ind w:left="105"/>
              <w:rPr>
                <w:sz w:val="21"/>
              </w:rPr>
            </w:pPr>
            <w:r>
              <w:rPr>
                <w:sz w:val="21"/>
              </w:rPr>
              <w:t>类似工程可参照执行。</w:t>
            </w:r>
          </w:p>
        </w:tc>
        <w:tc>
          <w:tcPr>
            <w:tcW w:w="2737" w:type="dxa"/>
            <w:gridSpan w:val="2"/>
            <w:tcBorders>
              <w:top w:val="single" w:sz="6" w:space="0" w:color="000000"/>
              <w:left w:val="single" w:sz="4" w:space="0" w:color="000000"/>
              <w:bottom w:val="single" w:sz="4" w:space="0" w:color="000000"/>
              <w:right w:val="single" w:sz="4" w:space="0" w:color="000000"/>
            </w:tcBorders>
          </w:tcPr>
          <w:p>
            <w:pPr>
              <w:pStyle w:val="TableParagraph"/>
              <w:spacing w:before="8"/>
              <w:rPr>
                <w:sz w:val="20"/>
              </w:rPr>
            </w:pPr>
          </w:p>
          <w:p>
            <w:pPr>
              <w:pStyle w:val="TableParagraph"/>
              <w:spacing w:line="242" w:lineRule="auto"/>
              <w:ind w:left="112" w:right="81"/>
              <w:jc w:val="both"/>
              <w:rPr>
                <w:sz w:val="21"/>
              </w:rPr>
            </w:pPr>
            <w:r>
              <w:rPr>
                <w:sz w:val="21"/>
              </w:rPr>
              <w:t>本项目属于河湖整治工程， 对河道进行清淤疏浚、堤防建设、闸坝闸站建设、水系连通等。</w:t>
            </w:r>
          </w:p>
        </w:tc>
        <w:tc>
          <w:tcPr>
            <w:tcW w:w="763" w:type="dxa"/>
            <w:tcBorders>
              <w:top w:val="single" w:sz="6" w:space="0" w:color="000000"/>
              <w:left w:val="single" w:sz="4" w:space="0" w:color="000000"/>
              <w:bottom w:val="single" w:sz="4" w:space="0" w:color="000000"/>
              <w:right w:val="single" w:sz="12" w:space="0" w:color="000000"/>
            </w:tcBorders>
          </w:tcPr>
          <w:p>
            <w:pPr>
              <w:pStyle w:val="TableParagraph"/>
              <w:rPr>
                <w:sz w:val="20"/>
              </w:rPr>
            </w:pPr>
          </w:p>
          <w:p>
            <w:pPr>
              <w:pStyle w:val="TableParagraph"/>
              <w:rPr>
                <w:sz w:val="20"/>
              </w:rPr>
            </w:pPr>
          </w:p>
          <w:p>
            <w:pPr>
              <w:pStyle w:val="TableParagraph"/>
              <w:spacing w:before="160"/>
              <w:ind w:left="54" w:right="15"/>
              <w:jc w:val="center"/>
              <w:rPr>
                <w:sz w:val="21"/>
              </w:rPr>
            </w:pPr>
            <w:r>
              <w:rPr>
                <w:sz w:val="21"/>
              </w:rPr>
              <w:t>符合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159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1" w:type="dxa"/>
            <w:gridSpan w:val="4"/>
            <w:tcBorders>
              <w:top w:val="single" w:sz="4" w:space="0" w:color="000000"/>
              <w:left w:val="single" w:sz="12" w:space="0" w:color="000000"/>
              <w:bottom w:val="single" w:sz="24" w:space="0" w:color="000000"/>
              <w:right w:val="single" w:sz="4" w:space="0" w:color="000000"/>
            </w:tcBorders>
          </w:tcPr>
          <w:p>
            <w:pPr>
              <w:pStyle w:val="TableParagraph"/>
              <w:spacing w:line="242" w:lineRule="auto"/>
              <w:ind w:left="105" w:right="69"/>
              <w:jc w:val="both"/>
              <w:rPr>
                <w:sz w:val="21"/>
              </w:rPr>
            </w:pPr>
            <w:r>
              <w:rPr>
                <w:sz w:val="21"/>
              </w:rPr>
              <w:t>第二条 项目符合环境保护相关法律法规和政</w:t>
            </w:r>
            <w:r>
              <w:rPr>
                <w:spacing w:val="-5"/>
                <w:sz w:val="21"/>
              </w:rPr>
              <w:t>策要求，与主体功能区规划、生态功能区划、水环境功能区划、水功能区划生态环境保护规划、流域综合规划、防洪规划等相协调，满足</w:t>
            </w:r>
            <w:r>
              <w:rPr>
                <w:spacing w:val="-7"/>
                <w:sz w:val="21"/>
              </w:rPr>
              <w:t>相关规划环评要求。工程涉及岸线调整</w:t>
            </w:r>
            <w:r>
              <w:rPr>
                <w:sz w:val="21"/>
              </w:rPr>
              <w:t>（</w:t>
            </w:r>
            <w:r>
              <w:rPr>
                <w:spacing w:val="-3"/>
                <w:sz w:val="21"/>
              </w:rPr>
              <w:t>治导</w:t>
            </w:r>
          </w:p>
          <w:p>
            <w:pPr>
              <w:pStyle w:val="TableParagraph"/>
              <w:spacing w:line="222" w:lineRule="exact"/>
              <w:ind w:left="105"/>
              <w:rPr>
                <w:sz w:val="21"/>
              </w:rPr>
            </w:pPr>
            <w:r>
              <w:rPr>
                <w:sz w:val="21"/>
              </w:rPr>
              <w:t>线变化</w:t>
            </w:r>
            <w:r>
              <w:rPr>
                <w:spacing w:val="-10"/>
                <w:sz w:val="21"/>
              </w:rPr>
              <w:t>）</w:t>
            </w:r>
            <w:r>
              <w:rPr>
                <w:spacing w:val="-5"/>
                <w:sz w:val="21"/>
              </w:rPr>
              <w:t>、裁弯取直、围垦水面和占用河湖滩</w:t>
            </w:r>
          </w:p>
        </w:tc>
        <w:tc>
          <w:tcPr>
            <w:tcW w:w="2737" w:type="dxa"/>
            <w:gridSpan w:val="2"/>
            <w:tcBorders>
              <w:top w:val="single" w:sz="4" w:space="0" w:color="000000"/>
              <w:left w:val="single" w:sz="4" w:space="0" w:color="000000"/>
              <w:bottom w:val="single" w:sz="24" w:space="0" w:color="000000"/>
              <w:right w:val="single" w:sz="4" w:space="0" w:color="000000"/>
            </w:tcBorders>
          </w:tcPr>
          <w:p>
            <w:pPr>
              <w:pStyle w:val="TableParagraph"/>
              <w:spacing w:before="131" w:line="242" w:lineRule="auto"/>
              <w:ind w:left="112" w:right="82"/>
              <w:jc w:val="both"/>
              <w:rPr>
                <w:sz w:val="21"/>
              </w:rPr>
            </w:pPr>
            <w:r>
              <w:rPr>
                <w:sz w:val="21"/>
              </w:rPr>
              <w:t>本项目符合相关法律法规和政策要求，符合相关规划要求。不涉及岸线调整、裁直取弯、围垦水面和占用河湖滩地等建设内容。</w:t>
            </w:r>
          </w:p>
        </w:tc>
        <w:tc>
          <w:tcPr>
            <w:tcW w:w="763" w:type="dxa"/>
            <w:tcBorders>
              <w:top w:val="single" w:sz="4" w:space="0" w:color="000000"/>
              <w:left w:val="single" w:sz="4" w:space="0" w:color="000000"/>
              <w:bottom w:val="single" w:sz="24" w:space="0" w:color="000000"/>
              <w:right w:val="single" w:sz="12" w:space="0" w:color="000000"/>
            </w:tcBorders>
          </w:tcPr>
          <w:p>
            <w:pPr>
              <w:pStyle w:val="TableParagraph"/>
              <w:rPr>
                <w:sz w:val="20"/>
              </w:rPr>
            </w:pPr>
          </w:p>
          <w:p>
            <w:pPr>
              <w:pStyle w:val="TableParagraph"/>
              <w:rPr>
                <w:sz w:val="20"/>
              </w:rPr>
            </w:pPr>
          </w:p>
          <w:p>
            <w:pPr>
              <w:pStyle w:val="TableParagraph"/>
              <w:spacing w:before="160"/>
              <w:ind w:left="54" w:right="15"/>
              <w:jc w:val="center"/>
              <w:rPr>
                <w:sz w:val="21"/>
              </w:rPr>
            </w:pPr>
            <w:r>
              <w:rPr>
                <w:sz w:val="21"/>
              </w:rPr>
              <w:t>符合</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spacing w:before="9"/>
        <w:rPr>
          <w:sz w:val="27"/>
        </w:rPr>
      </w:pPr>
    </w:p>
    <w:p>
      <w:pPr>
        <w:spacing w:before="59"/>
        <w:ind w:left="551" w:right="0" w:firstLine="0"/>
        <w:jc w:val="left"/>
        <w:rPr>
          <w:sz w:val="28"/>
        </w:rPr>
      </w:pPr>
      <w:r>
        <w:rPr>
          <w:sz w:val="28"/>
        </w:rPr>
        <w:t>—</w:t>
      </w:r>
      <w:r>
        <w:rPr>
          <w:sz w:val="26"/>
        </w:rPr>
        <w:t>17</w:t>
      </w:r>
      <w:r>
        <w:rPr>
          <w:sz w:val="28"/>
        </w:rPr>
        <w:t>—</w:t>
      </w:r>
    </w:p>
    <w:p>
      <w:pPr>
        <w:spacing w:after="0"/>
        <w:jc w:val="left"/>
        <w:rPr>
          <w:sz w:val="28"/>
        </w:rPr>
        <w:sectPr>
          <w:pgSz w:w="11910" w:h="16840"/>
          <w:pgMar w:top="1580" w:right="820" w:bottom="280" w:left="980" w:header="720" w:footer="720" w:gutter="0"/>
          <w:pgNumType w:start="22"/>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4403"/>
        <w:gridCol w:w="2737"/>
        <w:gridCol w:w="763"/>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261"/>
        </w:trPr>
        <w:tc>
          <w:tcPr>
            <w:tcW w:w="725"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4403" w:type="dxa"/>
            <w:tcBorders>
              <w:top w:val="thinThickMediumGap" w:sz="6" w:space="0" w:color="000000"/>
              <w:left w:val="single" w:sz="12" w:space="0" w:color="000000"/>
              <w:bottom w:val="nil"/>
              <w:right w:val="single" w:sz="4" w:space="0" w:color="000000"/>
            </w:tcBorders>
          </w:tcPr>
          <w:p>
            <w:pPr>
              <w:pStyle w:val="TableParagraph"/>
              <w:spacing w:line="241" w:lineRule="exact"/>
              <w:ind w:left="105"/>
              <w:rPr>
                <w:sz w:val="21"/>
              </w:rPr>
            </w:pPr>
            <w:r>
              <w:rPr>
                <w:sz w:val="21"/>
              </w:rPr>
              <w:t>地等建设内容的，充分论证了方案环境可行</w:t>
            </w:r>
          </w:p>
        </w:tc>
        <w:tc>
          <w:tcPr>
            <w:tcW w:w="2737" w:type="dxa"/>
            <w:vMerge w:val="restart"/>
            <w:tcBorders>
              <w:top w:val="thinThickMediumGap" w:sz="6"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763" w:type="dxa"/>
            <w:vMerge w:val="restart"/>
            <w:tcBorders>
              <w:top w:val="thinThickMediumGap" w:sz="6" w:space="0" w:color="000000"/>
              <w:left w:val="single" w:sz="4" w:space="0" w:color="000000"/>
              <w:bottom w:val="single" w:sz="4" w:space="0" w:color="000000"/>
              <w:right w:val="single" w:sz="12" w:space="0" w:color="000000"/>
            </w:tcBorders>
          </w:tcPr>
          <w:p>
            <w:pPr>
              <w:pStyle w:val="TableParagraph"/>
              <w:rPr>
                <w:rFonts w:ascii="Times New Roman"/>
                <w:sz w:val="20"/>
              </w:rPr>
            </w:pPr>
          </w:p>
        </w:tc>
        <w:tc>
          <w:tcPr>
            <w:tcW w:w="125" w:type="dxa"/>
            <w:vMerge w:val="restart"/>
            <w:tcBorders>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6"/>
                <w:sz w:val="21"/>
              </w:rPr>
              <w:t>性，最大程度保持了河湖自然形态，最大限度</w:t>
            </w:r>
          </w:p>
          <w:p>
            <w:pPr>
              <w:pStyle w:val="TableParagraph"/>
              <w:spacing w:line="241" w:lineRule="exact"/>
              <w:ind w:left="105"/>
              <w:rPr>
                <w:sz w:val="21"/>
              </w:rPr>
            </w:pPr>
            <w:r>
              <w:rPr>
                <w:spacing w:val="9"/>
                <w:sz w:val="21"/>
              </w:rPr>
              <w:t>维护了河湖健康、生态系统功能和生物多样</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vMerge/>
            <w:tcBorders>
              <w:top w:val="nil"/>
              <w:left w:val="single" w:sz="4" w:space="0" w:color="000000"/>
              <w:bottom w:val="single" w:sz="4"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single" w:sz="4" w:space="0" w:color="000000"/>
              <w:right w:val="single" w:sz="4" w:space="0" w:color="000000"/>
            </w:tcBorders>
          </w:tcPr>
          <w:p>
            <w:pPr>
              <w:pStyle w:val="TableParagraph"/>
              <w:spacing w:line="245" w:lineRule="exact"/>
              <w:ind w:left="105"/>
              <w:rPr>
                <w:sz w:val="21"/>
              </w:rPr>
            </w:pPr>
            <w:r>
              <w:rPr>
                <w:sz w:val="21"/>
              </w:rPr>
              <w:t>性。</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vMerge/>
            <w:tcBorders>
              <w:top w:val="nil"/>
              <w:left w:val="single" w:sz="4" w:space="0" w:color="000000"/>
              <w:bottom w:val="single" w:sz="4" w:space="0" w:color="000000"/>
              <w:right w:val="single" w:sz="12" w:space="0" w:color="000000"/>
            </w:tcBorders>
          </w:tcPr>
          <w:p>
            <w:pPr>
              <w:rPr>
                <w:sz w:val="2"/>
                <w:szCs w:val="2"/>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single" w:sz="4" w:space="0" w:color="000000"/>
              <w:left w:val="single" w:sz="12" w:space="0" w:color="000000"/>
              <w:bottom w:val="nil"/>
              <w:right w:val="single" w:sz="4" w:space="0" w:color="000000"/>
            </w:tcBorders>
          </w:tcPr>
          <w:p>
            <w:pPr>
              <w:pStyle w:val="TableParagraph"/>
              <w:spacing w:line="232" w:lineRule="exact"/>
              <w:ind w:left="105"/>
              <w:rPr>
                <w:sz w:val="21"/>
              </w:rPr>
            </w:pPr>
            <w:r>
              <w:rPr>
                <w:sz w:val="21"/>
              </w:rPr>
              <w:t>第三条 工程选址选线、施工布置原则上不占</w:t>
            </w:r>
          </w:p>
        </w:tc>
        <w:tc>
          <w:tcPr>
            <w:tcW w:w="2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25" w:line="242" w:lineRule="auto"/>
              <w:ind w:left="110" w:right="84"/>
              <w:jc w:val="both"/>
              <w:rPr>
                <w:sz w:val="21"/>
              </w:rPr>
            </w:pPr>
            <w:r>
              <w:rPr>
                <w:sz w:val="21"/>
              </w:rPr>
              <w:t>本项目占地范围主要为河道，临时占地及施工布置等不占用环境敏感区；项目不在饮用水水源保护区范围内。</w:t>
            </w:r>
          </w:p>
        </w:tc>
        <w:tc>
          <w:tcPr>
            <w:tcW w:w="763" w:type="dxa"/>
            <w:tcBorders>
              <w:top w:val="single" w:sz="4" w:space="0" w:color="000000"/>
              <w:left w:val="single" w:sz="4" w:space="0" w:color="000000"/>
              <w:bottom w:val="nil"/>
              <w:right w:val="single" w:sz="12" w:space="0" w:color="000000"/>
            </w:tcBorders>
          </w:tcPr>
          <w:p>
            <w:pPr>
              <w:pStyle w:val="TableParagraph"/>
              <w:rPr>
                <w:rFonts w:ascii="Times New Roman"/>
                <w:sz w:val="18"/>
              </w:rPr>
            </w:pPr>
          </w:p>
        </w:tc>
        <w:tc>
          <w:tcPr>
            <w:tcW w:w="125"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79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ind w:left="105" w:right="80"/>
              <w:rPr>
                <w:sz w:val="21"/>
              </w:rPr>
            </w:pPr>
            <w:r>
              <w:rPr>
                <w:spacing w:val="-5"/>
                <w:sz w:val="21"/>
              </w:rPr>
              <w:t>用自然保护区、风景名胜区、世界文化和自然</w:t>
            </w:r>
            <w:r>
              <w:rPr>
                <w:spacing w:val="9"/>
                <w:sz w:val="21"/>
              </w:rPr>
              <w:t>遗产地以及其他生态保护红线等环境敏感区</w:t>
            </w:r>
          </w:p>
          <w:p>
            <w:pPr>
              <w:pStyle w:val="TableParagraph"/>
              <w:spacing w:line="241" w:lineRule="exact"/>
              <w:ind w:left="105"/>
              <w:rPr>
                <w:sz w:val="21"/>
              </w:rPr>
            </w:pPr>
            <w:r>
              <w:rPr>
                <w:spacing w:val="-5"/>
                <w:sz w:val="21"/>
              </w:rPr>
              <w:t>中法律法规禁止占用的区域，并与饮用水水源</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nil"/>
              <w:right w:val="single" w:sz="12" w:space="0" w:color="000000"/>
            </w:tcBorders>
          </w:tcPr>
          <w:p>
            <w:pPr>
              <w:pStyle w:val="TableParagraph"/>
              <w:rPr>
                <w:sz w:val="20"/>
              </w:rPr>
            </w:pPr>
          </w:p>
          <w:p>
            <w:pPr>
              <w:pStyle w:val="TableParagraph"/>
              <w:spacing w:before="144"/>
              <w:ind w:left="50" w:right="15"/>
              <w:jc w:val="center"/>
              <w:rPr>
                <w:sz w:val="21"/>
              </w:rPr>
            </w:pPr>
            <w:r>
              <w:rPr>
                <w:sz w:val="21"/>
              </w:rPr>
              <w:t>符合</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保护区的保护要求相协调。法律法规、政策另</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0"/>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single" w:sz="4" w:space="0" w:color="000000"/>
              <w:right w:val="single" w:sz="4" w:space="0" w:color="000000"/>
            </w:tcBorders>
          </w:tcPr>
          <w:p>
            <w:pPr>
              <w:pStyle w:val="TableParagraph"/>
              <w:spacing w:line="240" w:lineRule="exact"/>
              <w:ind w:left="105"/>
              <w:rPr>
                <w:sz w:val="21"/>
              </w:rPr>
            </w:pPr>
            <w:r>
              <w:rPr>
                <w:sz w:val="21"/>
              </w:rPr>
              <w:t>有规定的从其规定。</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single" w:sz="4" w:space="0" w:color="000000"/>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799"/>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single" w:sz="4" w:space="0" w:color="000000"/>
              <w:left w:val="single" w:sz="12" w:space="0" w:color="000000"/>
              <w:bottom w:val="nil"/>
              <w:right w:val="single" w:sz="4" w:space="0" w:color="000000"/>
            </w:tcBorders>
          </w:tcPr>
          <w:p>
            <w:pPr>
              <w:pStyle w:val="TableParagraph"/>
              <w:spacing w:line="260" w:lineRule="exact"/>
              <w:ind w:left="105"/>
              <w:rPr>
                <w:sz w:val="21"/>
              </w:rPr>
            </w:pPr>
            <w:r>
              <w:rPr>
                <w:sz w:val="21"/>
              </w:rPr>
              <w:t>第五条 项目对鱼类等水生生物的洄游通道及</w:t>
            </w:r>
          </w:p>
          <w:p>
            <w:pPr>
              <w:pStyle w:val="TableParagraph"/>
              <w:spacing w:before="3" w:line="270" w:lineRule="atLeast"/>
              <w:ind w:left="105" w:right="90"/>
              <w:rPr>
                <w:sz w:val="21"/>
              </w:rPr>
            </w:pPr>
            <w:r>
              <w:rPr>
                <w:rFonts w:ascii="Times New Roman" w:eastAsia="Times New Roman" w:hAnsi="Times New Roman"/>
                <w:sz w:val="21"/>
              </w:rPr>
              <w:t>“</w:t>
            </w:r>
            <w:r>
              <w:rPr>
                <w:sz w:val="21"/>
              </w:rPr>
              <w:t>三场</w:t>
            </w:r>
            <w:r>
              <w:rPr>
                <w:rFonts w:ascii="Times New Roman" w:eastAsia="Times New Roman" w:hAnsi="Times New Roman"/>
                <w:spacing w:val="-3"/>
                <w:sz w:val="21"/>
              </w:rPr>
              <w:t>”</w:t>
            </w:r>
            <w:r>
              <w:rPr>
                <w:spacing w:val="-4"/>
                <w:sz w:val="21"/>
              </w:rPr>
              <w:t>等重要生境、物种多样性及资源量等产</w:t>
            </w:r>
            <w:r>
              <w:rPr>
                <w:spacing w:val="-7"/>
                <w:sz w:val="21"/>
              </w:rPr>
              <w:t>生不利影响的，提出了下泄生态流量、恢复鱼</w:t>
            </w:r>
          </w:p>
        </w:tc>
        <w:tc>
          <w:tcPr>
            <w:tcW w:w="2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30" w:line="242" w:lineRule="auto"/>
              <w:ind w:left="110" w:right="83"/>
              <w:jc w:val="both"/>
              <w:rPr>
                <w:sz w:val="21"/>
              </w:rPr>
            </w:pPr>
            <w:r>
              <w:rPr>
                <w:sz w:val="21"/>
              </w:rPr>
              <w:t>本项目河道清淤、疏浚过程中对河道底泥中的底栖生物及少量水生生物产生一定影响，施工河段无珍稀濒危保护、区域特有或重要经济水生生物。项目工程竣工后设计有生态修复措施。采取措施后不会对相关河段水生生态系统造成重大不利影响。</w:t>
            </w:r>
          </w:p>
        </w:tc>
        <w:tc>
          <w:tcPr>
            <w:tcW w:w="763" w:type="dxa"/>
            <w:tcBorders>
              <w:top w:val="single" w:sz="4" w:space="0" w:color="000000"/>
              <w:left w:val="single" w:sz="4" w:space="0" w:color="000000"/>
              <w:bottom w:val="nil"/>
              <w:right w:val="single" w:sz="12" w:space="0" w:color="000000"/>
            </w:tcBorders>
          </w:tcPr>
          <w:p>
            <w:pPr>
              <w:pStyle w:val="TableParagraph"/>
              <w:rPr>
                <w:rFonts w:ascii="Times New Roman"/>
                <w:sz w:val="20"/>
              </w:rPr>
            </w:pPr>
          </w:p>
        </w:tc>
        <w:tc>
          <w:tcPr>
            <w:tcW w:w="125"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79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ind w:left="105" w:right="-15"/>
              <w:rPr>
                <w:sz w:val="21"/>
              </w:rPr>
            </w:pPr>
            <w:r>
              <w:rPr>
                <w:spacing w:val="-8"/>
                <w:sz w:val="21"/>
              </w:rPr>
              <w:t>类洄游通道、采用生态友好型护岸</w:t>
            </w:r>
            <w:r>
              <w:rPr>
                <w:sz w:val="21"/>
              </w:rPr>
              <w:t>（</w:t>
            </w:r>
            <w:r>
              <w:rPr>
                <w:spacing w:val="-13"/>
                <w:sz w:val="21"/>
              </w:rPr>
              <w:t>坡、底</w:t>
            </w:r>
            <w:r>
              <w:rPr>
                <w:spacing w:val="-29"/>
                <w:sz w:val="21"/>
              </w:rPr>
              <w:t>）</w:t>
            </w:r>
            <w:r>
              <w:rPr>
                <w:spacing w:val="-17"/>
                <w:sz w:val="21"/>
              </w:rPr>
              <w:t>、</w:t>
            </w:r>
            <w:r>
              <w:rPr>
                <w:spacing w:val="-2"/>
                <w:sz w:val="21"/>
              </w:rPr>
              <w:t>生态修复、增殖放流等措施。</w:t>
            </w:r>
          </w:p>
          <w:p>
            <w:pPr>
              <w:pStyle w:val="TableParagraph"/>
              <w:spacing w:line="241" w:lineRule="exact"/>
              <w:ind w:left="105"/>
              <w:rPr>
                <w:sz w:val="21"/>
              </w:rPr>
            </w:pPr>
            <w:r>
              <w:rPr>
                <w:sz w:val="21"/>
              </w:rPr>
              <w:t>在采取上述措施后，对水生生物的不利影响能</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nil"/>
              <w:right w:val="single" w:sz="12" w:space="0" w:color="000000"/>
            </w:tcBorders>
          </w:tcPr>
          <w:p>
            <w:pPr>
              <w:pStyle w:val="TableParagraph"/>
              <w:rPr>
                <w:sz w:val="20"/>
              </w:rPr>
            </w:pPr>
          </w:p>
          <w:p>
            <w:pPr>
              <w:pStyle w:val="TableParagraph"/>
              <w:spacing w:before="140"/>
              <w:ind w:left="50" w:right="15"/>
              <w:jc w:val="center"/>
              <w:rPr>
                <w:sz w:val="21"/>
              </w:rPr>
            </w:pPr>
            <w:r>
              <w:rPr>
                <w:sz w:val="21"/>
              </w:rPr>
              <w:t>符合</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够得到缓解和控制，不会造成原有珍稀濒危保</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5"/>
                <w:sz w:val="21"/>
              </w:rPr>
              <w:t>护、区域特有或重要经济水生生物在相关河段</w:t>
            </w:r>
          </w:p>
          <w:p>
            <w:pPr>
              <w:pStyle w:val="TableParagraph"/>
              <w:spacing w:line="241" w:lineRule="exact"/>
              <w:ind w:left="105"/>
              <w:rPr>
                <w:sz w:val="21"/>
              </w:rPr>
            </w:pPr>
            <w:r>
              <w:rPr>
                <w:spacing w:val="-5"/>
                <w:sz w:val="21"/>
              </w:rPr>
              <w:t>消失，不会对相关河段水生生态系统造成重大</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single" w:sz="4" w:space="0" w:color="000000"/>
              <w:right w:val="single" w:sz="4" w:space="0" w:color="000000"/>
            </w:tcBorders>
          </w:tcPr>
          <w:p>
            <w:pPr>
              <w:pStyle w:val="TableParagraph"/>
              <w:spacing w:line="245" w:lineRule="exact"/>
              <w:ind w:left="105"/>
              <w:rPr>
                <w:sz w:val="21"/>
              </w:rPr>
            </w:pPr>
            <w:r>
              <w:rPr>
                <w:sz w:val="21"/>
              </w:rPr>
              <w:t>不利影响。</w:t>
            </w:r>
          </w:p>
        </w:tc>
        <w:tc>
          <w:tcPr>
            <w:tcW w:w="2737" w:type="dxa"/>
            <w:vMerge/>
            <w:tcBorders>
              <w:top w:val="nil"/>
              <w:left w:val="single" w:sz="4" w:space="0" w:color="000000"/>
              <w:bottom w:val="single" w:sz="4" w:space="0" w:color="000000"/>
              <w:right w:val="single" w:sz="4" w:space="0" w:color="000000"/>
            </w:tcBorders>
          </w:tcPr>
          <w:p>
            <w:pPr>
              <w:rPr>
                <w:sz w:val="2"/>
                <w:szCs w:val="2"/>
              </w:rPr>
            </w:pPr>
          </w:p>
        </w:tc>
        <w:tc>
          <w:tcPr>
            <w:tcW w:w="763" w:type="dxa"/>
            <w:tcBorders>
              <w:top w:val="nil"/>
              <w:left w:val="single" w:sz="4" w:space="0" w:color="000000"/>
              <w:bottom w:val="single" w:sz="4" w:space="0" w:color="000000"/>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single" w:sz="4" w:space="0" w:color="000000"/>
              <w:left w:val="single" w:sz="12" w:space="0" w:color="000000"/>
              <w:bottom w:val="nil"/>
              <w:right w:val="single" w:sz="4" w:space="0" w:color="000000"/>
            </w:tcBorders>
          </w:tcPr>
          <w:p>
            <w:pPr>
              <w:pStyle w:val="TableParagraph"/>
              <w:rPr>
                <w:rFonts w:ascii="Times New Roman"/>
                <w:sz w:val="18"/>
              </w:rPr>
            </w:pPr>
          </w:p>
        </w:tc>
        <w:tc>
          <w:tcPr>
            <w:tcW w:w="2737" w:type="dxa"/>
            <w:tcBorders>
              <w:top w:val="single" w:sz="4" w:space="0" w:color="000000"/>
              <w:left w:val="single" w:sz="4" w:space="0" w:color="000000"/>
              <w:bottom w:val="nil"/>
              <w:right w:val="single" w:sz="4" w:space="0" w:color="000000"/>
            </w:tcBorders>
          </w:tcPr>
          <w:p>
            <w:pPr>
              <w:pStyle w:val="TableParagraph"/>
              <w:spacing w:line="232" w:lineRule="exact"/>
              <w:ind w:left="110"/>
              <w:rPr>
                <w:sz w:val="21"/>
              </w:rPr>
            </w:pPr>
            <w:r>
              <w:rPr>
                <w:sz w:val="21"/>
              </w:rPr>
              <w:t>本项目不涉及湿地生态系</w:t>
            </w:r>
          </w:p>
        </w:tc>
        <w:tc>
          <w:tcPr>
            <w:tcW w:w="763" w:type="dxa"/>
            <w:tcBorders>
              <w:top w:val="single" w:sz="4" w:space="0" w:color="000000"/>
              <w:left w:val="single" w:sz="4" w:space="0" w:color="000000"/>
              <w:bottom w:val="nil"/>
              <w:right w:val="single" w:sz="12" w:space="0" w:color="000000"/>
            </w:tcBorders>
          </w:tcPr>
          <w:p>
            <w:pPr>
              <w:pStyle w:val="TableParagraph"/>
              <w:rPr>
                <w:rFonts w:ascii="Times New Roman"/>
                <w:sz w:val="18"/>
              </w:rPr>
            </w:pPr>
          </w:p>
        </w:tc>
        <w:tc>
          <w:tcPr>
            <w:tcW w:w="125" w:type="dxa"/>
            <w:vMerge w:val="restart"/>
            <w:tcBorders>
              <w:top w:val="nil"/>
              <w:left w:val="single" w:sz="12" w:space="0" w:color="000000"/>
              <w:bottom w:val="nil"/>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rPr>
                <w:rFonts w:ascii="Times New Roman"/>
                <w:sz w:val="20"/>
              </w:rPr>
            </w:pPr>
          </w:p>
        </w:tc>
        <w:tc>
          <w:tcPr>
            <w:tcW w:w="2737" w:type="dxa"/>
            <w:tcBorders>
              <w:top w:val="nil"/>
              <w:left w:val="single" w:sz="4" w:space="0" w:color="000000"/>
              <w:bottom w:val="nil"/>
              <w:right w:val="single" w:sz="4" w:space="0" w:color="000000"/>
            </w:tcBorders>
          </w:tcPr>
          <w:p>
            <w:pPr>
              <w:pStyle w:val="TableParagraph"/>
              <w:spacing w:line="262" w:lineRule="exact"/>
              <w:ind w:left="110" w:right="-29"/>
              <w:rPr>
                <w:sz w:val="21"/>
              </w:rPr>
            </w:pPr>
            <w:r>
              <w:rPr>
                <w:spacing w:val="-11"/>
                <w:sz w:val="21"/>
              </w:rPr>
              <w:t>统，所在河段生态系统简单，</w:t>
            </w:r>
          </w:p>
          <w:p>
            <w:pPr>
              <w:pStyle w:val="TableParagraph"/>
              <w:spacing w:line="241" w:lineRule="exact"/>
              <w:ind w:left="110"/>
              <w:rPr>
                <w:sz w:val="21"/>
              </w:rPr>
            </w:pPr>
            <w:r>
              <w:rPr>
                <w:sz w:val="21"/>
              </w:rPr>
              <w:t>水生生物主要为河道底泥中</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第六条 项目对湿地生态系统结构和功能、河</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的底栖生物及少量水生生</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5"/>
                <w:sz w:val="21"/>
              </w:rPr>
              <w:t>湖生态缓冲带造成不利影响的，提出了优化工</w:t>
            </w:r>
          </w:p>
          <w:p>
            <w:pPr>
              <w:pStyle w:val="TableParagraph"/>
              <w:spacing w:line="241" w:lineRule="exact"/>
              <w:ind w:left="105"/>
              <w:rPr>
                <w:sz w:val="21"/>
              </w:rPr>
            </w:pPr>
            <w:r>
              <w:rPr>
                <w:spacing w:val="-5"/>
                <w:sz w:val="21"/>
              </w:rPr>
              <w:t>程设计及调度运行方案、生态修复等措施。对</w:t>
            </w: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z w:val="21"/>
              </w:rPr>
              <w:t>物，项目建设不会对河湖生</w:t>
            </w:r>
          </w:p>
          <w:p>
            <w:pPr>
              <w:pStyle w:val="TableParagraph"/>
              <w:spacing w:line="241" w:lineRule="exact"/>
              <w:ind w:left="110"/>
              <w:rPr>
                <w:sz w:val="21"/>
              </w:rPr>
            </w:pPr>
            <w:r>
              <w:rPr>
                <w:sz w:val="21"/>
              </w:rPr>
              <w:t>态缓冲带造成不利影响。</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珍稀濒危保护植物造成不利影响的，提出了避</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沿岸植被种类以农作物为</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让、原位防护、移栽等措施。对陆生珍稀濒危</w:t>
            </w:r>
          </w:p>
        </w:tc>
        <w:tc>
          <w:tcPr>
            <w:tcW w:w="2737" w:type="dxa"/>
            <w:tcBorders>
              <w:top w:val="nil"/>
              <w:left w:val="single" w:sz="4" w:space="0" w:color="000000"/>
              <w:bottom w:val="nil"/>
              <w:right w:val="single" w:sz="4" w:space="0" w:color="000000"/>
            </w:tcBorders>
          </w:tcPr>
          <w:p>
            <w:pPr>
              <w:pStyle w:val="TableParagraph"/>
              <w:spacing w:line="234" w:lineRule="exact"/>
              <w:ind w:left="110" w:right="-29"/>
              <w:rPr>
                <w:sz w:val="21"/>
              </w:rPr>
            </w:pPr>
            <w:r>
              <w:rPr>
                <w:spacing w:val="-11"/>
                <w:sz w:val="21"/>
              </w:rPr>
              <w:t>主，主要为冬小麦、玉米等；</w:t>
            </w:r>
          </w:p>
        </w:tc>
        <w:tc>
          <w:tcPr>
            <w:tcW w:w="763" w:type="dxa"/>
            <w:tcBorders>
              <w:top w:val="nil"/>
              <w:left w:val="single" w:sz="4" w:space="0" w:color="000000"/>
              <w:bottom w:val="nil"/>
              <w:right w:val="single" w:sz="12" w:space="0" w:color="000000"/>
            </w:tcBorders>
          </w:tcPr>
          <w:p>
            <w:pPr>
              <w:pStyle w:val="TableParagraph"/>
              <w:spacing w:line="234" w:lineRule="exact"/>
              <w:ind w:left="50" w:right="15"/>
              <w:jc w:val="center"/>
              <w:rPr>
                <w:sz w:val="21"/>
              </w:rPr>
            </w:pPr>
            <w:r>
              <w:rPr>
                <w:sz w:val="21"/>
              </w:rPr>
              <w:t>符合</w:t>
            </w: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5"/>
                <w:sz w:val="21"/>
              </w:rPr>
              <w:t>保护动物及其生境造成不利影响的，提出了避</w:t>
            </w:r>
          </w:p>
          <w:p>
            <w:pPr>
              <w:pStyle w:val="TableParagraph"/>
              <w:spacing w:line="241" w:lineRule="exact"/>
              <w:ind w:left="105"/>
              <w:rPr>
                <w:sz w:val="21"/>
              </w:rPr>
            </w:pPr>
            <w:r>
              <w:rPr>
                <w:spacing w:val="-4"/>
                <w:sz w:val="21"/>
              </w:rPr>
              <w:t>让、救护、迁徙廊道构建、生境再造等措施。</w:t>
            </w: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pacing w:val="17"/>
                <w:sz w:val="21"/>
              </w:rPr>
              <w:t>自然植被为落叶林和针叶</w:t>
            </w:r>
          </w:p>
          <w:p>
            <w:pPr>
              <w:pStyle w:val="TableParagraph"/>
              <w:spacing w:line="241" w:lineRule="exact"/>
              <w:ind w:left="110"/>
              <w:rPr>
                <w:sz w:val="21"/>
              </w:rPr>
            </w:pPr>
            <w:r>
              <w:rPr>
                <w:spacing w:val="-1"/>
                <w:sz w:val="21"/>
              </w:rPr>
              <w:t>林；动物主要为野兔、鼠等</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对景观产生不利影响的，提出了避让、优化设</w:t>
            </w:r>
          </w:p>
        </w:tc>
        <w:tc>
          <w:tcPr>
            <w:tcW w:w="2737" w:type="dxa"/>
            <w:tcBorders>
              <w:top w:val="nil"/>
              <w:left w:val="single" w:sz="4" w:space="0" w:color="000000"/>
              <w:bottom w:val="nil"/>
              <w:right w:val="single" w:sz="4" w:space="0" w:color="000000"/>
            </w:tcBorders>
          </w:tcPr>
          <w:p>
            <w:pPr>
              <w:pStyle w:val="TableParagraph"/>
              <w:spacing w:line="234" w:lineRule="exact"/>
              <w:ind w:left="110" w:right="-29"/>
              <w:rPr>
                <w:sz w:val="21"/>
              </w:rPr>
            </w:pPr>
            <w:r>
              <w:rPr>
                <w:spacing w:val="-11"/>
                <w:sz w:val="21"/>
              </w:rPr>
              <w:t>小型哺乳动物和麻雀、乌鸦、</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计、景观塑造等措施。</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喜鹊等常见鸟类。本项目施</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rPr>
                <w:rFonts w:ascii="Times New Roman"/>
                <w:sz w:val="20"/>
              </w:rPr>
            </w:pP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pacing w:val="-1"/>
                <w:sz w:val="21"/>
              </w:rPr>
              <w:t>工过程中采取相关措施后，</w:t>
            </w:r>
          </w:p>
          <w:p>
            <w:pPr>
              <w:pStyle w:val="TableParagraph"/>
              <w:spacing w:line="241" w:lineRule="exact"/>
              <w:ind w:left="110"/>
              <w:rPr>
                <w:sz w:val="21"/>
              </w:rPr>
            </w:pPr>
            <w:r>
              <w:rPr>
                <w:spacing w:val="-1"/>
                <w:sz w:val="21"/>
              </w:rPr>
              <w:t>对陆生动植物及水生生物影</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64"/>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single" w:sz="4" w:space="0" w:color="000000"/>
              <w:right w:val="single" w:sz="4" w:space="0" w:color="000000"/>
            </w:tcBorders>
          </w:tcPr>
          <w:p>
            <w:pPr>
              <w:pStyle w:val="TableParagraph"/>
              <w:rPr>
                <w:rFonts w:ascii="Times New Roman"/>
                <w:sz w:val="18"/>
              </w:rPr>
            </w:pPr>
          </w:p>
        </w:tc>
        <w:tc>
          <w:tcPr>
            <w:tcW w:w="2737" w:type="dxa"/>
            <w:tcBorders>
              <w:top w:val="nil"/>
              <w:left w:val="single" w:sz="4" w:space="0" w:color="000000"/>
              <w:bottom w:val="single" w:sz="4" w:space="0" w:color="000000"/>
              <w:right w:val="single" w:sz="4" w:space="0" w:color="000000"/>
            </w:tcBorders>
          </w:tcPr>
          <w:p>
            <w:pPr>
              <w:pStyle w:val="TableParagraph"/>
              <w:spacing w:line="245" w:lineRule="exact"/>
              <w:ind w:left="110"/>
              <w:rPr>
                <w:sz w:val="21"/>
              </w:rPr>
            </w:pPr>
            <w:r>
              <w:rPr>
                <w:sz w:val="21"/>
              </w:rPr>
              <w:t>响很小。</w:t>
            </w:r>
          </w:p>
        </w:tc>
        <w:tc>
          <w:tcPr>
            <w:tcW w:w="763" w:type="dxa"/>
            <w:tcBorders>
              <w:top w:val="nil"/>
              <w:left w:val="single" w:sz="4" w:space="0" w:color="000000"/>
              <w:bottom w:val="single" w:sz="4" w:space="0" w:color="000000"/>
              <w:right w:val="single" w:sz="12" w:space="0" w:color="000000"/>
            </w:tcBorders>
          </w:tcPr>
          <w:p>
            <w:pPr>
              <w:pStyle w:val="TableParagraph"/>
              <w:rPr>
                <w:rFonts w:ascii="Times New Roman"/>
                <w:sz w:val="18"/>
              </w:rPr>
            </w:pPr>
          </w:p>
        </w:tc>
        <w:tc>
          <w:tcPr>
            <w:tcW w:w="125" w:type="dxa"/>
            <w:vMerge/>
            <w:tcBorders>
              <w:top w:val="nil"/>
              <w:left w:val="single" w:sz="12" w:space="0" w:color="000000"/>
              <w:bottom w:val="nil"/>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single" w:sz="4" w:space="0" w:color="000000"/>
              <w:left w:val="single" w:sz="12" w:space="0" w:color="000000"/>
              <w:bottom w:val="nil"/>
              <w:right w:val="single" w:sz="4" w:space="0" w:color="000000"/>
            </w:tcBorders>
          </w:tcPr>
          <w:p>
            <w:pPr>
              <w:pStyle w:val="TableParagraph"/>
              <w:spacing w:line="232" w:lineRule="exact"/>
              <w:ind w:left="105"/>
              <w:rPr>
                <w:sz w:val="21"/>
              </w:rPr>
            </w:pPr>
            <w:r>
              <w:rPr>
                <w:sz w:val="21"/>
              </w:rPr>
              <w:t>第七条 项目施工组织方案具有环境合理性，</w:t>
            </w:r>
          </w:p>
        </w:tc>
        <w:tc>
          <w:tcPr>
            <w:tcW w:w="2737" w:type="dxa"/>
            <w:tcBorders>
              <w:top w:val="single" w:sz="4" w:space="0" w:color="000000"/>
              <w:left w:val="single" w:sz="4" w:space="0" w:color="000000"/>
              <w:bottom w:val="nil"/>
              <w:right w:val="single" w:sz="4" w:space="0" w:color="000000"/>
            </w:tcBorders>
          </w:tcPr>
          <w:p>
            <w:pPr>
              <w:pStyle w:val="TableParagraph"/>
              <w:spacing w:line="232" w:lineRule="exact"/>
              <w:ind w:left="110"/>
              <w:rPr>
                <w:sz w:val="21"/>
              </w:rPr>
            </w:pPr>
            <w:r>
              <w:rPr>
                <w:sz w:val="21"/>
              </w:rPr>
              <w:t>本项目堤防工程施工采取堆</w:t>
            </w:r>
          </w:p>
        </w:tc>
        <w:tc>
          <w:tcPr>
            <w:tcW w:w="763" w:type="dxa"/>
            <w:tcBorders>
              <w:top w:val="single" w:sz="4" w:space="0" w:color="000000"/>
              <w:left w:val="single" w:sz="4" w:space="0" w:color="000000"/>
              <w:bottom w:val="nil"/>
              <w:right w:val="single" w:sz="12" w:space="0" w:color="000000"/>
            </w:tcBorders>
          </w:tcPr>
          <w:p>
            <w:pPr>
              <w:pStyle w:val="TableParagraph"/>
              <w:rPr>
                <w:rFonts w:ascii="Times New Roman"/>
                <w:sz w:val="18"/>
              </w:rPr>
            </w:pPr>
          </w:p>
        </w:tc>
        <w:tc>
          <w:tcPr>
            <w:tcW w:w="125" w:type="dxa"/>
            <w:vMerge w:val="restart"/>
            <w:tcBorders>
              <w:top w:val="nil"/>
              <w:left w:val="single" w:sz="12" w:space="0" w:color="000000"/>
            </w:tcBorders>
          </w:tcPr>
          <w:p>
            <w:pPr>
              <w:pStyle w:val="TableParagraph"/>
              <w:rPr>
                <w:rFonts w:ascii="Times New Roman"/>
                <w:sz w:val="20"/>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4"/>
                <w:sz w:val="21"/>
              </w:rPr>
              <w:t>对料场、弃土</w:t>
            </w:r>
            <w:r>
              <w:rPr>
                <w:sz w:val="21"/>
              </w:rPr>
              <w:t>（</w:t>
            </w:r>
            <w:r>
              <w:rPr>
                <w:spacing w:val="-5"/>
                <w:sz w:val="21"/>
              </w:rPr>
              <w:t>渣）</w:t>
            </w:r>
            <w:r>
              <w:rPr>
                <w:spacing w:val="-4"/>
                <w:sz w:val="21"/>
              </w:rPr>
              <w:t>场等施工场地提出了水土</w:t>
            </w:r>
          </w:p>
          <w:p>
            <w:pPr>
              <w:pStyle w:val="TableParagraph"/>
              <w:spacing w:line="241" w:lineRule="exact"/>
              <w:ind w:left="105"/>
              <w:rPr>
                <w:sz w:val="21"/>
              </w:rPr>
            </w:pPr>
            <w:r>
              <w:rPr>
                <w:spacing w:val="-5"/>
                <w:sz w:val="21"/>
              </w:rPr>
              <w:t>流失防治和生态修复等措施。根据环境保护相</w:t>
            </w: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pacing w:val="-1"/>
                <w:sz w:val="21"/>
              </w:rPr>
              <w:t>土临时拦护的措施，施工临</w:t>
            </w:r>
          </w:p>
          <w:p>
            <w:pPr>
              <w:pStyle w:val="TableParagraph"/>
              <w:spacing w:line="241" w:lineRule="exact"/>
              <w:ind w:left="110"/>
              <w:rPr>
                <w:sz w:val="21"/>
              </w:rPr>
            </w:pPr>
            <w:r>
              <w:rPr>
                <w:spacing w:val="-1"/>
                <w:sz w:val="21"/>
              </w:rPr>
              <w:t>建工程采取裸露面草垫临时</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关标准和要求，对施工期各类废（污）水、扬</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拦护的措施；施工结束后对</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尘、废气、噪声、固体废物等提出了防治或处</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临时占地采取翻土复耕、</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5"/>
                <w:sz w:val="21"/>
              </w:rPr>
              <w:t>置措施。其中，涉水施工涉及饮用水水源保护</w:t>
            </w:r>
          </w:p>
          <w:p>
            <w:pPr>
              <w:pStyle w:val="TableParagraph"/>
              <w:spacing w:line="241" w:lineRule="exact"/>
              <w:ind w:left="105"/>
              <w:rPr>
                <w:sz w:val="21"/>
              </w:rPr>
            </w:pPr>
            <w:r>
              <w:rPr>
                <w:spacing w:val="-5"/>
                <w:sz w:val="21"/>
              </w:rPr>
              <w:t>区或取水口并可能对水质造成不利影响的，提</w:t>
            </w: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pacing w:val="16"/>
                <w:sz w:val="21"/>
              </w:rPr>
              <w:t>绿化等措施，恢复原有地</w:t>
            </w:r>
          </w:p>
          <w:p>
            <w:pPr>
              <w:pStyle w:val="TableParagraph"/>
              <w:spacing w:line="241" w:lineRule="exact"/>
              <w:ind w:left="110"/>
              <w:rPr>
                <w:sz w:val="21"/>
              </w:rPr>
            </w:pPr>
            <w:r>
              <w:rPr>
                <w:spacing w:val="15"/>
                <w:sz w:val="21"/>
              </w:rPr>
              <w:t>表植被，恢复原有土地使</w:t>
            </w:r>
          </w:p>
        </w:tc>
        <w:tc>
          <w:tcPr>
            <w:tcW w:w="763" w:type="dxa"/>
            <w:tcBorders>
              <w:top w:val="nil"/>
              <w:left w:val="single" w:sz="4" w:space="0" w:color="000000"/>
              <w:bottom w:val="nil"/>
              <w:right w:val="single" w:sz="12" w:space="0" w:color="000000"/>
            </w:tcBorders>
          </w:tcPr>
          <w:p>
            <w:pPr>
              <w:pStyle w:val="TableParagraph"/>
              <w:spacing w:before="5"/>
              <w:rPr>
                <w:sz w:val="20"/>
              </w:rPr>
            </w:pPr>
          </w:p>
          <w:p>
            <w:pPr>
              <w:pStyle w:val="TableParagraph"/>
              <w:spacing w:line="241" w:lineRule="exact"/>
              <w:ind w:left="50" w:right="15"/>
              <w:jc w:val="center"/>
              <w:rPr>
                <w:sz w:val="21"/>
              </w:rPr>
            </w:pPr>
            <w:r>
              <w:rPr>
                <w:sz w:val="21"/>
              </w:rPr>
              <w:t>符合</w:t>
            </w: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ight="-15"/>
              <w:rPr>
                <w:sz w:val="21"/>
              </w:rPr>
            </w:pPr>
            <w:r>
              <w:rPr>
                <w:spacing w:val="-14"/>
                <w:sz w:val="21"/>
              </w:rPr>
              <w:t>出了避让、施工方案优化、污染物控制等措施；</w:t>
            </w:r>
          </w:p>
        </w:tc>
        <w:tc>
          <w:tcPr>
            <w:tcW w:w="2737" w:type="dxa"/>
            <w:tcBorders>
              <w:top w:val="nil"/>
              <w:left w:val="single" w:sz="4" w:space="0" w:color="000000"/>
              <w:bottom w:val="nil"/>
              <w:right w:val="single" w:sz="4" w:space="0" w:color="000000"/>
            </w:tcBorders>
          </w:tcPr>
          <w:p>
            <w:pPr>
              <w:pStyle w:val="TableParagraph"/>
              <w:spacing w:line="234" w:lineRule="exact"/>
              <w:ind w:left="110" w:right="-29"/>
              <w:rPr>
                <w:sz w:val="21"/>
              </w:rPr>
            </w:pPr>
            <w:r>
              <w:rPr>
                <w:spacing w:val="-14"/>
                <w:sz w:val="21"/>
              </w:rPr>
              <w:t>用功能；施工期各类废</w:t>
            </w:r>
            <w:r>
              <w:rPr>
                <w:sz w:val="21"/>
              </w:rPr>
              <w:t>（污）</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涉水施工对鱼类等水生生物及其重要生境造</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水、废气、噪声、固体废物</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522"/>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62" w:lineRule="exact"/>
              <w:ind w:left="105"/>
              <w:rPr>
                <w:sz w:val="21"/>
              </w:rPr>
            </w:pPr>
            <w:r>
              <w:rPr>
                <w:spacing w:val="-4"/>
                <w:sz w:val="21"/>
              </w:rPr>
              <w:t>成不利影响的，提出了避让、施工方案优化、</w:t>
            </w:r>
          </w:p>
          <w:p>
            <w:pPr>
              <w:pStyle w:val="TableParagraph"/>
              <w:spacing w:line="241" w:lineRule="exact"/>
              <w:ind w:left="105"/>
              <w:rPr>
                <w:sz w:val="21"/>
              </w:rPr>
            </w:pPr>
            <w:r>
              <w:rPr>
                <w:spacing w:val="-5"/>
                <w:sz w:val="21"/>
              </w:rPr>
              <w:t>控制施工噪声等措施；针对清淤、疏浚等产生</w:t>
            </w:r>
          </w:p>
        </w:tc>
        <w:tc>
          <w:tcPr>
            <w:tcW w:w="2737" w:type="dxa"/>
            <w:tcBorders>
              <w:top w:val="nil"/>
              <w:left w:val="single" w:sz="4" w:space="0" w:color="000000"/>
              <w:bottom w:val="nil"/>
              <w:right w:val="single" w:sz="4" w:space="0" w:color="000000"/>
            </w:tcBorders>
          </w:tcPr>
          <w:p>
            <w:pPr>
              <w:pStyle w:val="TableParagraph"/>
              <w:spacing w:line="262" w:lineRule="exact"/>
              <w:ind w:left="110"/>
              <w:rPr>
                <w:sz w:val="21"/>
              </w:rPr>
            </w:pPr>
            <w:r>
              <w:rPr>
                <w:sz w:val="21"/>
              </w:rPr>
              <w:t>均设置防治或处置措施；针</w:t>
            </w:r>
          </w:p>
          <w:p>
            <w:pPr>
              <w:pStyle w:val="TableParagraph"/>
              <w:spacing w:line="241" w:lineRule="exact"/>
              <w:ind w:left="110" w:right="-29"/>
              <w:rPr>
                <w:sz w:val="21"/>
              </w:rPr>
            </w:pPr>
            <w:r>
              <w:rPr>
                <w:spacing w:val="-11"/>
                <w:sz w:val="21"/>
              </w:rPr>
              <w:t>对清淤、疏浚等产生的淤泥，</w:t>
            </w:r>
          </w:p>
        </w:tc>
        <w:tc>
          <w:tcPr>
            <w:tcW w:w="763" w:type="dxa"/>
            <w:tcBorders>
              <w:top w:val="nil"/>
              <w:left w:val="single" w:sz="4" w:space="0" w:color="000000"/>
              <w:bottom w:val="nil"/>
              <w:right w:val="single" w:sz="12" w:space="0" w:color="000000"/>
            </w:tcBorders>
          </w:tcPr>
          <w:p>
            <w:pPr>
              <w:pStyle w:val="TableParagraph"/>
              <w:rPr>
                <w:rFonts w:ascii="Times New Roman"/>
                <w:sz w:val="20"/>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53"/>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nil"/>
              <w:right w:val="single" w:sz="4" w:space="0" w:color="000000"/>
            </w:tcBorders>
          </w:tcPr>
          <w:p>
            <w:pPr>
              <w:pStyle w:val="TableParagraph"/>
              <w:spacing w:line="234" w:lineRule="exact"/>
              <w:ind w:left="105"/>
              <w:rPr>
                <w:sz w:val="21"/>
              </w:rPr>
            </w:pPr>
            <w:r>
              <w:rPr>
                <w:sz w:val="21"/>
              </w:rPr>
              <w:t>的淤泥，提出了符合相关规定的处置或综合利</w:t>
            </w:r>
          </w:p>
        </w:tc>
        <w:tc>
          <w:tcPr>
            <w:tcW w:w="2737" w:type="dxa"/>
            <w:tcBorders>
              <w:top w:val="nil"/>
              <w:left w:val="single" w:sz="4" w:space="0" w:color="000000"/>
              <w:bottom w:val="nil"/>
              <w:right w:val="single" w:sz="4" w:space="0" w:color="000000"/>
            </w:tcBorders>
          </w:tcPr>
          <w:p>
            <w:pPr>
              <w:pStyle w:val="TableParagraph"/>
              <w:spacing w:line="234" w:lineRule="exact"/>
              <w:ind w:left="110"/>
              <w:rPr>
                <w:sz w:val="21"/>
              </w:rPr>
            </w:pPr>
            <w:r>
              <w:rPr>
                <w:sz w:val="21"/>
              </w:rPr>
              <w:t>委托有资质单位处理。采取</w:t>
            </w:r>
          </w:p>
        </w:tc>
        <w:tc>
          <w:tcPr>
            <w:tcW w:w="763" w:type="dxa"/>
            <w:tcBorders>
              <w:top w:val="nil"/>
              <w:left w:val="single" w:sz="4" w:space="0" w:color="000000"/>
              <w:bottom w:val="nil"/>
              <w:right w:val="single" w:sz="12" w:space="0" w:color="000000"/>
            </w:tcBorders>
          </w:tcPr>
          <w:p>
            <w:pPr>
              <w:pStyle w:val="TableParagraph"/>
              <w:rPr>
                <w:rFonts w:ascii="Times New Roman"/>
                <w:sz w:val="18"/>
              </w:rPr>
            </w:pPr>
          </w:p>
        </w:tc>
        <w:tc>
          <w:tcPr>
            <w:tcW w:w="125" w:type="dxa"/>
            <w:vMerge/>
            <w:tcBorders>
              <w:top w:val="nil"/>
              <w:left w:val="single" w:sz="12" w:space="0" w:color="000000"/>
            </w:tcBorders>
          </w:tcPr>
          <w:p>
            <w:pPr>
              <w:rPr>
                <w:sz w:val="2"/>
                <w:szCs w:val="2"/>
              </w:rPr>
            </w:pPr>
          </w:p>
        </w:tc>
      </w:tr>
      <w:tr>
        <w:tblPrEx>
          <w:tblW w:w="0" w:type="auto"/>
          <w:tblInd w:w="547" w:type="dxa"/>
          <w:tblLayout w:type="fixed"/>
          <w:tblCellMar>
            <w:top w:w="0" w:type="dxa"/>
            <w:left w:w="0" w:type="dxa"/>
            <w:bottom w:w="0" w:type="dxa"/>
            <w:right w:w="0" w:type="dxa"/>
          </w:tblCellMar>
        </w:tblPrEx>
        <w:trPr>
          <w:trHeight w:val="235"/>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4403" w:type="dxa"/>
            <w:tcBorders>
              <w:top w:val="nil"/>
              <w:left w:val="single" w:sz="12" w:space="0" w:color="000000"/>
              <w:bottom w:val="single" w:sz="24" w:space="0" w:color="000000"/>
              <w:right w:val="single" w:sz="4" w:space="0" w:color="000000"/>
            </w:tcBorders>
          </w:tcPr>
          <w:p>
            <w:pPr>
              <w:pStyle w:val="TableParagraph"/>
              <w:spacing w:line="215" w:lineRule="exact"/>
              <w:ind w:left="105"/>
              <w:rPr>
                <w:sz w:val="21"/>
              </w:rPr>
            </w:pPr>
            <w:r>
              <w:rPr>
                <w:sz w:val="21"/>
              </w:rPr>
              <w:t>用方案。</w:t>
            </w:r>
          </w:p>
        </w:tc>
        <w:tc>
          <w:tcPr>
            <w:tcW w:w="2737" w:type="dxa"/>
            <w:tcBorders>
              <w:top w:val="nil"/>
              <w:left w:val="single" w:sz="4" w:space="0" w:color="000000"/>
              <w:bottom w:val="single" w:sz="24" w:space="0" w:color="000000"/>
              <w:right w:val="single" w:sz="4" w:space="0" w:color="000000"/>
            </w:tcBorders>
          </w:tcPr>
          <w:p>
            <w:pPr>
              <w:pStyle w:val="TableParagraph"/>
              <w:spacing w:line="215" w:lineRule="exact"/>
              <w:ind w:left="110"/>
              <w:rPr>
                <w:sz w:val="21"/>
              </w:rPr>
            </w:pPr>
            <w:r>
              <w:rPr>
                <w:sz w:val="21"/>
              </w:rPr>
              <w:t>相关措施后对周围环境和敏</w:t>
            </w:r>
          </w:p>
        </w:tc>
        <w:tc>
          <w:tcPr>
            <w:tcW w:w="763" w:type="dxa"/>
            <w:tcBorders>
              <w:top w:val="nil"/>
              <w:left w:val="single" w:sz="4" w:space="0" w:color="000000"/>
              <w:bottom w:val="single" w:sz="24" w:space="0" w:color="000000"/>
              <w:right w:val="single" w:sz="12" w:space="0" w:color="000000"/>
            </w:tcBorders>
          </w:tcPr>
          <w:p>
            <w:pPr>
              <w:pStyle w:val="TableParagraph"/>
              <w:rPr>
                <w:rFonts w:ascii="Times New Roman"/>
                <w:sz w:val="16"/>
              </w:rPr>
            </w:pPr>
          </w:p>
        </w:tc>
        <w:tc>
          <w:tcPr>
            <w:tcW w:w="125" w:type="dxa"/>
            <w:vMerge/>
            <w:tcBorders>
              <w:top w:val="nil"/>
              <w:left w:val="single" w:sz="12" w:space="0" w:color="000000"/>
            </w:tcBorders>
          </w:tcPr>
          <w:p>
            <w:pPr>
              <w:rPr>
                <w:sz w:val="2"/>
                <w:szCs w:val="2"/>
              </w:rPr>
            </w:pPr>
          </w:p>
        </w:tc>
      </w:tr>
    </w:tbl>
    <w:p>
      <w:pPr>
        <w:pStyle w:val="BodyText"/>
        <w:rPr>
          <w:sz w:val="20"/>
        </w:rPr>
      </w:pPr>
    </w:p>
    <w:p>
      <w:pPr>
        <w:pStyle w:val="BodyText"/>
        <w:spacing w:before="9"/>
        <w:rPr>
          <w:sz w:val="27"/>
        </w:rPr>
      </w:pPr>
    </w:p>
    <w:p>
      <w:pPr>
        <w:spacing w:before="59"/>
        <w:ind w:left="0" w:right="705" w:firstLine="0"/>
        <w:jc w:val="right"/>
        <w:rPr>
          <w:sz w:val="28"/>
        </w:rPr>
      </w:pPr>
      <w:r>
        <w:rPr>
          <w:sz w:val="28"/>
        </w:rPr>
        <w:t>—</w:t>
      </w:r>
      <w:r>
        <w:rPr>
          <w:sz w:val="26"/>
        </w:rPr>
        <w:t>18</w:t>
      </w:r>
      <w:r>
        <w:rPr>
          <w:sz w:val="28"/>
        </w:rPr>
        <w:t>—</w:t>
      </w:r>
    </w:p>
    <w:p>
      <w:pPr>
        <w:spacing w:after="0"/>
        <w:jc w:val="right"/>
        <w:rPr>
          <w:sz w:val="28"/>
        </w:rPr>
        <w:sectPr>
          <w:pgSz w:w="11910" w:h="16840"/>
          <w:pgMar w:top="1580" w:right="820" w:bottom="280" w:left="980" w:header="720" w:footer="720" w:gutter="0"/>
          <w:pgNumType w:start="23"/>
          <w:cols w:num="1" w:space="720"/>
        </w:sectPr>
      </w:pPr>
    </w:p>
    <w:p>
      <w:pPr>
        <w:pStyle w:val="BodyText"/>
        <w:spacing w:before="10"/>
        <w:rPr>
          <w:sz w:val="8"/>
        </w:rPr>
      </w:pPr>
    </w:p>
    <w:tbl>
      <w:tblPr>
        <w:tblStyle w:val="TableNormal"/>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25"/>
        <w:gridCol w:w="120"/>
        <w:gridCol w:w="4403"/>
        <w:gridCol w:w="2737"/>
        <w:gridCol w:w="763"/>
        <w:gridCol w:w="125"/>
      </w:tblGrid>
      <w:tr>
        <w:tblPrEx>
          <w:tblW w:w="0" w:type="auto"/>
          <w:tblInd w:w="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339"/>
        </w:trPr>
        <w:tc>
          <w:tcPr>
            <w:tcW w:w="725" w:type="dxa"/>
            <w:vMerge w:val="restart"/>
            <w:tcBorders>
              <w:right w:val="single" w:sz="4" w:space="0" w:color="000000"/>
            </w:tcBorders>
          </w:tcPr>
          <w:p>
            <w:pPr>
              <w:pStyle w:val="TableParagraph"/>
              <w:rPr>
                <w:rFonts w:ascii="Times New Roman"/>
                <w:sz w:val="22"/>
              </w:rPr>
            </w:pPr>
          </w:p>
        </w:tc>
        <w:tc>
          <w:tcPr>
            <w:tcW w:w="120" w:type="dxa"/>
            <w:vMerge w:val="restart"/>
            <w:tcBorders>
              <w:left w:val="single" w:sz="4" w:space="0" w:color="000000"/>
              <w:bottom w:val="nil"/>
              <w:right w:val="single" w:sz="12" w:space="0" w:color="000000"/>
            </w:tcBorders>
          </w:tcPr>
          <w:p>
            <w:pPr>
              <w:pStyle w:val="TableParagraph"/>
              <w:rPr>
                <w:rFonts w:ascii="Times New Roman"/>
                <w:sz w:val="22"/>
              </w:rPr>
            </w:pPr>
          </w:p>
        </w:tc>
        <w:tc>
          <w:tcPr>
            <w:tcW w:w="4403" w:type="dxa"/>
            <w:tcBorders>
              <w:top w:val="thinThickMediumGap" w:sz="6" w:space="0" w:color="000000"/>
              <w:left w:val="single" w:sz="12" w:space="0" w:color="000000"/>
              <w:bottom w:val="single" w:sz="4" w:space="0" w:color="000000"/>
              <w:right w:val="single" w:sz="4" w:space="0" w:color="000000"/>
            </w:tcBorders>
          </w:tcPr>
          <w:p>
            <w:pPr>
              <w:pStyle w:val="TableParagraph"/>
              <w:rPr>
                <w:rFonts w:ascii="Times New Roman"/>
                <w:sz w:val="22"/>
              </w:rPr>
            </w:pPr>
          </w:p>
        </w:tc>
        <w:tc>
          <w:tcPr>
            <w:tcW w:w="2737" w:type="dxa"/>
            <w:tcBorders>
              <w:top w:val="thinThickMediumGap" w:sz="6" w:space="0" w:color="000000"/>
              <w:left w:val="single" w:sz="4" w:space="0" w:color="000000"/>
              <w:bottom w:val="single" w:sz="4" w:space="0" w:color="000000"/>
              <w:right w:val="single" w:sz="4" w:space="0" w:color="000000"/>
            </w:tcBorders>
          </w:tcPr>
          <w:p>
            <w:pPr>
              <w:pStyle w:val="TableParagraph"/>
              <w:ind w:left="110"/>
              <w:rPr>
                <w:sz w:val="21"/>
              </w:rPr>
            </w:pPr>
            <w:r>
              <w:rPr>
                <w:sz w:val="21"/>
              </w:rPr>
              <w:t>感保护目标影响较小。</w:t>
            </w:r>
          </w:p>
        </w:tc>
        <w:tc>
          <w:tcPr>
            <w:tcW w:w="763" w:type="dxa"/>
            <w:tcBorders>
              <w:top w:val="thinThickMediumGap" w:sz="6" w:space="0" w:color="000000"/>
              <w:left w:val="single" w:sz="4" w:space="0" w:color="000000"/>
              <w:bottom w:val="single" w:sz="4" w:space="0" w:color="000000"/>
              <w:right w:val="single" w:sz="12" w:space="0" w:color="000000"/>
            </w:tcBorders>
          </w:tcPr>
          <w:p>
            <w:pPr>
              <w:pStyle w:val="TableParagraph"/>
              <w:rPr>
                <w:rFonts w:ascii="Times New Roman"/>
                <w:sz w:val="22"/>
              </w:rPr>
            </w:pPr>
          </w:p>
        </w:tc>
        <w:tc>
          <w:tcPr>
            <w:tcW w:w="125" w:type="dxa"/>
            <w:tcBorders>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1357"/>
        </w:trPr>
        <w:tc>
          <w:tcPr>
            <w:tcW w:w="725" w:type="dxa"/>
            <w:vMerge/>
            <w:tcBorders>
              <w:top w:val="nil"/>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4403" w:type="dxa"/>
            <w:tcBorders>
              <w:top w:val="single" w:sz="4" w:space="0" w:color="000000"/>
              <w:left w:val="single" w:sz="12" w:space="0" w:color="000000"/>
              <w:bottom w:val="single" w:sz="12" w:space="0" w:color="000000"/>
              <w:right w:val="single" w:sz="4" w:space="0" w:color="000000"/>
            </w:tcBorders>
          </w:tcPr>
          <w:p>
            <w:pPr>
              <w:pStyle w:val="TableParagraph"/>
              <w:spacing w:before="3"/>
              <w:rPr>
                <w:sz w:val="20"/>
              </w:rPr>
            </w:pPr>
          </w:p>
          <w:p>
            <w:pPr>
              <w:pStyle w:val="TableParagraph"/>
              <w:spacing w:line="244" w:lineRule="auto"/>
              <w:ind w:left="105" w:right="88"/>
              <w:jc w:val="both"/>
              <w:rPr>
                <w:sz w:val="21"/>
              </w:rPr>
            </w:pPr>
            <w:r>
              <w:rPr>
                <w:sz w:val="21"/>
              </w:rPr>
              <w:t>第八条 项目移民安置的选址和建设方式具有</w:t>
            </w:r>
            <w:r>
              <w:rPr>
                <w:spacing w:val="-7"/>
                <w:sz w:val="21"/>
              </w:rPr>
              <w:t>环境合理性，提出了生态保护、污水处理、固</w:t>
            </w:r>
            <w:r>
              <w:rPr>
                <w:spacing w:val="-1"/>
                <w:sz w:val="21"/>
              </w:rPr>
              <w:t>体废物处置等措施。</w:t>
            </w:r>
          </w:p>
        </w:tc>
        <w:tc>
          <w:tcPr>
            <w:tcW w:w="2737" w:type="dxa"/>
            <w:tcBorders>
              <w:top w:val="single" w:sz="4" w:space="0" w:color="000000"/>
              <w:left w:val="single" w:sz="4" w:space="0" w:color="000000"/>
              <w:bottom w:val="single" w:sz="12" w:space="0" w:color="000000"/>
              <w:right w:val="single" w:sz="4" w:space="0" w:color="000000"/>
            </w:tcBorders>
          </w:tcPr>
          <w:p>
            <w:pPr>
              <w:pStyle w:val="TableParagraph"/>
              <w:spacing w:line="242" w:lineRule="auto"/>
              <w:ind w:left="110" w:right="84"/>
              <w:jc w:val="both"/>
              <w:rPr>
                <w:sz w:val="21"/>
              </w:rPr>
            </w:pPr>
            <w:r>
              <w:rPr>
                <w:sz w:val="21"/>
              </w:rPr>
              <w:t>本次河道治理主要在原管理范围内进行，根据工程影响及当地实际，本项目移民安置采取本村内部自行安置方</w:t>
            </w:r>
          </w:p>
          <w:p>
            <w:pPr>
              <w:pStyle w:val="TableParagraph"/>
              <w:spacing w:line="257" w:lineRule="exact"/>
              <w:ind w:left="110"/>
              <w:rPr>
                <w:sz w:val="21"/>
              </w:rPr>
            </w:pPr>
            <w:r>
              <w:rPr>
                <w:sz w:val="21"/>
              </w:rPr>
              <w:t>式。</w:t>
            </w:r>
          </w:p>
        </w:tc>
        <w:tc>
          <w:tcPr>
            <w:tcW w:w="763" w:type="dxa"/>
            <w:tcBorders>
              <w:top w:val="single" w:sz="4" w:space="0" w:color="000000"/>
              <w:left w:val="single" w:sz="4" w:space="0" w:color="000000"/>
              <w:bottom w:val="single" w:sz="12" w:space="0" w:color="000000"/>
              <w:right w:val="single" w:sz="12" w:space="0" w:color="000000"/>
            </w:tcBorders>
          </w:tcPr>
          <w:p>
            <w:pPr>
              <w:pStyle w:val="TableParagraph"/>
              <w:rPr>
                <w:sz w:val="20"/>
              </w:rPr>
            </w:pPr>
          </w:p>
          <w:p>
            <w:pPr>
              <w:pStyle w:val="TableParagraph"/>
              <w:spacing w:before="8"/>
              <w:rPr>
                <w:sz w:val="21"/>
              </w:rPr>
            </w:pPr>
          </w:p>
          <w:p>
            <w:pPr>
              <w:pStyle w:val="TableParagraph"/>
              <w:spacing w:before="1"/>
              <w:ind w:left="178"/>
              <w:rPr>
                <w:sz w:val="21"/>
              </w:rPr>
            </w:pPr>
            <w:r>
              <w:rPr>
                <w:sz w:val="21"/>
              </w:rPr>
              <w:t>符合</w:t>
            </w:r>
          </w:p>
        </w:tc>
        <w:tc>
          <w:tcPr>
            <w:tcW w:w="125" w:type="dxa"/>
            <w:tcBorders>
              <w:top w:val="nil"/>
              <w:left w:val="single" w:sz="12" w:space="0" w:color="000000"/>
              <w:bottom w:val="nil"/>
            </w:tcBorders>
          </w:tcPr>
          <w:p>
            <w:pPr>
              <w:pStyle w:val="TableParagraph"/>
              <w:rPr>
                <w:rFonts w:ascii="Times New Roman"/>
                <w:sz w:val="22"/>
              </w:rPr>
            </w:pPr>
          </w:p>
        </w:tc>
      </w:tr>
      <w:tr>
        <w:tblPrEx>
          <w:tblW w:w="0" w:type="auto"/>
          <w:tblInd w:w="547" w:type="dxa"/>
          <w:tblLayout w:type="fixed"/>
          <w:tblCellMar>
            <w:top w:w="0" w:type="dxa"/>
            <w:left w:w="0" w:type="dxa"/>
            <w:bottom w:w="0" w:type="dxa"/>
            <w:right w:w="0" w:type="dxa"/>
          </w:tblCellMar>
        </w:tblPrEx>
        <w:trPr>
          <w:trHeight w:val="11627"/>
        </w:trPr>
        <w:tc>
          <w:tcPr>
            <w:tcW w:w="725" w:type="dxa"/>
            <w:vMerge/>
            <w:tcBorders>
              <w:top w:val="nil"/>
              <w:right w:val="single" w:sz="4" w:space="0" w:color="000000"/>
            </w:tcBorders>
          </w:tcPr>
          <w:p>
            <w:pPr>
              <w:rPr>
                <w:sz w:val="2"/>
                <w:szCs w:val="2"/>
              </w:rPr>
            </w:pPr>
          </w:p>
        </w:tc>
        <w:tc>
          <w:tcPr>
            <w:tcW w:w="8148" w:type="dxa"/>
            <w:gridSpan w:val="5"/>
            <w:tcBorders>
              <w:top w:val="single" w:sz="12" w:space="0" w:color="000000"/>
              <w:left w:val="single" w:sz="4" w:space="0" w:color="000000"/>
            </w:tcBorders>
          </w:tcPr>
          <w:p>
            <w:pPr>
              <w:pStyle w:val="TableParagraph"/>
              <w:spacing w:before="119" w:line="362" w:lineRule="auto"/>
              <w:ind w:left="110" w:right="90" w:firstLine="480"/>
              <w:rPr>
                <w:sz w:val="24"/>
              </w:rPr>
            </w:pPr>
            <w:r>
              <w:rPr>
                <w:sz w:val="24"/>
              </w:rPr>
              <w:t>综上所述，本项目符合水利建设项目（河湖整治与防洪除涝工程）环境影响评价文件审批原则（试行）相关要求。</w:t>
            </w:r>
          </w:p>
          <w:p>
            <w:pPr>
              <w:pStyle w:val="TableParagraph"/>
              <w:spacing w:before="3"/>
              <w:ind w:left="590"/>
              <w:rPr>
                <w:b/>
                <w:sz w:val="24"/>
              </w:rPr>
            </w:pPr>
            <w:r>
              <w:rPr>
                <w:rFonts w:ascii="Times New Roman" w:eastAsia="Times New Roman"/>
                <w:b/>
                <w:sz w:val="24"/>
              </w:rPr>
              <w:t>4</w:t>
            </w:r>
            <w:r>
              <w:rPr>
                <w:b/>
                <w:sz w:val="24"/>
              </w:rPr>
              <w:t>、土地利用规划符合性分析</w:t>
            </w:r>
          </w:p>
          <w:p>
            <w:pPr>
              <w:pStyle w:val="TableParagraph"/>
              <w:spacing w:before="158" w:line="364" w:lineRule="auto"/>
              <w:ind w:left="110" w:right="89" w:firstLine="480"/>
              <w:jc w:val="both"/>
              <w:rPr>
                <w:sz w:val="24"/>
              </w:rPr>
            </w:pPr>
            <w:r>
              <w:rPr>
                <w:sz w:val="24"/>
              </w:rPr>
              <w:t>本工程属于河道整治工程。周边无自然保护区、风景名胜区、文物保护单位，亦无需特殊保护的野生动植物，环境承载能力较强。符合土地利用规划要求。</w:t>
            </w:r>
          </w:p>
          <w:p>
            <w:pPr>
              <w:pStyle w:val="TableParagraph"/>
              <w:ind w:left="590"/>
              <w:rPr>
                <w:sz w:val="24"/>
              </w:rPr>
            </w:pPr>
            <w:r>
              <w:rPr>
                <w:sz w:val="24"/>
              </w:rPr>
              <w:t xml:space="preserve"> </w:t>
            </w:r>
          </w:p>
          <w:p>
            <w:pPr>
              <w:pStyle w:val="TableParagraph"/>
              <w:spacing w:before="163"/>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59"/>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63"/>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63"/>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59"/>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63"/>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59"/>
              <w:ind w:left="590"/>
              <w:rPr>
                <w:sz w:val="24"/>
              </w:rPr>
            </w:pPr>
            <w:r>
              <w:rPr>
                <w:sz w:val="24"/>
              </w:rPr>
              <w:t xml:space="preserve"> </w:t>
            </w:r>
          </w:p>
          <w:p>
            <w:pPr>
              <w:pStyle w:val="TableParagraph"/>
              <w:spacing w:before="158"/>
              <w:ind w:left="590"/>
              <w:rPr>
                <w:sz w:val="24"/>
              </w:rPr>
            </w:pPr>
            <w:r>
              <w:rPr>
                <w:sz w:val="24"/>
              </w:rPr>
              <w:t xml:space="preserve"> </w:t>
            </w:r>
          </w:p>
          <w:p>
            <w:pPr>
              <w:pStyle w:val="TableParagraph"/>
              <w:spacing w:before="163"/>
              <w:ind w:left="590"/>
              <w:rPr>
                <w:sz w:val="24"/>
              </w:rPr>
            </w:pPr>
            <w:r>
              <w:rPr>
                <w:sz w:val="24"/>
              </w:rPr>
              <w:t xml:space="preserve"> </w:t>
            </w:r>
          </w:p>
        </w:tc>
      </w:tr>
    </w:tbl>
    <w:p>
      <w:pPr>
        <w:pStyle w:val="BodyText"/>
        <w:spacing w:before="11"/>
        <w:rPr>
          <w:sz w:val="27"/>
        </w:rPr>
      </w:pPr>
    </w:p>
    <w:p>
      <w:pPr>
        <w:spacing w:before="59"/>
        <w:ind w:left="551" w:right="0" w:firstLine="0"/>
        <w:jc w:val="left"/>
        <w:rPr>
          <w:sz w:val="28"/>
        </w:rPr>
      </w:pPr>
      <w:r>
        <w:rPr>
          <w:sz w:val="28"/>
        </w:rPr>
        <w:t>—</w:t>
      </w:r>
      <w:r>
        <w:rPr>
          <w:sz w:val="26"/>
        </w:rPr>
        <w:t>19</w:t>
      </w:r>
      <w:r>
        <w:rPr>
          <w:sz w:val="28"/>
        </w:rPr>
        <w:t>—</w:t>
      </w:r>
    </w:p>
    <w:p>
      <w:pPr>
        <w:spacing w:after="0"/>
        <w:jc w:val="left"/>
        <w:rPr>
          <w:sz w:val="28"/>
        </w:rPr>
        <w:sectPr>
          <w:pgSz w:w="11910" w:h="16840"/>
          <w:pgMar w:top="1580" w:right="820" w:bottom="280" w:left="980" w:header="720" w:footer="720" w:gutter="0"/>
          <w:pgNumType w:start="24"/>
          <w:cols w:num="1" w:space="720"/>
        </w:sectPr>
      </w:pPr>
    </w:p>
    <w:p>
      <w:pPr>
        <w:pStyle w:val="BodyText"/>
        <w:spacing w:before="1"/>
        <w:rPr>
          <w:sz w:val="25"/>
        </w:rPr>
      </w:pPr>
    </w:p>
    <w:p>
      <w:pPr>
        <w:pStyle w:val="Heading3"/>
        <w:ind w:left="0" w:right="154"/>
        <w:jc w:val="center"/>
        <w:rPr>
          <w:rFonts w:ascii="黑体" w:eastAsia="黑体" w:hint="eastAsia"/>
        </w:rPr>
      </w:pPr>
      <w:r>
        <w:rPr>
          <w:rFonts w:ascii="黑体" w:eastAsia="黑体" w:hint="eastAsia"/>
        </w:rPr>
        <w:t>二、建设内容</w:t>
      </w:r>
    </w:p>
    <w:p>
      <w:pPr>
        <w:pStyle w:val="BodyText"/>
        <w:spacing w:before="4"/>
        <w:rPr>
          <w:rFonts w:ascii="黑体"/>
          <w:sz w:val="22"/>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8206"/>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2362"/>
        </w:trPr>
        <w:tc>
          <w:tcPr>
            <w:tcW w:w="783" w:type="dxa"/>
            <w:tcBorders>
              <w:right w:val="single" w:sz="4" w:space="0" w:color="000000"/>
            </w:tcBorders>
          </w:tcPr>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rPr>
                <w:rFonts w:ascii="黑体"/>
                <w:sz w:val="24"/>
              </w:rPr>
            </w:pPr>
          </w:p>
          <w:p>
            <w:pPr>
              <w:pStyle w:val="TableParagraph"/>
              <w:spacing w:before="11"/>
              <w:rPr>
                <w:rFonts w:ascii="黑体"/>
                <w:sz w:val="25"/>
              </w:rPr>
            </w:pPr>
          </w:p>
          <w:p>
            <w:pPr>
              <w:pStyle w:val="TableParagraph"/>
              <w:spacing w:before="1"/>
              <w:ind w:left="148" w:right="17"/>
              <w:rPr>
                <w:sz w:val="24"/>
              </w:rPr>
            </w:pPr>
            <w:r>
              <w:rPr>
                <w:sz w:val="24"/>
              </w:rPr>
              <w:t xml:space="preserve">地理位置 </w:t>
            </w:r>
          </w:p>
        </w:tc>
        <w:tc>
          <w:tcPr>
            <w:tcW w:w="8206" w:type="dxa"/>
            <w:tcBorders>
              <w:left w:val="single" w:sz="4" w:space="0" w:color="000000"/>
            </w:tcBorders>
          </w:tcPr>
          <w:p>
            <w:pPr>
              <w:pStyle w:val="TableParagraph"/>
              <w:spacing w:before="120" w:line="364" w:lineRule="auto"/>
              <w:ind w:left="110" w:right="94" w:firstLine="480"/>
              <w:jc w:val="both"/>
              <w:rPr>
                <w:sz w:val="24"/>
              </w:rPr>
            </w:pPr>
            <w:r>
              <w:rPr>
                <w:sz w:val="24"/>
              </w:rPr>
              <w:t>本次工程涉及四支沟综合治理、站前沟综合治理、杨庄河综合治理、长河公园与岔河连通工程、岔河减河堤顶路改造工程五部分，均位于山东省德州市经济技术开发区行政范围内，具体项目地理位置如下。</w:t>
            </w:r>
          </w:p>
          <w:p>
            <w:pPr>
              <w:pStyle w:val="TableParagraph"/>
              <w:spacing w:line="364" w:lineRule="auto"/>
              <w:ind w:left="110" w:right="88" w:firstLine="480"/>
              <w:jc w:val="both"/>
              <w:rPr>
                <w:rFonts w:ascii="Times New Roman" w:eastAsia="Times New Roman"/>
                <w:sz w:val="24"/>
              </w:rPr>
            </w:pPr>
            <w:r>
              <w:rPr>
                <w:sz w:val="24"/>
              </w:rPr>
              <w:t>四支沟综合治理范围自入马赞河口～</w:t>
            </w:r>
            <w:r>
              <w:rPr>
                <w:spacing w:val="-13"/>
                <w:sz w:val="24"/>
              </w:rPr>
              <w:t xml:space="preserve">入减河口，治理长度为 </w:t>
            </w:r>
            <w:r>
              <w:rPr>
                <w:rFonts w:ascii="Times New Roman" w:eastAsia="Times New Roman"/>
                <w:sz w:val="24"/>
              </w:rPr>
              <w:t>6.2km</w:t>
            </w:r>
            <w:r>
              <w:rPr>
                <w:spacing w:val="-25"/>
                <w:sz w:val="24"/>
              </w:rPr>
              <w:t>。起点</w:t>
            </w:r>
            <w:r>
              <w:rPr>
                <w:spacing w:val="-1"/>
                <w:sz w:val="24"/>
              </w:rPr>
              <w:t>坐标：</w:t>
            </w:r>
            <w:r>
              <w:rPr>
                <w:rFonts w:ascii="Times New Roman" w:eastAsia="Times New Roman"/>
                <w:spacing w:val="-3"/>
                <w:sz w:val="24"/>
              </w:rPr>
              <w:t xml:space="preserve">116 </w:t>
            </w:r>
            <w:r>
              <w:rPr>
                <w:spacing w:val="-22"/>
                <w:sz w:val="24"/>
              </w:rPr>
              <w:t xml:space="preserve">度 </w:t>
            </w:r>
            <w:r>
              <w:rPr>
                <w:rFonts w:ascii="Times New Roman" w:eastAsia="Times New Roman"/>
                <w:sz w:val="24"/>
              </w:rPr>
              <w:t xml:space="preserve">25 </w:t>
            </w:r>
            <w:r>
              <w:rPr>
                <w:spacing w:val="-21"/>
                <w:sz w:val="24"/>
              </w:rPr>
              <w:t xml:space="preserve">分 </w:t>
            </w:r>
            <w:r>
              <w:rPr>
                <w:rFonts w:ascii="Times New Roman" w:eastAsia="Times New Roman"/>
                <w:sz w:val="24"/>
              </w:rPr>
              <w:t xml:space="preserve">15.629 </w:t>
            </w:r>
            <w:r>
              <w:rPr>
                <w:sz w:val="24"/>
              </w:rPr>
              <w:t>秒，</w:t>
            </w:r>
            <w:r>
              <w:rPr>
                <w:rFonts w:ascii="Times New Roman" w:eastAsia="Times New Roman"/>
                <w:sz w:val="24"/>
              </w:rPr>
              <w:t xml:space="preserve">37 </w:t>
            </w:r>
            <w:r>
              <w:rPr>
                <w:spacing w:val="-22"/>
                <w:sz w:val="24"/>
              </w:rPr>
              <w:t xml:space="preserve">度 </w:t>
            </w:r>
            <w:r>
              <w:rPr>
                <w:rFonts w:ascii="Times New Roman" w:eastAsia="Times New Roman"/>
                <w:sz w:val="24"/>
              </w:rPr>
              <w:t xml:space="preserve">27 </w:t>
            </w:r>
            <w:r>
              <w:rPr>
                <w:spacing w:val="-22"/>
                <w:sz w:val="24"/>
              </w:rPr>
              <w:t xml:space="preserve">分 </w:t>
            </w:r>
            <w:r>
              <w:rPr>
                <w:rFonts w:ascii="Times New Roman" w:eastAsia="Times New Roman"/>
                <w:sz w:val="24"/>
              </w:rPr>
              <w:t xml:space="preserve">40.057 </w:t>
            </w:r>
            <w:r>
              <w:rPr>
                <w:spacing w:val="-1"/>
                <w:sz w:val="24"/>
              </w:rPr>
              <w:t>秒，终点坐标：</w:t>
            </w:r>
            <w:r>
              <w:rPr>
                <w:rFonts w:ascii="Times New Roman" w:eastAsia="Times New Roman"/>
                <w:spacing w:val="-3"/>
                <w:sz w:val="24"/>
              </w:rPr>
              <w:t xml:space="preserve">116 </w:t>
            </w:r>
            <w:r>
              <w:rPr>
                <w:spacing w:val="-22"/>
                <w:sz w:val="24"/>
              </w:rPr>
              <w:t xml:space="preserve">度 </w:t>
            </w:r>
            <w:r>
              <w:rPr>
                <w:rFonts w:ascii="Times New Roman" w:eastAsia="Times New Roman"/>
                <w:sz w:val="24"/>
              </w:rPr>
              <w:t>29</w:t>
            </w:r>
          </w:p>
          <w:p>
            <w:pPr>
              <w:pStyle w:val="TableParagraph"/>
              <w:spacing w:before="1"/>
              <w:ind w:left="110"/>
              <w:rPr>
                <w:sz w:val="24"/>
              </w:rPr>
            </w:pPr>
            <w:r>
              <w:rPr>
                <w:sz w:val="24"/>
              </w:rPr>
              <w:t xml:space="preserve">分 </w:t>
            </w:r>
            <w:r>
              <w:rPr>
                <w:rFonts w:ascii="Times New Roman" w:eastAsia="Times New Roman"/>
                <w:sz w:val="24"/>
              </w:rPr>
              <w:t xml:space="preserve">28.374 </w:t>
            </w:r>
            <w:r>
              <w:rPr>
                <w:sz w:val="24"/>
              </w:rPr>
              <w:t>秒，</w:t>
            </w:r>
            <w:r>
              <w:rPr>
                <w:rFonts w:ascii="Times New Roman" w:eastAsia="Times New Roman"/>
                <w:sz w:val="24"/>
              </w:rPr>
              <w:t xml:space="preserve">37 </w:t>
            </w:r>
            <w:r>
              <w:rPr>
                <w:sz w:val="24"/>
              </w:rPr>
              <w:t xml:space="preserve">度 </w:t>
            </w:r>
            <w:r>
              <w:rPr>
                <w:rFonts w:ascii="Times New Roman" w:eastAsia="Times New Roman"/>
                <w:sz w:val="24"/>
              </w:rPr>
              <w:t xml:space="preserve">27 </w:t>
            </w:r>
            <w:r>
              <w:rPr>
                <w:sz w:val="24"/>
              </w:rPr>
              <w:t xml:space="preserve">分 </w:t>
            </w:r>
            <w:r>
              <w:rPr>
                <w:rFonts w:ascii="Times New Roman" w:eastAsia="Times New Roman"/>
                <w:sz w:val="24"/>
              </w:rPr>
              <w:t xml:space="preserve">12.056 </w:t>
            </w:r>
            <w:r>
              <w:rPr>
                <w:sz w:val="24"/>
              </w:rPr>
              <w:t>秒。</w:t>
            </w:r>
          </w:p>
          <w:p>
            <w:pPr>
              <w:pStyle w:val="TableParagraph"/>
              <w:spacing w:before="158" w:line="364" w:lineRule="auto"/>
              <w:ind w:left="110" w:right="84" w:firstLine="480"/>
              <w:jc w:val="both"/>
              <w:rPr>
                <w:rFonts w:ascii="Times New Roman" w:eastAsia="Times New Roman"/>
                <w:sz w:val="24"/>
              </w:rPr>
            </w:pPr>
            <w:r>
              <w:rPr>
                <w:sz w:val="24"/>
              </w:rPr>
              <w:t>站前沟综合治理范围自入杨庄河口</w:t>
            </w:r>
            <w:r>
              <w:rPr>
                <w:rFonts w:ascii="Times New Roman" w:eastAsia="Times New Roman"/>
                <w:sz w:val="24"/>
              </w:rPr>
              <w:t>~</w:t>
            </w:r>
            <w:r>
              <w:rPr>
                <w:spacing w:val="-5"/>
                <w:sz w:val="24"/>
              </w:rPr>
              <w:t xml:space="preserve">入减马横河口，治理长度为 </w:t>
            </w:r>
            <w:r>
              <w:rPr>
                <w:rFonts w:ascii="Times New Roman" w:eastAsia="Times New Roman"/>
                <w:sz w:val="24"/>
              </w:rPr>
              <w:t>3.9km</w:t>
            </w:r>
            <w:r>
              <w:rPr>
                <w:spacing w:val="-16"/>
                <w:sz w:val="24"/>
              </w:rPr>
              <w:t>。</w:t>
            </w:r>
            <w:r>
              <w:rPr>
                <w:spacing w:val="-20"/>
                <w:sz w:val="24"/>
              </w:rPr>
              <w:t xml:space="preserve">起点 </w:t>
            </w:r>
            <w:r>
              <w:rPr>
                <w:rFonts w:ascii="Times New Roman" w:eastAsia="Times New Roman"/>
                <w:spacing w:val="-4"/>
                <w:sz w:val="24"/>
              </w:rPr>
              <w:t xml:space="preserve">116 </w:t>
            </w:r>
            <w:r>
              <w:rPr>
                <w:spacing w:val="-29"/>
                <w:sz w:val="24"/>
              </w:rPr>
              <w:t xml:space="preserve">度 </w:t>
            </w:r>
            <w:r>
              <w:rPr>
                <w:rFonts w:ascii="Times New Roman" w:eastAsia="Times New Roman"/>
                <w:sz w:val="24"/>
              </w:rPr>
              <w:t xml:space="preserve">27 </w:t>
            </w:r>
            <w:r>
              <w:rPr>
                <w:spacing w:val="-29"/>
                <w:sz w:val="24"/>
              </w:rPr>
              <w:t xml:space="preserve">分 </w:t>
            </w:r>
            <w:r>
              <w:rPr>
                <w:rFonts w:ascii="Times New Roman" w:eastAsia="Times New Roman"/>
                <w:sz w:val="24"/>
              </w:rPr>
              <w:t xml:space="preserve">48.820 </w:t>
            </w:r>
            <w:r>
              <w:rPr>
                <w:sz w:val="24"/>
              </w:rPr>
              <w:t>秒，</w:t>
            </w:r>
            <w:r>
              <w:rPr>
                <w:rFonts w:ascii="Times New Roman" w:eastAsia="Times New Roman"/>
                <w:sz w:val="24"/>
              </w:rPr>
              <w:t xml:space="preserve">37 </w:t>
            </w:r>
            <w:r>
              <w:rPr>
                <w:spacing w:val="-29"/>
                <w:sz w:val="24"/>
              </w:rPr>
              <w:t xml:space="preserve">度 </w:t>
            </w:r>
            <w:r>
              <w:rPr>
                <w:rFonts w:ascii="Times New Roman" w:eastAsia="Times New Roman"/>
                <w:sz w:val="24"/>
              </w:rPr>
              <w:t xml:space="preserve">25 </w:t>
            </w:r>
            <w:r>
              <w:rPr>
                <w:spacing w:val="-30"/>
                <w:sz w:val="24"/>
              </w:rPr>
              <w:t xml:space="preserve">分 </w:t>
            </w:r>
            <w:r>
              <w:rPr>
                <w:rFonts w:ascii="Times New Roman" w:eastAsia="Times New Roman"/>
                <w:sz w:val="24"/>
              </w:rPr>
              <w:t xml:space="preserve">28.276 </w:t>
            </w:r>
            <w:r>
              <w:rPr>
                <w:spacing w:val="-12"/>
                <w:sz w:val="24"/>
              </w:rPr>
              <w:t xml:space="preserve">秒，终点 </w:t>
            </w:r>
            <w:r>
              <w:rPr>
                <w:rFonts w:ascii="Times New Roman" w:eastAsia="Times New Roman"/>
                <w:spacing w:val="-4"/>
                <w:sz w:val="24"/>
              </w:rPr>
              <w:t xml:space="preserve">116 </w:t>
            </w:r>
            <w:r>
              <w:rPr>
                <w:spacing w:val="-29"/>
                <w:sz w:val="24"/>
              </w:rPr>
              <w:t xml:space="preserve">度 </w:t>
            </w:r>
            <w:r>
              <w:rPr>
                <w:rFonts w:ascii="Times New Roman" w:eastAsia="Times New Roman"/>
                <w:sz w:val="24"/>
              </w:rPr>
              <w:t xml:space="preserve">27 </w:t>
            </w:r>
            <w:r>
              <w:rPr>
                <w:spacing w:val="-29"/>
                <w:sz w:val="24"/>
              </w:rPr>
              <w:t xml:space="preserve">分 </w:t>
            </w:r>
            <w:r>
              <w:rPr>
                <w:rFonts w:ascii="Times New Roman" w:eastAsia="Times New Roman"/>
                <w:sz w:val="24"/>
              </w:rPr>
              <w:t>23.206</w:t>
            </w:r>
          </w:p>
          <w:p>
            <w:pPr>
              <w:pStyle w:val="TableParagraph"/>
              <w:spacing w:line="304" w:lineRule="exact"/>
              <w:ind w:left="110"/>
              <w:rPr>
                <w:sz w:val="24"/>
              </w:rPr>
            </w:pPr>
            <w:r>
              <w:rPr>
                <w:sz w:val="24"/>
              </w:rPr>
              <w:t>秒，</w:t>
            </w:r>
            <w:r>
              <w:rPr>
                <w:rFonts w:ascii="Times New Roman" w:eastAsia="Times New Roman"/>
                <w:sz w:val="24"/>
              </w:rPr>
              <w:t xml:space="preserve">37 </w:t>
            </w:r>
            <w:r>
              <w:rPr>
                <w:sz w:val="24"/>
              </w:rPr>
              <w:t xml:space="preserve">度 </w:t>
            </w:r>
            <w:r>
              <w:rPr>
                <w:rFonts w:ascii="Times New Roman" w:eastAsia="Times New Roman"/>
                <w:sz w:val="24"/>
              </w:rPr>
              <w:t xml:space="preserve">23 </w:t>
            </w:r>
            <w:r>
              <w:rPr>
                <w:sz w:val="24"/>
              </w:rPr>
              <w:t xml:space="preserve">分 </w:t>
            </w:r>
            <w:r>
              <w:rPr>
                <w:rFonts w:ascii="Times New Roman" w:eastAsia="Times New Roman"/>
                <w:sz w:val="24"/>
              </w:rPr>
              <w:t xml:space="preserve">22.070 </w:t>
            </w:r>
            <w:r>
              <w:rPr>
                <w:sz w:val="24"/>
              </w:rPr>
              <w:t>秒。</w:t>
            </w:r>
          </w:p>
          <w:p>
            <w:pPr>
              <w:pStyle w:val="TableParagraph"/>
              <w:spacing w:before="163" w:line="362" w:lineRule="auto"/>
              <w:ind w:left="110" w:right="93" w:firstLine="480"/>
              <w:jc w:val="both"/>
              <w:rPr>
                <w:rFonts w:ascii="Times New Roman" w:eastAsia="Times New Roman"/>
                <w:sz w:val="24"/>
              </w:rPr>
            </w:pPr>
            <w:r>
              <w:rPr>
                <w:sz w:val="24"/>
              </w:rPr>
              <w:t>杨庄河综合治理范围为自减河东大道至崇德五大道，崇德七大道至马赞</w:t>
            </w:r>
            <w:r>
              <w:rPr>
                <w:spacing w:val="-17"/>
                <w:sz w:val="24"/>
              </w:rPr>
              <w:t xml:space="preserve">庄村南段，清淤疏浚长度为 </w:t>
            </w:r>
            <w:r>
              <w:rPr>
                <w:rFonts w:ascii="Times New Roman" w:eastAsia="Times New Roman"/>
                <w:sz w:val="24"/>
              </w:rPr>
              <w:t>5</w:t>
            </w:r>
            <w:r>
              <w:rPr>
                <w:rFonts w:ascii="Times New Roman" w:eastAsia="Times New Roman"/>
                <w:spacing w:val="4"/>
                <w:sz w:val="24"/>
              </w:rPr>
              <w:t>k</w:t>
            </w:r>
            <w:r>
              <w:rPr>
                <w:rFonts w:ascii="Times New Roman" w:eastAsia="Times New Roman"/>
                <w:spacing w:val="-9"/>
                <w:sz w:val="24"/>
              </w:rPr>
              <w:t>m</w:t>
            </w:r>
            <w:r>
              <w:rPr>
                <w:spacing w:val="-48"/>
                <w:sz w:val="24"/>
              </w:rPr>
              <w:t xml:space="preserve">。起点 </w:t>
            </w:r>
            <w:r>
              <w:rPr>
                <w:rFonts w:ascii="Times New Roman" w:eastAsia="Times New Roman"/>
                <w:spacing w:val="-10"/>
                <w:sz w:val="24"/>
              </w:rPr>
              <w:t>1</w:t>
            </w:r>
            <w:r>
              <w:rPr>
                <w:rFonts w:ascii="Times New Roman" w:eastAsia="Times New Roman"/>
                <w:sz w:val="24"/>
              </w:rPr>
              <w:t>16</w:t>
            </w:r>
            <w:r>
              <w:rPr>
                <w:rFonts w:ascii="Times New Roman" w:eastAsia="Times New Roman"/>
                <w:spacing w:val="-17"/>
                <w:sz w:val="24"/>
              </w:rPr>
              <w:t xml:space="preserve"> </w:t>
            </w:r>
            <w:r>
              <w:rPr>
                <w:spacing w:val="-39"/>
                <w:sz w:val="24"/>
              </w:rPr>
              <w:t xml:space="preserve">度 </w:t>
            </w:r>
            <w:r>
              <w:rPr>
                <w:rFonts w:ascii="Times New Roman" w:eastAsia="Times New Roman"/>
                <w:sz w:val="24"/>
              </w:rPr>
              <w:t>24</w:t>
            </w:r>
            <w:r>
              <w:rPr>
                <w:rFonts w:ascii="Times New Roman" w:eastAsia="Times New Roman"/>
                <w:spacing w:val="-12"/>
                <w:sz w:val="24"/>
              </w:rPr>
              <w:t xml:space="preserve"> </w:t>
            </w:r>
            <w:r>
              <w:rPr>
                <w:spacing w:val="-39"/>
                <w:sz w:val="24"/>
              </w:rPr>
              <w:t xml:space="preserve">分 </w:t>
            </w:r>
            <w:r>
              <w:rPr>
                <w:rFonts w:ascii="Times New Roman" w:eastAsia="Times New Roman"/>
                <w:sz w:val="24"/>
              </w:rPr>
              <w:t>49</w:t>
            </w:r>
            <w:r>
              <w:rPr>
                <w:rFonts w:ascii="Times New Roman" w:eastAsia="Times New Roman"/>
                <w:spacing w:val="2"/>
                <w:sz w:val="24"/>
              </w:rPr>
              <w:t>.</w:t>
            </w:r>
            <w:r>
              <w:rPr>
                <w:rFonts w:ascii="Times New Roman" w:eastAsia="Times New Roman"/>
                <w:sz w:val="24"/>
              </w:rPr>
              <w:t>273</w:t>
            </w:r>
            <w:r>
              <w:rPr>
                <w:rFonts w:ascii="Times New Roman" w:eastAsia="Times New Roman"/>
                <w:spacing w:val="-17"/>
                <w:sz w:val="24"/>
              </w:rPr>
              <w:t xml:space="preserve"> </w:t>
            </w:r>
            <w:r>
              <w:rPr>
                <w:spacing w:val="-60"/>
                <w:sz w:val="24"/>
              </w:rPr>
              <w:t>秒，</w:t>
            </w:r>
            <w:r>
              <w:rPr>
                <w:rFonts w:ascii="Times New Roman" w:eastAsia="Times New Roman"/>
                <w:sz w:val="24"/>
              </w:rPr>
              <w:t>37</w:t>
            </w:r>
            <w:r>
              <w:rPr>
                <w:rFonts w:ascii="Times New Roman" w:eastAsia="Times New Roman"/>
                <w:spacing w:val="-17"/>
                <w:sz w:val="24"/>
              </w:rPr>
              <w:t xml:space="preserve"> </w:t>
            </w:r>
            <w:r>
              <w:rPr>
                <w:spacing w:val="-39"/>
                <w:sz w:val="24"/>
              </w:rPr>
              <w:t xml:space="preserve">度 </w:t>
            </w:r>
            <w:r>
              <w:rPr>
                <w:rFonts w:ascii="Times New Roman" w:eastAsia="Times New Roman"/>
                <w:sz w:val="24"/>
              </w:rPr>
              <w:t>25</w:t>
            </w:r>
            <w:r>
              <w:rPr>
                <w:rFonts w:ascii="Times New Roman" w:eastAsia="Times New Roman"/>
                <w:spacing w:val="-17"/>
                <w:sz w:val="24"/>
              </w:rPr>
              <w:t xml:space="preserve"> </w:t>
            </w:r>
            <w:r>
              <w:rPr>
                <w:spacing w:val="-39"/>
                <w:sz w:val="24"/>
              </w:rPr>
              <w:t xml:space="preserve">分 </w:t>
            </w:r>
            <w:r>
              <w:rPr>
                <w:rFonts w:ascii="Times New Roman" w:eastAsia="Times New Roman"/>
                <w:spacing w:val="-2"/>
                <w:sz w:val="24"/>
              </w:rPr>
              <w:t>46</w:t>
            </w:r>
            <w:r>
              <w:rPr>
                <w:rFonts w:ascii="Times New Roman" w:eastAsia="Times New Roman"/>
                <w:spacing w:val="0"/>
                <w:sz w:val="24"/>
              </w:rPr>
              <w:t>.</w:t>
            </w:r>
            <w:r>
              <w:rPr>
                <w:rFonts w:ascii="Times New Roman" w:eastAsia="Times New Roman"/>
                <w:spacing w:val="-2"/>
                <w:sz w:val="24"/>
              </w:rPr>
              <w:t>999</w:t>
            </w:r>
          </w:p>
          <w:p>
            <w:pPr>
              <w:pStyle w:val="TableParagraph"/>
              <w:spacing w:before="3"/>
              <w:ind w:left="110"/>
              <w:rPr>
                <w:sz w:val="24"/>
              </w:rPr>
            </w:pPr>
            <w:r>
              <w:rPr>
                <w:spacing w:val="-1"/>
                <w:sz w:val="24"/>
              </w:rPr>
              <w:t>秒，终点：</w:t>
            </w:r>
            <w:r>
              <w:rPr>
                <w:rFonts w:ascii="Times New Roman" w:eastAsia="Times New Roman"/>
                <w:spacing w:val="-3"/>
                <w:sz w:val="24"/>
              </w:rPr>
              <w:t>116</w:t>
            </w:r>
            <w:r>
              <w:rPr>
                <w:rFonts w:ascii="Times New Roman" w:eastAsia="Times New Roman"/>
                <w:spacing w:val="7"/>
                <w:sz w:val="24"/>
              </w:rPr>
              <w:t xml:space="preserve"> </w:t>
            </w:r>
            <w:r>
              <w:rPr>
                <w:spacing w:val="-27"/>
                <w:sz w:val="24"/>
              </w:rPr>
              <w:t xml:space="preserve">度 </w:t>
            </w:r>
            <w:r>
              <w:rPr>
                <w:rFonts w:ascii="Times New Roman" w:eastAsia="Times New Roman"/>
                <w:sz w:val="24"/>
              </w:rPr>
              <w:t>25</w:t>
            </w:r>
            <w:r>
              <w:rPr>
                <w:rFonts w:ascii="Times New Roman" w:eastAsia="Times New Roman"/>
                <w:spacing w:val="7"/>
                <w:sz w:val="24"/>
              </w:rPr>
              <w:t xml:space="preserve"> </w:t>
            </w:r>
            <w:r>
              <w:rPr>
                <w:spacing w:val="-26"/>
                <w:sz w:val="24"/>
              </w:rPr>
              <w:t xml:space="preserve">分 </w:t>
            </w:r>
            <w:r>
              <w:rPr>
                <w:rFonts w:ascii="Times New Roman" w:eastAsia="Times New Roman"/>
                <w:sz w:val="24"/>
              </w:rPr>
              <w:t>59.869</w:t>
            </w:r>
            <w:r>
              <w:rPr>
                <w:rFonts w:ascii="Times New Roman" w:eastAsia="Times New Roman"/>
                <w:spacing w:val="7"/>
                <w:sz w:val="24"/>
              </w:rPr>
              <w:t xml:space="preserve"> </w:t>
            </w:r>
            <w:r>
              <w:rPr>
                <w:sz w:val="24"/>
              </w:rPr>
              <w:t>秒，</w:t>
            </w:r>
            <w:r>
              <w:rPr>
                <w:rFonts w:ascii="Times New Roman" w:eastAsia="Times New Roman"/>
                <w:sz w:val="24"/>
              </w:rPr>
              <w:t>37</w:t>
            </w:r>
            <w:r>
              <w:rPr>
                <w:rFonts w:ascii="Times New Roman" w:eastAsia="Times New Roman"/>
                <w:spacing w:val="7"/>
                <w:sz w:val="24"/>
              </w:rPr>
              <w:t xml:space="preserve"> </w:t>
            </w:r>
            <w:r>
              <w:rPr>
                <w:spacing w:val="-26"/>
                <w:sz w:val="24"/>
              </w:rPr>
              <w:t xml:space="preserve">度 </w:t>
            </w:r>
            <w:r>
              <w:rPr>
                <w:rFonts w:ascii="Times New Roman" w:eastAsia="Times New Roman"/>
                <w:sz w:val="24"/>
              </w:rPr>
              <w:t>25</w:t>
            </w:r>
            <w:r>
              <w:rPr>
                <w:rFonts w:ascii="Times New Roman" w:eastAsia="Times New Roman"/>
                <w:spacing w:val="2"/>
                <w:sz w:val="24"/>
              </w:rPr>
              <w:t xml:space="preserve"> </w:t>
            </w:r>
            <w:r>
              <w:rPr>
                <w:spacing w:val="-27"/>
                <w:sz w:val="24"/>
              </w:rPr>
              <w:t xml:space="preserve">分 </w:t>
            </w:r>
            <w:r>
              <w:rPr>
                <w:rFonts w:ascii="Times New Roman" w:eastAsia="Times New Roman"/>
                <w:sz w:val="24"/>
              </w:rPr>
              <w:t>39.778</w:t>
            </w:r>
            <w:r>
              <w:rPr>
                <w:rFonts w:ascii="Times New Roman" w:eastAsia="Times New Roman"/>
                <w:spacing w:val="7"/>
                <w:sz w:val="24"/>
              </w:rPr>
              <w:t xml:space="preserve"> </w:t>
            </w:r>
            <w:r>
              <w:rPr>
                <w:spacing w:val="-11"/>
                <w:sz w:val="24"/>
              </w:rPr>
              <w:t xml:space="preserve">秒，起点 </w:t>
            </w:r>
            <w:r>
              <w:rPr>
                <w:rFonts w:ascii="Times New Roman" w:eastAsia="Times New Roman"/>
                <w:spacing w:val="-4"/>
                <w:sz w:val="24"/>
              </w:rPr>
              <w:t>116</w:t>
            </w:r>
            <w:r>
              <w:rPr>
                <w:rFonts w:ascii="Times New Roman" w:eastAsia="Times New Roman"/>
                <w:spacing w:val="7"/>
                <w:sz w:val="24"/>
              </w:rPr>
              <w:t xml:space="preserve"> </w:t>
            </w:r>
            <w:r>
              <w:rPr>
                <w:spacing w:val="-27"/>
                <w:sz w:val="24"/>
              </w:rPr>
              <w:t xml:space="preserve">度 </w:t>
            </w:r>
            <w:r>
              <w:rPr>
                <w:rFonts w:ascii="Times New Roman" w:eastAsia="Times New Roman"/>
                <w:spacing w:val="-3"/>
                <w:sz w:val="24"/>
              </w:rPr>
              <w:t>26</w:t>
            </w:r>
            <w:r>
              <w:rPr>
                <w:rFonts w:ascii="Times New Roman" w:eastAsia="Times New Roman"/>
                <w:spacing w:val="8"/>
                <w:sz w:val="24"/>
              </w:rPr>
              <w:t xml:space="preserve"> </w:t>
            </w:r>
            <w:r>
              <w:rPr>
                <w:sz w:val="24"/>
              </w:rPr>
              <w:t>分</w:t>
            </w:r>
          </w:p>
          <w:p>
            <w:pPr>
              <w:pStyle w:val="TableParagraph"/>
              <w:spacing w:before="158"/>
              <w:ind w:left="110"/>
              <w:rPr>
                <w:rFonts w:ascii="Times New Roman" w:eastAsia="Times New Roman"/>
                <w:sz w:val="24"/>
              </w:rPr>
            </w:pPr>
            <w:r>
              <w:rPr>
                <w:rFonts w:ascii="Times New Roman" w:eastAsia="Times New Roman"/>
                <w:sz w:val="24"/>
              </w:rPr>
              <w:t>48</w:t>
            </w:r>
            <w:r>
              <w:rPr>
                <w:rFonts w:ascii="Times New Roman" w:eastAsia="Times New Roman"/>
                <w:spacing w:val="2"/>
                <w:sz w:val="24"/>
              </w:rPr>
              <w:t>.</w:t>
            </w:r>
            <w:r>
              <w:rPr>
                <w:rFonts w:ascii="Times New Roman" w:eastAsia="Times New Roman"/>
                <w:sz w:val="24"/>
              </w:rPr>
              <w:t>505</w:t>
            </w:r>
            <w:r>
              <w:rPr>
                <w:rFonts w:ascii="Times New Roman" w:eastAsia="Times New Roman"/>
                <w:spacing w:val="-12"/>
                <w:sz w:val="24"/>
              </w:rPr>
              <w:t xml:space="preserve"> </w:t>
            </w:r>
            <w:r>
              <w:rPr>
                <w:spacing w:val="-60"/>
                <w:sz w:val="24"/>
              </w:rPr>
              <w:t>秒，</w:t>
            </w:r>
            <w:r>
              <w:rPr>
                <w:rFonts w:ascii="Times New Roman" w:eastAsia="Times New Roman"/>
                <w:sz w:val="24"/>
              </w:rPr>
              <w:t>37</w:t>
            </w:r>
            <w:r>
              <w:rPr>
                <w:rFonts w:ascii="Times New Roman" w:eastAsia="Times New Roman"/>
                <w:spacing w:val="-12"/>
                <w:sz w:val="24"/>
              </w:rPr>
              <w:t xml:space="preserve"> </w:t>
            </w:r>
            <w:r>
              <w:rPr>
                <w:spacing w:val="-36"/>
                <w:sz w:val="24"/>
              </w:rPr>
              <w:t xml:space="preserve">度 </w:t>
            </w:r>
            <w:r>
              <w:rPr>
                <w:rFonts w:ascii="Times New Roman" w:eastAsia="Times New Roman"/>
                <w:sz w:val="24"/>
              </w:rPr>
              <w:t>25</w:t>
            </w:r>
            <w:r>
              <w:rPr>
                <w:rFonts w:ascii="Times New Roman" w:eastAsia="Times New Roman"/>
                <w:spacing w:val="-12"/>
                <w:sz w:val="24"/>
              </w:rPr>
              <w:t xml:space="preserve"> </w:t>
            </w:r>
            <w:r>
              <w:rPr>
                <w:spacing w:val="-36"/>
                <w:sz w:val="24"/>
              </w:rPr>
              <w:t xml:space="preserve">分 </w:t>
            </w:r>
            <w:r>
              <w:rPr>
                <w:rFonts w:ascii="Times New Roman" w:eastAsia="Times New Roman"/>
                <w:sz w:val="24"/>
              </w:rPr>
              <w:t>34</w:t>
            </w:r>
            <w:r>
              <w:rPr>
                <w:rFonts w:ascii="Times New Roman" w:eastAsia="Times New Roman"/>
                <w:spacing w:val="2"/>
                <w:sz w:val="24"/>
              </w:rPr>
              <w:t>.</w:t>
            </w:r>
            <w:r>
              <w:rPr>
                <w:rFonts w:ascii="Times New Roman" w:eastAsia="Times New Roman"/>
                <w:sz w:val="24"/>
              </w:rPr>
              <w:t>928</w:t>
            </w:r>
            <w:r>
              <w:rPr>
                <w:rFonts w:ascii="Times New Roman" w:eastAsia="Times New Roman"/>
                <w:spacing w:val="-12"/>
                <w:sz w:val="24"/>
              </w:rPr>
              <w:t xml:space="preserve"> </w:t>
            </w:r>
            <w:r>
              <w:rPr>
                <w:spacing w:val="-39"/>
                <w:sz w:val="24"/>
              </w:rPr>
              <w:t xml:space="preserve">秒，终点 </w:t>
            </w:r>
            <w:r>
              <w:rPr>
                <w:rFonts w:ascii="Times New Roman" w:eastAsia="Times New Roman"/>
                <w:spacing w:val="-10"/>
                <w:sz w:val="24"/>
              </w:rPr>
              <w:t>1</w:t>
            </w:r>
            <w:r>
              <w:rPr>
                <w:rFonts w:ascii="Times New Roman" w:eastAsia="Times New Roman"/>
                <w:sz w:val="24"/>
              </w:rPr>
              <w:t>16</w:t>
            </w:r>
            <w:r>
              <w:rPr>
                <w:rFonts w:ascii="Times New Roman" w:eastAsia="Times New Roman"/>
                <w:spacing w:val="-8"/>
                <w:sz w:val="24"/>
              </w:rPr>
              <w:t xml:space="preserve"> </w:t>
            </w:r>
            <w:r>
              <w:rPr>
                <w:spacing w:val="-36"/>
                <w:sz w:val="24"/>
              </w:rPr>
              <w:t xml:space="preserve">度 </w:t>
            </w:r>
            <w:r>
              <w:rPr>
                <w:rFonts w:ascii="Times New Roman" w:eastAsia="Times New Roman"/>
                <w:sz w:val="24"/>
              </w:rPr>
              <w:t>28</w:t>
            </w:r>
            <w:r>
              <w:rPr>
                <w:rFonts w:ascii="Times New Roman" w:eastAsia="Times New Roman"/>
                <w:spacing w:val="-7"/>
                <w:sz w:val="24"/>
              </w:rPr>
              <w:t xml:space="preserve"> </w:t>
            </w:r>
            <w:r>
              <w:rPr>
                <w:spacing w:val="-36"/>
                <w:sz w:val="24"/>
              </w:rPr>
              <w:t xml:space="preserve">分 </w:t>
            </w:r>
            <w:r>
              <w:rPr>
                <w:rFonts w:ascii="Times New Roman" w:eastAsia="Times New Roman"/>
                <w:sz w:val="24"/>
              </w:rPr>
              <w:t>59</w:t>
            </w:r>
            <w:r>
              <w:rPr>
                <w:rFonts w:ascii="Times New Roman" w:eastAsia="Times New Roman"/>
                <w:spacing w:val="2"/>
                <w:sz w:val="24"/>
              </w:rPr>
              <w:t>.</w:t>
            </w:r>
            <w:r>
              <w:rPr>
                <w:rFonts w:ascii="Times New Roman" w:eastAsia="Times New Roman"/>
                <w:sz w:val="24"/>
              </w:rPr>
              <w:t>963</w:t>
            </w:r>
            <w:r>
              <w:rPr>
                <w:rFonts w:ascii="Times New Roman" w:eastAsia="Times New Roman"/>
                <w:spacing w:val="-12"/>
                <w:sz w:val="24"/>
              </w:rPr>
              <w:t xml:space="preserve"> </w:t>
            </w:r>
            <w:r>
              <w:rPr>
                <w:spacing w:val="-60"/>
                <w:sz w:val="24"/>
              </w:rPr>
              <w:t>秒，</w:t>
            </w:r>
            <w:r>
              <w:rPr>
                <w:rFonts w:ascii="Times New Roman" w:eastAsia="Times New Roman"/>
                <w:sz w:val="24"/>
              </w:rPr>
              <w:t>37</w:t>
            </w:r>
            <w:r>
              <w:rPr>
                <w:rFonts w:ascii="Times New Roman" w:eastAsia="Times New Roman"/>
                <w:spacing w:val="-12"/>
                <w:sz w:val="24"/>
              </w:rPr>
              <w:t xml:space="preserve"> </w:t>
            </w:r>
            <w:r>
              <w:rPr>
                <w:spacing w:val="-36"/>
                <w:sz w:val="24"/>
              </w:rPr>
              <w:t xml:space="preserve">度 </w:t>
            </w:r>
            <w:r>
              <w:rPr>
                <w:rFonts w:ascii="Times New Roman" w:eastAsia="Times New Roman"/>
                <w:sz w:val="24"/>
              </w:rPr>
              <w:t>25</w:t>
            </w:r>
            <w:r>
              <w:rPr>
                <w:rFonts w:ascii="Times New Roman" w:eastAsia="Times New Roman"/>
                <w:spacing w:val="-8"/>
                <w:sz w:val="24"/>
              </w:rPr>
              <w:t xml:space="preserve"> </w:t>
            </w:r>
            <w:r>
              <w:rPr>
                <w:spacing w:val="-36"/>
                <w:sz w:val="24"/>
              </w:rPr>
              <w:t xml:space="preserve">分 </w:t>
            </w:r>
            <w:r>
              <w:rPr>
                <w:rFonts w:ascii="Times New Roman" w:eastAsia="Times New Roman"/>
                <w:sz w:val="24"/>
              </w:rPr>
              <w:t>22</w:t>
            </w:r>
            <w:r>
              <w:rPr>
                <w:rFonts w:ascii="Times New Roman" w:eastAsia="Times New Roman"/>
                <w:spacing w:val="2"/>
                <w:sz w:val="24"/>
              </w:rPr>
              <w:t>.</w:t>
            </w:r>
            <w:r>
              <w:rPr>
                <w:rFonts w:ascii="Times New Roman" w:eastAsia="Times New Roman"/>
                <w:sz w:val="24"/>
              </w:rPr>
              <w:t>343</w:t>
            </w:r>
          </w:p>
          <w:p>
            <w:pPr>
              <w:pStyle w:val="TableParagraph"/>
              <w:spacing w:before="163"/>
              <w:ind w:left="110"/>
              <w:rPr>
                <w:sz w:val="24"/>
              </w:rPr>
            </w:pPr>
            <w:r>
              <w:rPr>
                <w:sz w:val="24"/>
              </w:rPr>
              <w:t>秒</w:t>
            </w:r>
          </w:p>
          <w:p>
            <w:pPr>
              <w:pStyle w:val="TableParagraph"/>
              <w:spacing w:before="158" w:line="364" w:lineRule="auto"/>
              <w:ind w:left="110" w:right="84" w:firstLine="480"/>
              <w:rPr>
                <w:rFonts w:ascii="Times New Roman" w:eastAsia="Times New Roman"/>
                <w:sz w:val="24"/>
              </w:rPr>
            </w:pPr>
            <w:r>
              <w:rPr>
                <w:sz w:val="24"/>
              </w:rPr>
              <w:t>长河公园与岔河连通工程位于长河公园与岔河连接处，工程内容是新建</w:t>
            </w:r>
            <w:r>
              <w:rPr>
                <w:spacing w:val="-3"/>
                <w:sz w:val="24"/>
              </w:rPr>
              <w:t xml:space="preserve">涵洞连通岔河与长河公园。起点 </w:t>
            </w:r>
            <w:r>
              <w:rPr>
                <w:rFonts w:ascii="Times New Roman" w:eastAsia="Times New Roman"/>
                <w:spacing w:val="-4"/>
                <w:sz w:val="24"/>
              </w:rPr>
              <w:t>116</w:t>
            </w:r>
            <w:r>
              <w:rPr>
                <w:rFonts w:ascii="Times New Roman" w:eastAsia="Times New Roman"/>
                <w:spacing w:val="22"/>
                <w:sz w:val="24"/>
              </w:rPr>
              <w:t xml:space="preserve"> </w:t>
            </w:r>
            <w:r>
              <w:rPr>
                <w:spacing w:val="-19"/>
                <w:sz w:val="24"/>
              </w:rPr>
              <w:t xml:space="preserve">度 </w:t>
            </w:r>
            <w:r>
              <w:rPr>
                <w:rFonts w:ascii="Times New Roman" w:eastAsia="Times New Roman"/>
                <w:spacing w:val="-3"/>
                <w:sz w:val="24"/>
              </w:rPr>
              <w:t>20</w:t>
            </w:r>
            <w:r>
              <w:rPr>
                <w:rFonts w:ascii="Times New Roman" w:eastAsia="Times New Roman"/>
                <w:spacing w:val="22"/>
                <w:sz w:val="24"/>
              </w:rPr>
              <w:t xml:space="preserve"> </w:t>
            </w:r>
            <w:r>
              <w:rPr>
                <w:spacing w:val="-22"/>
                <w:sz w:val="24"/>
              </w:rPr>
              <w:t xml:space="preserve">分 </w:t>
            </w:r>
            <w:r>
              <w:rPr>
                <w:rFonts w:ascii="Times New Roman" w:eastAsia="Times New Roman"/>
                <w:sz w:val="24"/>
              </w:rPr>
              <w:t>19.921</w:t>
            </w:r>
            <w:r>
              <w:rPr>
                <w:rFonts w:ascii="Times New Roman" w:eastAsia="Times New Roman"/>
                <w:spacing w:val="23"/>
                <w:sz w:val="24"/>
              </w:rPr>
              <w:t xml:space="preserve"> </w:t>
            </w:r>
            <w:r>
              <w:rPr>
                <w:sz w:val="24"/>
              </w:rPr>
              <w:t>秒，</w:t>
            </w:r>
            <w:r>
              <w:rPr>
                <w:rFonts w:ascii="Times New Roman" w:eastAsia="Times New Roman"/>
                <w:sz w:val="24"/>
              </w:rPr>
              <w:t>37</w:t>
            </w:r>
            <w:r>
              <w:rPr>
                <w:rFonts w:ascii="Times New Roman" w:eastAsia="Times New Roman"/>
                <w:spacing w:val="16"/>
                <w:sz w:val="24"/>
              </w:rPr>
              <w:t xml:space="preserve"> </w:t>
            </w:r>
            <w:r>
              <w:rPr>
                <w:spacing w:val="-19"/>
                <w:sz w:val="24"/>
              </w:rPr>
              <w:t xml:space="preserve">度 </w:t>
            </w:r>
            <w:r>
              <w:rPr>
                <w:rFonts w:ascii="Times New Roman" w:eastAsia="Times New Roman"/>
                <w:sz w:val="24"/>
              </w:rPr>
              <w:t>27</w:t>
            </w:r>
            <w:r>
              <w:rPr>
                <w:rFonts w:ascii="Times New Roman" w:eastAsia="Times New Roman"/>
                <w:spacing w:val="22"/>
                <w:sz w:val="24"/>
              </w:rPr>
              <w:t xml:space="preserve"> </w:t>
            </w:r>
            <w:r>
              <w:rPr>
                <w:spacing w:val="-19"/>
                <w:sz w:val="24"/>
              </w:rPr>
              <w:t xml:space="preserve">分 </w:t>
            </w:r>
            <w:r>
              <w:rPr>
                <w:rFonts w:ascii="Times New Roman" w:eastAsia="Times New Roman"/>
                <w:spacing w:val="-3"/>
                <w:sz w:val="24"/>
              </w:rPr>
              <w:t>14.146</w:t>
            </w:r>
          </w:p>
          <w:p>
            <w:pPr>
              <w:pStyle w:val="TableParagraph"/>
              <w:spacing w:before="2"/>
              <w:ind w:left="110"/>
              <w:rPr>
                <w:sz w:val="24"/>
              </w:rPr>
            </w:pPr>
            <w:r>
              <w:rPr>
                <w:sz w:val="24"/>
              </w:rPr>
              <w:t xml:space="preserve">秒终点 </w:t>
            </w:r>
            <w:r>
              <w:rPr>
                <w:rFonts w:ascii="Times New Roman" w:eastAsia="Times New Roman"/>
                <w:sz w:val="24"/>
              </w:rPr>
              <w:t xml:space="preserve">116 </w:t>
            </w:r>
            <w:r>
              <w:rPr>
                <w:sz w:val="24"/>
              </w:rPr>
              <w:t xml:space="preserve">度 </w:t>
            </w:r>
            <w:r>
              <w:rPr>
                <w:rFonts w:ascii="Times New Roman" w:eastAsia="Times New Roman"/>
                <w:sz w:val="24"/>
              </w:rPr>
              <w:t xml:space="preserve">20 </w:t>
            </w:r>
            <w:r>
              <w:rPr>
                <w:sz w:val="24"/>
              </w:rPr>
              <w:t xml:space="preserve">分 </w:t>
            </w:r>
            <w:r>
              <w:rPr>
                <w:rFonts w:ascii="Times New Roman" w:eastAsia="Times New Roman"/>
                <w:sz w:val="24"/>
              </w:rPr>
              <w:t xml:space="preserve">35.894 </w:t>
            </w:r>
            <w:r>
              <w:rPr>
                <w:sz w:val="24"/>
              </w:rPr>
              <w:t>秒，</w:t>
            </w:r>
            <w:r>
              <w:rPr>
                <w:rFonts w:ascii="Times New Roman" w:eastAsia="Times New Roman"/>
                <w:sz w:val="24"/>
              </w:rPr>
              <w:t xml:space="preserve">37 </w:t>
            </w:r>
            <w:r>
              <w:rPr>
                <w:sz w:val="24"/>
              </w:rPr>
              <w:t xml:space="preserve">度 </w:t>
            </w:r>
            <w:r>
              <w:rPr>
                <w:rFonts w:ascii="Times New Roman" w:eastAsia="Times New Roman"/>
                <w:sz w:val="24"/>
              </w:rPr>
              <w:t xml:space="preserve">27 </w:t>
            </w:r>
            <w:r>
              <w:rPr>
                <w:sz w:val="24"/>
              </w:rPr>
              <w:t xml:space="preserve">分 </w:t>
            </w:r>
            <w:r>
              <w:rPr>
                <w:rFonts w:ascii="Times New Roman" w:eastAsia="Times New Roman"/>
                <w:sz w:val="24"/>
              </w:rPr>
              <w:t xml:space="preserve">12.611 </w:t>
            </w:r>
            <w:r>
              <w:rPr>
                <w:sz w:val="24"/>
              </w:rPr>
              <w:t>秒。</w:t>
            </w:r>
          </w:p>
          <w:p>
            <w:pPr>
              <w:pStyle w:val="TableParagraph"/>
              <w:spacing w:before="158" w:line="362" w:lineRule="auto"/>
              <w:ind w:left="110" w:right="88" w:firstLine="480"/>
              <w:rPr>
                <w:rFonts w:ascii="Times New Roman" w:eastAsia="Times New Roman"/>
                <w:sz w:val="24"/>
              </w:rPr>
            </w:pPr>
            <w:r>
              <w:rPr>
                <w:spacing w:val="-1"/>
                <w:sz w:val="24"/>
              </w:rPr>
              <w:t xml:space="preserve">岔河、减河堤顶路改造工程包括堤顶路改造 </w:t>
            </w:r>
            <w:r>
              <w:rPr>
                <w:rFonts w:ascii="Times New Roman" w:eastAsia="Times New Roman"/>
                <w:sz w:val="24"/>
              </w:rPr>
              <w:t>4km</w:t>
            </w:r>
            <w:r>
              <w:rPr>
                <w:sz w:val="24"/>
              </w:rPr>
              <w:t>，主要是对现状堤顶土</w:t>
            </w:r>
            <w:r>
              <w:rPr>
                <w:spacing w:val="-5"/>
                <w:sz w:val="24"/>
              </w:rPr>
              <w:t xml:space="preserve">路提升改造。起点 </w:t>
            </w:r>
            <w:r>
              <w:rPr>
                <w:rFonts w:ascii="Times New Roman" w:eastAsia="Times New Roman"/>
                <w:spacing w:val="-4"/>
                <w:sz w:val="24"/>
              </w:rPr>
              <w:t xml:space="preserve">116 </w:t>
            </w:r>
            <w:r>
              <w:rPr>
                <w:spacing w:val="-22"/>
                <w:sz w:val="24"/>
              </w:rPr>
              <w:t xml:space="preserve">度 </w:t>
            </w:r>
            <w:r>
              <w:rPr>
                <w:rFonts w:ascii="Times New Roman" w:eastAsia="Times New Roman"/>
                <w:sz w:val="24"/>
              </w:rPr>
              <w:t xml:space="preserve">22 </w:t>
            </w:r>
            <w:r>
              <w:rPr>
                <w:spacing w:val="-21"/>
                <w:sz w:val="24"/>
              </w:rPr>
              <w:t xml:space="preserve">分 </w:t>
            </w:r>
            <w:r>
              <w:rPr>
                <w:rFonts w:ascii="Times New Roman" w:eastAsia="Times New Roman"/>
                <w:sz w:val="24"/>
              </w:rPr>
              <w:t xml:space="preserve">36.649 </w:t>
            </w:r>
            <w:r>
              <w:rPr>
                <w:sz w:val="24"/>
              </w:rPr>
              <w:t>秒，</w:t>
            </w:r>
            <w:r>
              <w:rPr>
                <w:rFonts w:ascii="Times New Roman" w:eastAsia="Times New Roman"/>
                <w:sz w:val="24"/>
              </w:rPr>
              <w:t xml:space="preserve">37 </w:t>
            </w:r>
            <w:r>
              <w:rPr>
                <w:spacing w:val="-22"/>
                <w:sz w:val="24"/>
              </w:rPr>
              <w:t xml:space="preserve">度 </w:t>
            </w:r>
            <w:r>
              <w:rPr>
                <w:rFonts w:ascii="Times New Roman" w:eastAsia="Times New Roman"/>
                <w:sz w:val="24"/>
              </w:rPr>
              <w:t xml:space="preserve">30 </w:t>
            </w:r>
            <w:r>
              <w:rPr>
                <w:spacing w:val="-21"/>
                <w:sz w:val="24"/>
              </w:rPr>
              <w:t xml:space="preserve">分 </w:t>
            </w:r>
            <w:r>
              <w:rPr>
                <w:rFonts w:ascii="Times New Roman" w:eastAsia="Times New Roman"/>
                <w:sz w:val="24"/>
              </w:rPr>
              <w:t xml:space="preserve">19.958 </w:t>
            </w:r>
            <w:r>
              <w:rPr>
                <w:spacing w:val="-9"/>
                <w:sz w:val="24"/>
              </w:rPr>
              <w:t xml:space="preserve">秒，终点 </w:t>
            </w:r>
            <w:r>
              <w:rPr>
                <w:rFonts w:ascii="Times New Roman" w:eastAsia="Times New Roman"/>
                <w:spacing w:val="-4"/>
                <w:sz w:val="24"/>
              </w:rPr>
              <w:t>116</w:t>
            </w:r>
          </w:p>
          <w:p>
            <w:pPr>
              <w:pStyle w:val="TableParagraph"/>
              <w:spacing w:before="3" w:line="367" w:lineRule="auto"/>
              <w:ind w:left="590" w:right="3584" w:hanging="480"/>
              <w:rPr>
                <w:sz w:val="24"/>
              </w:rPr>
            </w:pPr>
            <w:r>
              <w:rPr>
                <w:spacing w:val="-31"/>
                <w:sz w:val="24"/>
              </w:rPr>
              <w:t xml:space="preserve">度 </w:t>
            </w:r>
            <w:r>
              <w:rPr>
                <w:rFonts w:ascii="Times New Roman" w:eastAsia="Times New Roman"/>
                <w:sz w:val="24"/>
              </w:rPr>
              <w:t xml:space="preserve">23 </w:t>
            </w:r>
            <w:r>
              <w:rPr>
                <w:spacing w:val="-31"/>
                <w:sz w:val="24"/>
              </w:rPr>
              <w:t xml:space="preserve">分 </w:t>
            </w:r>
            <w:r>
              <w:rPr>
                <w:rFonts w:ascii="Times New Roman" w:eastAsia="Times New Roman"/>
                <w:sz w:val="24"/>
              </w:rPr>
              <w:t xml:space="preserve">33.565 </w:t>
            </w:r>
            <w:r>
              <w:rPr>
                <w:sz w:val="24"/>
              </w:rPr>
              <w:t>秒，</w:t>
            </w:r>
            <w:r>
              <w:rPr>
                <w:rFonts w:ascii="Times New Roman" w:eastAsia="Times New Roman"/>
                <w:sz w:val="24"/>
              </w:rPr>
              <w:t xml:space="preserve">37 </w:t>
            </w:r>
            <w:r>
              <w:rPr>
                <w:spacing w:val="-31"/>
                <w:sz w:val="24"/>
              </w:rPr>
              <w:t xml:space="preserve">度 </w:t>
            </w:r>
            <w:r>
              <w:rPr>
                <w:rFonts w:ascii="Times New Roman" w:eastAsia="Times New Roman"/>
                <w:sz w:val="24"/>
              </w:rPr>
              <w:t xml:space="preserve">31 </w:t>
            </w:r>
            <w:r>
              <w:rPr>
                <w:spacing w:val="-31"/>
                <w:sz w:val="24"/>
              </w:rPr>
              <w:t xml:space="preserve">分 </w:t>
            </w:r>
            <w:r>
              <w:rPr>
                <w:rFonts w:ascii="Times New Roman" w:eastAsia="Times New Roman"/>
                <w:sz w:val="24"/>
              </w:rPr>
              <w:t xml:space="preserve">26.731 </w:t>
            </w:r>
            <w:r>
              <w:rPr>
                <w:sz w:val="24"/>
              </w:rPr>
              <w:t>秒。</w:t>
            </w:r>
            <w:r>
              <w:rPr>
                <w:spacing w:val="-5"/>
                <w:sz w:val="24"/>
              </w:rPr>
              <w:t xml:space="preserve">项目具体地理位置图见附图 </w:t>
            </w:r>
            <w:r>
              <w:rPr>
                <w:rFonts w:ascii="Times New Roman" w:eastAsia="Times New Roman"/>
                <w:sz w:val="24"/>
              </w:rPr>
              <w:t>1</w:t>
            </w:r>
            <w:r>
              <w:rPr>
                <w:sz w:val="24"/>
              </w:rPr>
              <w:t>。</w:t>
            </w:r>
          </w:p>
        </w:tc>
      </w:tr>
    </w:tbl>
    <w:p>
      <w:pPr>
        <w:pStyle w:val="BodyText"/>
        <w:rPr>
          <w:rFonts w:ascii="黑体"/>
          <w:sz w:val="30"/>
        </w:rPr>
      </w:pPr>
    </w:p>
    <w:p>
      <w:pPr>
        <w:pStyle w:val="BodyText"/>
        <w:spacing w:before="2"/>
        <w:rPr>
          <w:rFonts w:ascii="黑体"/>
          <w:sz w:val="27"/>
        </w:rPr>
      </w:pPr>
    </w:p>
    <w:p>
      <w:pPr>
        <w:spacing w:before="1"/>
        <w:ind w:left="0" w:right="705" w:firstLine="0"/>
        <w:jc w:val="right"/>
        <w:rPr>
          <w:sz w:val="28"/>
        </w:rPr>
      </w:pPr>
      <w:r>
        <w:rPr>
          <w:sz w:val="28"/>
        </w:rPr>
        <w:t>—</w:t>
      </w:r>
      <w:r>
        <w:rPr>
          <w:sz w:val="26"/>
        </w:rPr>
        <w:t>20</w:t>
      </w:r>
      <w:r>
        <w:rPr>
          <w:sz w:val="28"/>
        </w:rPr>
        <w:t>—</w:t>
      </w:r>
    </w:p>
    <w:p>
      <w:pPr>
        <w:spacing w:after="0"/>
        <w:jc w:val="right"/>
        <w:rPr>
          <w:sz w:val="28"/>
        </w:rPr>
        <w:sectPr>
          <w:pgSz w:w="11910" w:h="16840"/>
          <w:pgMar w:top="1580" w:right="820" w:bottom="280" w:left="980" w:header="720" w:footer="720" w:gutter="0"/>
          <w:pgNumType w:start="25"/>
          <w:cols w:num="1" w:space="720"/>
        </w:sectPr>
      </w:pPr>
    </w:p>
    <w:p>
      <w:pPr>
        <w:pStyle w:val="BodyText"/>
        <w:spacing w:before="11"/>
        <w:rPr>
          <w:sz w:val="7"/>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8206"/>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197"/>
        </w:trPr>
        <w:tc>
          <w:tcPr>
            <w:tcW w:w="783" w:type="dxa"/>
            <w:tcBorders>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34"/>
              </w:rPr>
            </w:pPr>
          </w:p>
          <w:p>
            <w:pPr>
              <w:pStyle w:val="TableParagraph"/>
              <w:spacing w:line="244" w:lineRule="auto"/>
              <w:ind w:left="148" w:right="137"/>
              <w:jc w:val="both"/>
              <w:rPr>
                <w:sz w:val="24"/>
              </w:rPr>
            </w:pPr>
            <w:r>
              <w:rPr>
                <w:sz w:val="24"/>
              </w:rPr>
              <w:t xml:space="preserve">项目组成及规模 </w:t>
            </w:r>
          </w:p>
        </w:tc>
        <w:tc>
          <w:tcPr>
            <w:tcW w:w="8206" w:type="dxa"/>
            <w:tcBorders>
              <w:left w:val="single" w:sz="4" w:space="0" w:color="000000"/>
            </w:tcBorders>
          </w:tcPr>
          <w:p>
            <w:pPr>
              <w:pStyle w:val="TableParagraph"/>
              <w:spacing w:before="124"/>
              <w:ind w:left="590"/>
              <w:rPr>
                <w:b/>
                <w:sz w:val="24"/>
              </w:rPr>
            </w:pPr>
            <w:r>
              <w:rPr>
                <w:b/>
                <w:sz w:val="24"/>
              </w:rPr>
              <w:t>一、项目由来</w:t>
            </w:r>
          </w:p>
          <w:p>
            <w:pPr>
              <w:pStyle w:val="TableParagraph"/>
              <w:spacing w:before="158" w:line="364" w:lineRule="auto"/>
              <w:ind w:left="110" w:right="90" w:firstLine="480"/>
              <w:jc w:val="both"/>
              <w:rPr>
                <w:sz w:val="24"/>
              </w:rPr>
            </w:pPr>
            <w:r>
              <w:rPr>
                <w:rFonts w:ascii="Times New Roman" w:eastAsia="Times New Roman" w:hAnsi="Times New Roman"/>
                <w:sz w:val="24"/>
              </w:rPr>
              <w:t xml:space="preserve">2021 </w:t>
            </w:r>
            <w:r>
              <w:rPr>
                <w:spacing w:val="-29"/>
                <w:sz w:val="24"/>
              </w:rPr>
              <w:t xml:space="preserve">年 </w:t>
            </w:r>
            <w:r>
              <w:rPr>
                <w:rFonts w:ascii="Times New Roman" w:eastAsia="Times New Roman" w:hAnsi="Times New Roman"/>
                <w:sz w:val="24"/>
              </w:rPr>
              <w:t xml:space="preserve">9 </w:t>
            </w:r>
            <w:r>
              <w:rPr>
                <w:spacing w:val="-29"/>
                <w:sz w:val="24"/>
              </w:rPr>
              <w:t xml:space="preserve">月 </w:t>
            </w:r>
            <w:r>
              <w:rPr>
                <w:rFonts w:ascii="Times New Roman" w:eastAsia="Times New Roman" w:hAnsi="Times New Roman"/>
                <w:sz w:val="24"/>
              </w:rPr>
              <w:t xml:space="preserve">6 </w:t>
            </w:r>
            <w:r>
              <w:rPr>
                <w:spacing w:val="-2"/>
                <w:sz w:val="24"/>
              </w:rPr>
              <w:t>日，山东省人民政府发布山东省“十四五”发展规划的通</w:t>
            </w:r>
            <w:r>
              <w:rPr>
                <w:spacing w:val="-10"/>
                <w:sz w:val="24"/>
              </w:rPr>
              <w:t>知</w:t>
            </w:r>
            <w:r>
              <w:rPr>
                <w:sz w:val="24"/>
              </w:rPr>
              <w:t>（鲁政字</w:t>
            </w:r>
            <w:r>
              <w:rPr>
                <w:rFonts w:ascii="Times New Roman" w:eastAsia="Times New Roman" w:hAnsi="Times New Roman"/>
                <w:sz w:val="24"/>
              </w:rPr>
              <w:t xml:space="preserve">[2021]157 </w:t>
            </w:r>
            <w:r>
              <w:rPr>
                <w:sz w:val="24"/>
              </w:rPr>
              <w:t>号</w:t>
            </w:r>
            <w:r>
              <w:rPr>
                <w:spacing w:val="-10"/>
                <w:sz w:val="24"/>
              </w:rPr>
              <w:t>）</w:t>
            </w:r>
            <w:r>
              <w:rPr>
                <w:spacing w:val="-5"/>
                <w:sz w:val="24"/>
              </w:rPr>
              <w:t>提出：论证实施德州市水系连通水网工程，加强与</w:t>
            </w:r>
            <w:r>
              <w:rPr>
                <w:sz w:val="24"/>
              </w:rPr>
              <w:t>省级骨干水网的连通。四支沟、站前沟、杨庄河是德州市城区水系连通规划</w:t>
            </w:r>
            <w:r>
              <w:rPr>
                <w:spacing w:val="-9"/>
                <w:sz w:val="24"/>
              </w:rPr>
              <w:t xml:space="preserve">中“四纵三横 </w:t>
            </w:r>
            <w:r>
              <w:rPr>
                <w:rFonts w:ascii="Times New Roman" w:eastAsia="Times New Roman" w:hAnsi="Times New Roman"/>
                <w:sz w:val="24"/>
              </w:rPr>
              <w:t xml:space="preserve">27 </w:t>
            </w:r>
            <w:r>
              <w:rPr>
                <w:sz w:val="24"/>
              </w:rPr>
              <w:t>廊”的重要“</w:t>
            </w:r>
            <w:r>
              <w:rPr>
                <w:rFonts w:ascii="Times New Roman" w:eastAsia="Times New Roman" w:hAnsi="Times New Roman"/>
                <w:sz w:val="24"/>
              </w:rPr>
              <w:t xml:space="preserve">3 </w:t>
            </w:r>
            <w:r>
              <w:rPr>
                <w:spacing w:val="-1"/>
                <w:sz w:val="24"/>
              </w:rPr>
              <w:t>廊”，也是德州市幸福美丽河湖三年建设计</w:t>
            </w:r>
            <w:r>
              <w:rPr>
                <w:sz w:val="24"/>
              </w:rPr>
              <w:t>划河道之一。</w:t>
            </w:r>
          </w:p>
          <w:p>
            <w:pPr>
              <w:pStyle w:val="TableParagraph"/>
              <w:spacing w:line="364" w:lineRule="auto"/>
              <w:ind w:left="110" w:right="-29" w:firstLine="480"/>
              <w:rPr>
                <w:sz w:val="24"/>
              </w:rPr>
            </w:pPr>
            <w:r>
              <w:rPr>
                <w:sz w:val="24"/>
              </w:rPr>
              <w:t>袁桥镇四支沟开挖于上世纪八十年代初“方田建设”时期，承担袁桥镇</w:t>
            </w:r>
            <w:r>
              <w:rPr>
                <w:rFonts w:ascii="Times New Roman" w:eastAsia="Times New Roman" w:hAnsi="Times New Roman"/>
                <w:sz w:val="24"/>
              </w:rPr>
              <w:t>20</w:t>
            </w:r>
            <w:r>
              <w:rPr>
                <w:rFonts w:ascii="Times New Roman" w:eastAsia="Times New Roman" w:hAnsi="Times New Roman"/>
                <w:spacing w:val="-3"/>
                <w:sz w:val="24"/>
              </w:rPr>
              <w:t xml:space="preserve"> </w:t>
            </w:r>
            <w:r>
              <w:rPr>
                <w:spacing w:val="-10"/>
                <w:sz w:val="24"/>
              </w:rPr>
              <w:t>余平方公里排涝，运行四十余年未治理，灌排功能锐减，需治理恢复功能。</w:t>
            </w:r>
            <w:r>
              <w:rPr>
                <w:spacing w:val="-1"/>
                <w:sz w:val="24"/>
              </w:rPr>
              <w:t>站前沟开挖于上世纪八十年代初，</w:t>
            </w:r>
            <w:r>
              <w:rPr>
                <w:rFonts w:ascii="Times New Roman" w:eastAsia="Times New Roman" w:hAnsi="Times New Roman"/>
                <w:spacing w:val="-12"/>
                <w:sz w:val="24"/>
              </w:rPr>
              <w:t>2010</w:t>
            </w:r>
            <w:r>
              <w:rPr>
                <w:rFonts w:ascii="Times New Roman" w:eastAsia="Times New Roman" w:hAnsi="Times New Roman"/>
                <w:spacing w:val="-3"/>
                <w:sz w:val="24"/>
              </w:rPr>
              <w:t xml:space="preserve"> </w:t>
            </w:r>
            <w:r>
              <w:rPr>
                <w:spacing w:val="-13"/>
                <w:sz w:val="24"/>
              </w:rPr>
              <w:t xml:space="preserve">年治理不彻底，承担袁桥镇 </w:t>
            </w:r>
            <w:r>
              <w:rPr>
                <w:rFonts w:ascii="Times New Roman" w:eastAsia="Times New Roman" w:hAnsi="Times New Roman"/>
                <w:sz w:val="24"/>
              </w:rPr>
              <w:t>20</w:t>
            </w:r>
            <w:r>
              <w:rPr>
                <w:rFonts w:ascii="Times New Roman" w:eastAsia="Times New Roman" w:hAnsi="Times New Roman"/>
                <w:spacing w:val="-2"/>
                <w:sz w:val="24"/>
              </w:rPr>
              <w:t xml:space="preserve"> </w:t>
            </w:r>
            <w:r>
              <w:rPr>
                <w:sz w:val="24"/>
              </w:rPr>
              <w:t>余平方公里排涝，现淤积严重，需治理恢复灌排功能。</w:t>
            </w:r>
          </w:p>
          <w:p>
            <w:pPr>
              <w:pStyle w:val="TableParagraph"/>
              <w:spacing w:line="362" w:lineRule="auto"/>
              <w:ind w:left="110" w:right="89" w:firstLine="480"/>
              <w:rPr>
                <w:sz w:val="24"/>
              </w:rPr>
            </w:pPr>
            <w:r>
              <w:rPr>
                <w:spacing w:val="-7"/>
                <w:sz w:val="24"/>
              </w:rPr>
              <w:t xml:space="preserve">长河公园西侧沟渠，原为长河街道杏园村村内排水沟，承担 </w:t>
            </w:r>
            <w:r>
              <w:rPr>
                <w:rFonts w:ascii="Times New Roman" w:eastAsia="Times New Roman"/>
                <w:sz w:val="24"/>
              </w:rPr>
              <w:t xml:space="preserve">30 </w:t>
            </w:r>
            <w:r>
              <w:rPr>
                <w:spacing w:val="-5"/>
                <w:sz w:val="24"/>
              </w:rPr>
              <w:t>余平方公</w:t>
            </w:r>
            <w:r>
              <w:rPr>
                <w:sz w:val="24"/>
              </w:rPr>
              <w:t>里排涝面积，沟渠淤积不畅，需治理并与主行洪河道（岔河）连通。</w:t>
            </w:r>
          </w:p>
          <w:p>
            <w:pPr>
              <w:pStyle w:val="TableParagraph"/>
              <w:spacing w:before="3" w:line="364" w:lineRule="auto"/>
              <w:ind w:left="110" w:right="90" w:firstLine="480"/>
              <w:rPr>
                <w:sz w:val="24"/>
              </w:rPr>
            </w:pPr>
            <w:r>
              <w:rPr>
                <w:spacing w:val="-9"/>
                <w:sz w:val="24"/>
              </w:rPr>
              <w:t xml:space="preserve">杨庄河开挖于 </w:t>
            </w:r>
            <w:r>
              <w:rPr>
                <w:rFonts w:ascii="Times New Roman" w:eastAsia="Times New Roman"/>
                <w:sz w:val="24"/>
              </w:rPr>
              <w:t xml:space="preserve">1974 </w:t>
            </w:r>
            <w:r>
              <w:rPr>
                <w:spacing w:val="-4"/>
                <w:sz w:val="24"/>
              </w:rPr>
              <w:t>年，</w:t>
            </w:r>
            <w:r>
              <w:rPr>
                <w:rFonts w:ascii="Times New Roman" w:eastAsia="Times New Roman"/>
                <w:spacing w:val="-7"/>
                <w:sz w:val="24"/>
              </w:rPr>
              <w:t xml:space="preserve">2009 </w:t>
            </w:r>
            <w:r>
              <w:rPr>
                <w:spacing w:val="-9"/>
                <w:sz w:val="24"/>
              </w:rPr>
              <w:t>年治理不彻底，运行十余年未治理，现淤积</w:t>
            </w:r>
            <w:r>
              <w:rPr>
                <w:sz w:val="24"/>
              </w:rPr>
              <w:t>严重，灌排不畅，需治理。</w:t>
            </w:r>
          </w:p>
          <w:p>
            <w:pPr>
              <w:pStyle w:val="TableParagraph"/>
              <w:spacing w:line="364" w:lineRule="auto"/>
              <w:ind w:left="110" w:right="93" w:firstLine="480"/>
              <w:jc w:val="both"/>
              <w:rPr>
                <w:sz w:val="24"/>
              </w:rPr>
            </w:pPr>
            <w:r>
              <w:rPr>
                <w:spacing w:val="-11"/>
                <w:sz w:val="24"/>
              </w:rPr>
              <w:t>因此，实施经开区引调水工程是十分必要的。</w:t>
            </w:r>
            <w:r>
              <w:rPr>
                <w:rFonts w:ascii="Times New Roman" w:eastAsia="Times New Roman"/>
                <w:sz w:val="24"/>
              </w:rPr>
              <w:t xml:space="preserve">2021 </w:t>
            </w:r>
            <w:r>
              <w:rPr>
                <w:spacing w:val="-30"/>
                <w:sz w:val="24"/>
              </w:rPr>
              <w:t xml:space="preserve">年 </w:t>
            </w:r>
            <w:r>
              <w:rPr>
                <w:rFonts w:ascii="Times New Roman" w:eastAsia="Times New Roman"/>
                <w:sz w:val="24"/>
              </w:rPr>
              <w:t xml:space="preserve">11 </w:t>
            </w:r>
            <w:r>
              <w:rPr>
                <w:spacing w:val="-2"/>
                <w:sz w:val="24"/>
              </w:rPr>
              <w:t>月莱德州宏润建</w:t>
            </w:r>
            <w:r>
              <w:rPr>
                <w:sz w:val="24"/>
              </w:rPr>
              <w:t>设管理有限公司委托山东省水利勘测设计研究院有限公司编写了《德州经济</w:t>
            </w:r>
            <w:r>
              <w:rPr>
                <w:spacing w:val="-6"/>
                <w:sz w:val="24"/>
              </w:rPr>
              <w:t xml:space="preserve">技术开发区引调水工程可行性研究报告》，于 </w:t>
            </w:r>
            <w:r>
              <w:rPr>
                <w:rFonts w:ascii="Times New Roman" w:eastAsia="Times New Roman"/>
                <w:sz w:val="24"/>
              </w:rPr>
              <w:t xml:space="preserve">2022 </w:t>
            </w:r>
            <w:r>
              <w:rPr>
                <w:spacing w:val="-32"/>
                <w:sz w:val="24"/>
              </w:rPr>
              <w:t xml:space="preserve">年 </w:t>
            </w:r>
            <w:r>
              <w:rPr>
                <w:rFonts w:ascii="Times New Roman" w:eastAsia="Times New Roman"/>
                <w:sz w:val="24"/>
              </w:rPr>
              <w:t xml:space="preserve">7 </w:t>
            </w:r>
            <w:r>
              <w:rPr>
                <w:spacing w:val="-32"/>
                <w:sz w:val="24"/>
              </w:rPr>
              <w:t xml:space="preserve">月 </w:t>
            </w:r>
            <w:r>
              <w:rPr>
                <w:rFonts w:ascii="Times New Roman" w:eastAsia="Times New Roman"/>
                <w:sz w:val="24"/>
              </w:rPr>
              <w:t xml:space="preserve">2 </w:t>
            </w:r>
            <w:r>
              <w:rPr>
                <w:spacing w:val="-5"/>
                <w:sz w:val="24"/>
              </w:rPr>
              <w:t>日取得《关于德</w:t>
            </w:r>
            <w:r>
              <w:rPr>
                <w:sz w:val="24"/>
              </w:rPr>
              <w:t>州宏润建设管理有限公司德州经济技术开发区引调水工程可行性研究报告的批复》（德经开经发改【</w:t>
            </w:r>
            <w:r>
              <w:rPr>
                <w:rFonts w:ascii="Times New Roman" w:eastAsia="Times New Roman"/>
                <w:sz w:val="24"/>
              </w:rPr>
              <w:t>2022</w:t>
            </w:r>
            <w:r>
              <w:rPr>
                <w:sz w:val="24"/>
              </w:rPr>
              <w:t>】</w:t>
            </w:r>
            <w:r>
              <w:rPr>
                <w:rFonts w:ascii="Times New Roman" w:eastAsia="Times New Roman"/>
                <w:sz w:val="24"/>
              </w:rPr>
              <w:t xml:space="preserve">26 </w:t>
            </w:r>
            <w:r>
              <w:rPr>
                <w:sz w:val="24"/>
              </w:rPr>
              <w:t>号）。</w:t>
            </w:r>
          </w:p>
          <w:p>
            <w:pPr>
              <w:pStyle w:val="TableParagraph"/>
              <w:spacing w:line="364" w:lineRule="auto"/>
              <w:ind w:left="110" w:right="-44" w:firstLine="480"/>
              <w:rPr>
                <w:sz w:val="24"/>
              </w:rPr>
            </w:pPr>
            <w:r>
              <w:rPr>
                <w:sz w:val="24"/>
              </w:rPr>
              <w:t>根据《中华人民共和国环境影响评价法》第十六条、《建设项目环境保</w:t>
            </w:r>
            <w:r>
              <w:rPr>
                <w:spacing w:val="-13"/>
                <w:sz w:val="24"/>
              </w:rPr>
              <w:t>护管理条例》第七条和《建设项目环境影响评价分类管理名录</w:t>
            </w:r>
            <w:r>
              <w:rPr>
                <w:spacing w:val="-144"/>
                <w:sz w:val="24"/>
              </w:rPr>
              <w:t>》</w:t>
            </w:r>
            <w:r>
              <w:rPr>
                <w:sz w:val="24"/>
              </w:rPr>
              <w:t>（</w:t>
            </w:r>
            <w:r>
              <w:rPr>
                <w:rFonts w:ascii="Times New Roman" w:eastAsia="Times New Roman" w:hAnsi="Times New Roman"/>
                <w:sz w:val="24"/>
              </w:rPr>
              <w:t>2021</w:t>
            </w:r>
            <w:r>
              <w:rPr>
                <w:rFonts w:ascii="Times New Roman" w:eastAsia="Times New Roman" w:hAnsi="Times New Roman"/>
                <w:spacing w:val="-1"/>
                <w:sz w:val="24"/>
              </w:rPr>
              <w:t xml:space="preserve"> </w:t>
            </w:r>
            <w:r>
              <w:rPr>
                <w:spacing w:val="2"/>
                <w:sz w:val="24"/>
              </w:rPr>
              <w:t>年版</w:t>
            </w:r>
            <w:r>
              <w:rPr>
                <w:spacing w:val="-36"/>
                <w:sz w:val="24"/>
              </w:rPr>
              <w:t xml:space="preserve">）， </w:t>
            </w:r>
            <w:r>
              <w:rPr>
                <w:spacing w:val="4"/>
                <w:sz w:val="24"/>
              </w:rPr>
              <w:t>本项目属于</w:t>
            </w:r>
            <w:r>
              <w:rPr>
                <w:rFonts w:ascii="Times New Roman" w:eastAsia="Times New Roman" w:hAnsi="Times New Roman"/>
                <w:sz w:val="24"/>
              </w:rPr>
              <w:t>“</w:t>
            </w:r>
            <w:r>
              <w:rPr>
                <w:spacing w:val="4"/>
                <w:sz w:val="24"/>
              </w:rPr>
              <w:t>五十一、水利</w:t>
            </w:r>
            <w:r>
              <w:rPr>
                <w:rFonts w:ascii="Times New Roman" w:eastAsia="Times New Roman" w:hAnsi="Times New Roman"/>
                <w:sz w:val="24"/>
              </w:rPr>
              <w:t>”</w:t>
            </w:r>
            <w:r>
              <w:rPr>
                <w:spacing w:val="4"/>
                <w:sz w:val="24"/>
              </w:rPr>
              <w:t>大类中</w:t>
            </w:r>
            <w:r>
              <w:rPr>
                <w:rFonts w:ascii="Times New Roman" w:eastAsia="Times New Roman" w:hAnsi="Times New Roman"/>
                <w:sz w:val="24"/>
              </w:rPr>
              <w:t xml:space="preserve">“128 </w:t>
            </w:r>
            <w:r>
              <w:rPr>
                <w:spacing w:val="4"/>
                <w:sz w:val="24"/>
              </w:rPr>
              <w:t>河湖整治（</w:t>
            </w:r>
            <w:r>
              <w:rPr>
                <w:spacing w:val="2"/>
                <w:sz w:val="24"/>
              </w:rPr>
              <w:t>不含农村塘堰、水渠</w:t>
            </w:r>
            <w:r>
              <w:rPr>
                <w:spacing w:val="3"/>
                <w:sz w:val="24"/>
              </w:rPr>
              <w:t>）</w:t>
            </w:r>
            <w:r>
              <w:rPr>
                <w:rFonts w:ascii="Times New Roman" w:eastAsia="Times New Roman" w:hAnsi="Times New Roman"/>
                <w:spacing w:val="3"/>
                <w:sz w:val="24"/>
              </w:rPr>
              <w:t xml:space="preserve">” </w:t>
            </w:r>
            <w:r>
              <w:rPr>
                <w:spacing w:val="4"/>
                <w:sz w:val="24"/>
              </w:rPr>
              <w:t>中的</w:t>
            </w:r>
            <w:r>
              <w:rPr>
                <w:rFonts w:ascii="Times New Roman" w:eastAsia="Times New Roman" w:hAnsi="Times New Roman"/>
                <w:sz w:val="24"/>
              </w:rPr>
              <w:t>“</w:t>
            </w:r>
            <w:r>
              <w:rPr>
                <w:spacing w:val="4"/>
                <w:sz w:val="24"/>
              </w:rPr>
              <w:t>其他</w:t>
            </w:r>
            <w:r>
              <w:rPr>
                <w:rFonts w:ascii="Times New Roman" w:eastAsia="Times New Roman" w:hAnsi="Times New Roman"/>
                <w:sz w:val="24"/>
              </w:rPr>
              <w:t>”</w:t>
            </w:r>
            <w:r>
              <w:rPr>
                <w:sz w:val="24"/>
              </w:rPr>
              <w:t>，应编制环境影响报告表；因此德州宏润建设管理有限公司委托我公司对本项目进行环境影响报告表的编制工作。我单位接受委托后，立即开展了详细的现场踏勘、资料收集工作，依据《德州经济技术开发区引调水工程可行性研究报告》并结合本项目有关环境现状和可能造成的生态环境影响进行分析后，依照环境影响评价技术导则的要求编制了《德州经济技术开</w:t>
            </w:r>
          </w:p>
          <w:p>
            <w:pPr>
              <w:pStyle w:val="TableParagraph"/>
              <w:spacing w:line="304" w:lineRule="exact"/>
              <w:ind w:left="110"/>
              <w:rPr>
                <w:sz w:val="24"/>
              </w:rPr>
            </w:pPr>
            <w:r>
              <w:rPr>
                <w:sz w:val="24"/>
              </w:rPr>
              <w:t>发区引调水工程环境影响报告表》。</w:t>
            </w:r>
          </w:p>
        </w:tc>
      </w:tr>
    </w:tbl>
    <w:p>
      <w:pPr>
        <w:pStyle w:val="BodyText"/>
        <w:rPr>
          <w:sz w:val="20"/>
        </w:rPr>
      </w:pPr>
    </w:p>
    <w:p>
      <w:pPr>
        <w:pStyle w:val="BodyText"/>
        <w:rPr>
          <w:sz w:val="20"/>
        </w:rPr>
      </w:pPr>
    </w:p>
    <w:p>
      <w:pPr>
        <w:pStyle w:val="BodyText"/>
        <w:spacing w:before="7"/>
        <w:rPr>
          <w:sz w:val="21"/>
        </w:rPr>
      </w:pPr>
    </w:p>
    <w:p>
      <w:pPr>
        <w:spacing w:before="60"/>
        <w:ind w:left="551" w:right="0" w:firstLine="0"/>
        <w:jc w:val="left"/>
        <w:rPr>
          <w:sz w:val="28"/>
        </w:rPr>
      </w:pPr>
      <w:r>
        <w:rPr>
          <w:sz w:val="28"/>
        </w:rPr>
        <w:t>—</w:t>
      </w:r>
      <w:r>
        <w:rPr>
          <w:sz w:val="26"/>
        </w:rPr>
        <w:t>21</w:t>
      </w:r>
      <w:r>
        <w:rPr>
          <w:sz w:val="28"/>
        </w:rPr>
        <w:t>—</w:t>
      </w:r>
    </w:p>
    <w:p>
      <w:pPr>
        <w:spacing w:after="0"/>
        <w:jc w:val="left"/>
        <w:rPr>
          <w:sz w:val="28"/>
        </w:rPr>
        <w:sectPr>
          <w:pgSz w:w="11910" w:h="16840"/>
          <w:pgMar w:top="1580" w:right="820" w:bottom="280" w:left="980" w:header="720" w:footer="720" w:gutter="0"/>
          <w:pgNumType w:start="26"/>
          <w:cols w:num="1" w:space="720"/>
        </w:sectPr>
      </w:pPr>
    </w:p>
    <w:p>
      <w:pPr>
        <w:pStyle w:val="Heading4"/>
        <w:spacing w:before="125"/>
      </w:pPr>
      <w:r>
        <w:pict>
          <v:group id="_x0000_s1035" o:spid="_x0000_s1025" style="width:450.45pt;height:672.2pt;margin-top:84.95pt;margin-left:72.5pt;mso-height-relative:page;mso-position-horizontal-relative:page;mso-position-vertical-relative:page;mso-width-relative:page;position:absolute;z-index:-251658240" coordorigin="1450,1700" coordsize="9009,13444">
            <v:rect id="_x0000_s1036" o:spid="_x0000_s1026" style="width:20;height:20;left:1450;position:absolute;top:1699" coordsize="21600,21600" filled="t" fillcolor="black" stroked="f"/>
            <v:line id="_x0000_s1037" o:spid="_x0000_s1027" style="position:absolute" from="1469,1709" to="2238,1709" coordsize="21600,21600" stroked="t" strokecolor="black"/>
            <v:rect id="_x0000_s1038" o:spid="_x0000_s1028" style="width:20;height:20;left:2237;position:absolute;top:1699" coordsize="21600,21600" filled="t" fillcolor="black" stroked="f"/>
            <v:line id="_x0000_s1039" o:spid="_x0000_s1029" style="position:absolute" from="2257,1709" to="10439,1709" coordsize="21600,21600" stroked="t" strokecolor="black"/>
            <v:rect id="_x0000_s1040" o:spid="_x0000_s1030" style="width:20;height:20;left:10439;position:absolute;top:1699" coordsize="21600,21600" filled="t" fillcolor="black" stroked="f"/>
            <v:line id="_x0000_s1041" o:spid="_x0000_s1031" style="position:absolute" from="1460,1719" to="1460,15124" coordsize="21600,21600" stroked="t" strokecolor="black"/>
            <v:rect id="_x0000_s1042" o:spid="_x0000_s1032" style="width:20;height:20;left:1450;position:absolute;top:15123" coordsize="21600,21600" filled="t" fillcolor="black" stroked="f"/>
            <v:line id="_x0000_s1043" o:spid="_x0000_s1033" style="position:absolute" from="1469,15133" to="2238,15133" coordsize="21600,21600" stroked="t" strokecolor="black"/>
            <v:line id="_x0000_s1044" o:spid="_x0000_s1034" style="position:absolute" from="2243,1719" to="2243,15124" coordsize="21600,21600" stroked="t" strokecolor="black"/>
            <v:rect id="_x0000_s1045" o:spid="_x0000_s1035" style="width:20;height:20;left:2237;position:absolute;top:15123" coordsize="21600,21600" filled="t" fillcolor="black" stroked="f"/>
            <v:line id="_x0000_s1046" o:spid="_x0000_s1036" style="position:absolute" from="2257,15133" to="10439,15133" coordsize="21600,21600" stroked="t" strokecolor="black"/>
            <v:line id="_x0000_s1047" o:spid="_x0000_s1037" style="position:absolute" from="10449,1719" to="10449,15124" coordsize="21600,21600" stroked="t" strokecolor="black"/>
            <v:rect id="_x0000_s1048" o:spid="_x0000_s1038" style="width:20;height:20;left:10439;position:absolute;top:15123" coordsize="21600,21600" filled="t" fillcolor="black" stroked="f"/>
          </v:group>
        </w:pict>
      </w:r>
      <w:r>
        <w:t>二、工程任务</w:t>
      </w:r>
    </w:p>
    <w:p>
      <w:pPr>
        <w:pStyle w:val="BodyText"/>
        <w:spacing w:before="158" w:line="364" w:lineRule="auto"/>
        <w:ind w:left="1368" w:right="812" w:firstLine="480"/>
        <w:jc w:val="both"/>
      </w:pPr>
      <w:r>
        <w:t xml:space="preserve">通过实施引调水工程，实现四支沟与减河、站前沟、杨庄河与减马横河的连通，保障长河公园与岔河连通性，同时将四支沟、站前沟、杨庄河打造成为集排涝、调水、生态功能于一体的城区综合河道，为德州城区加快构建“四纵三横 </w:t>
      </w:r>
      <w:r>
        <w:rPr>
          <w:rFonts w:ascii="Times New Roman" w:eastAsia="Times New Roman" w:hAnsi="Times New Roman"/>
        </w:rPr>
        <w:t xml:space="preserve">27 </w:t>
      </w:r>
      <w:r>
        <w:t>廊”现代水网水系奠定良好的基础。</w:t>
      </w:r>
    </w:p>
    <w:p>
      <w:pPr>
        <w:pStyle w:val="Heading4"/>
        <w:spacing w:line="306" w:lineRule="exact"/>
      </w:pPr>
      <w:r>
        <w:t>三、工程内容</w:t>
      </w:r>
    </w:p>
    <w:p>
      <w:pPr>
        <w:pStyle w:val="BodyText"/>
        <w:spacing w:before="158" w:line="364" w:lineRule="auto"/>
        <w:ind w:left="1368" w:right="628" w:firstLine="480"/>
        <w:jc w:val="both"/>
      </w:pPr>
      <w:r>
        <w:t>本次工程涉及四支沟综合治理、站前沟综合治理、杨庄河综合治理、长河公园与岔河连通工程、岔河减河堤顶路改造工程五部分，共清淤疏浚河道</w:t>
      </w:r>
      <w:r>
        <w:rPr>
          <w:rFonts w:ascii="Times New Roman" w:eastAsia="Times New Roman"/>
          <w:spacing w:val="-4"/>
        </w:rPr>
        <w:t>15.1km</w:t>
      </w:r>
      <w:r>
        <w:rPr>
          <w:spacing w:val="-16"/>
        </w:rPr>
        <w:t xml:space="preserve">，挡墙 </w:t>
      </w:r>
      <w:r>
        <w:rPr>
          <w:rFonts w:ascii="Times New Roman" w:eastAsia="Times New Roman"/>
          <w:spacing w:val="-4"/>
        </w:rPr>
        <w:t>3.9km</w:t>
      </w:r>
      <w:r>
        <w:rPr>
          <w:spacing w:val="-8"/>
        </w:rPr>
        <w:t xml:space="preserve">，绿化景观健康步道 </w:t>
      </w:r>
      <w:r>
        <w:rPr>
          <w:rFonts w:ascii="Times New Roman" w:eastAsia="Times New Roman"/>
          <w:spacing w:val="-3"/>
        </w:rPr>
        <w:t>7.8km</w:t>
      </w:r>
      <w:r>
        <w:rPr>
          <w:spacing w:val="-11"/>
        </w:rPr>
        <w:t xml:space="preserve">，堤顶路改造 </w:t>
      </w:r>
      <w:r>
        <w:rPr>
          <w:rFonts w:ascii="Times New Roman" w:eastAsia="Times New Roman"/>
          <w:spacing w:val="-7"/>
        </w:rPr>
        <w:t>4km</w:t>
      </w:r>
      <w:r>
        <w:rPr>
          <w:spacing w:val="-3"/>
        </w:rPr>
        <w:t>，水环境综</w:t>
      </w:r>
      <w:r>
        <w:rPr>
          <w:spacing w:val="-19"/>
        </w:rPr>
        <w:t xml:space="preserve">合治理 </w:t>
      </w:r>
      <w:r>
        <w:rPr>
          <w:rFonts w:ascii="Times New Roman" w:eastAsia="Times New Roman"/>
        </w:rPr>
        <w:t>1.4km</w:t>
      </w:r>
      <w:r>
        <w:rPr>
          <w:spacing w:val="-12"/>
        </w:rPr>
        <w:t xml:space="preserve">，新建闸 </w:t>
      </w:r>
      <w:r>
        <w:rPr>
          <w:rFonts w:ascii="Times New Roman" w:eastAsia="Times New Roman"/>
        </w:rPr>
        <w:t xml:space="preserve">2 </w:t>
      </w:r>
      <w:r>
        <w:rPr>
          <w:spacing w:val="-9"/>
        </w:rPr>
        <w:t xml:space="preserve">座，新建泵站 </w:t>
      </w:r>
      <w:r>
        <w:rPr>
          <w:rFonts w:ascii="Times New Roman" w:eastAsia="Times New Roman"/>
        </w:rPr>
        <w:t xml:space="preserve">1 </w:t>
      </w:r>
      <w:r>
        <w:rPr>
          <w:spacing w:val="-9"/>
        </w:rPr>
        <w:t xml:space="preserve">座，新建涵洞 </w:t>
      </w:r>
      <w:r>
        <w:rPr>
          <w:rFonts w:ascii="Times New Roman" w:eastAsia="Times New Roman"/>
        </w:rPr>
        <w:t xml:space="preserve">1 </w:t>
      </w:r>
      <w:r>
        <w:rPr>
          <w:spacing w:val="-9"/>
        </w:rPr>
        <w:t xml:space="preserve">座，新建桥梁 </w:t>
      </w:r>
      <w:r>
        <w:rPr>
          <w:rFonts w:ascii="Times New Roman" w:eastAsia="Times New Roman"/>
        </w:rPr>
        <w:t xml:space="preserve">3 </w:t>
      </w:r>
      <w:r>
        <w:rPr>
          <w:spacing w:val="-6"/>
        </w:rPr>
        <w:t>座，</w:t>
      </w:r>
    </w:p>
    <w:p>
      <w:pPr>
        <w:pStyle w:val="BodyText"/>
        <w:spacing w:line="306" w:lineRule="exact"/>
        <w:ind w:left="1368"/>
        <w:jc w:val="both"/>
      </w:pPr>
      <w:r>
        <w:t xml:space="preserve">拆除重建桥梁 </w:t>
      </w:r>
      <w:r>
        <w:rPr>
          <w:rFonts w:ascii="Times New Roman" w:eastAsia="Times New Roman"/>
        </w:rPr>
        <w:t xml:space="preserve">1 </w:t>
      </w:r>
      <w:r>
        <w:t>座。具体工程建设内容为：</w:t>
      </w:r>
    </w:p>
    <w:p>
      <w:pPr>
        <w:pStyle w:val="BodyText"/>
        <w:spacing w:before="159" w:line="364" w:lineRule="auto"/>
        <w:ind w:left="1368" w:right="740" w:firstLine="480"/>
        <w:jc w:val="both"/>
      </w:pPr>
      <w:r>
        <w:t>四支沟综合治理范围自入马赞河口～</w:t>
      </w:r>
      <w:r>
        <w:rPr>
          <w:spacing w:val="-13"/>
        </w:rPr>
        <w:t xml:space="preserve">入减河口，治理长度为 </w:t>
      </w:r>
      <w:r>
        <w:rPr>
          <w:rFonts w:ascii="Times New Roman" w:eastAsia="Times New Roman"/>
        </w:rPr>
        <w:t>6.2km</w:t>
      </w:r>
      <w:r>
        <w:rPr>
          <w:spacing w:val="-24"/>
        </w:rPr>
        <w:t>。工程</w:t>
      </w:r>
      <w:r>
        <w:rPr>
          <w:spacing w:val="-4"/>
        </w:rPr>
        <w:t xml:space="preserve">内容包括河道清淤疏浚 </w:t>
      </w:r>
      <w:r>
        <w:rPr>
          <w:rFonts w:ascii="Times New Roman" w:eastAsia="Times New Roman"/>
        </w:rPr>
        <w:t>6.2km</w:t>
      </w:r>
      <w:r>
        <w:rPr>
          <w:spacing w:val="-8"/>
        </w:rPr>
        <w:t xml:space="preserve">，南岸 </w:t>
      </w:r>
      <w:r>
        <w:rPr>
          <w:rFonts w:ascii="Times New Roman" w:eastAsia="Times New Roman"/>
        </w:rPr>
        <w:t xml:space="preserve">10m </w:t>
      </w:r>
      <w:r>
        <w:rPr>
          <w:spacing w:val="-4"/>
        </w:rPr>
        <w:t xml:space="preserve">宽绿化景观健康步道 </w:t>
      </w:r>
      <w:r>
        <w:rPr>
          <w:rFonts w:ascii="Times New Roman" w:eastAsia="Times New Roman"/>
        </w:rPr>
        <w:t>6.2km</w:t>
      </w:r>
      <w:r>
        <w:t>；拆除</w:t>
      </w:r>
      <w:r>
        <w:rPr>
          <w:spacing w:val="-2"/>
        </w:rPr>
        <w:t xml:space="preserve">重建避雪店沟桥，西端入减河口处新建排涝泵站 </w:t>
      </w:r>
      <w:r>
        <w:rPr>
          <w:rFonts w:ascii="Times New Roman" w:eastAsia="Times New Roman"/>
        </w:rPr>
        <w:t xml:space="preserve">1 </w:t>
      </w:r>
      <w:r>
        <w:rPr>
          <w:spacing w:val="-2"/>
        </w:rPr>
        <w:t>座。四支沟水环境综合治</w:t>
      </w:r>
      <w:r>
        <w:rPr>
          <w:spacing w:val="-5"/>
        </w:rPr>
        <w:t xml:space="preserve">理与再生水资源循环利用工程 </w:t>
      </w:r>
      <w:r>
        <w:rPr>
          <w:rFonts w:ascii="Times New Roman" w:eastAsia="Times New Roman"/>
          <w:spacing w:val="-3"/>
        </w:rPr>
        <w:t>1.4km</w:t>
      </w:r>
      <w:r>
        <w:rPr>
          <w:spacing w:val="-1"/>
        </w:rPr>
        <w:t>，范围自尚德三路与崇德五大道交叉口</w:t>
      </w:r>
      <w:r>
        <w:rPr>
          <w:rFonts w:ascii="Times New Roman" w:eastAsia="Times New Roman"/>
          <w:spacing w:val="-11"/>
        </w:rPr>
        <w:t xml:space="preserve">~ </w:t>
      </w:r>
      <w:r>
        <w:t>减河东大道。</w:t>
      </w:r>
    </w:p>
    <w:p>
      <w:pPr>
        <w:pStyle w:val="BodyText"/>
        <w:spacing w:before="1" w:line="364" w:lineRule="auto"/>
        <w:ind w:left="1368" w:right="628" w:firstLine="480"/>
        <w:jc w:val="both"/>
      </w:pPr>
      <w:r>
        <w:t>站前沟综合治理范围自入杨庄河口</w:t>
      </w:r>
      <w:r>
        <w:rPr>
          <w:rFonts w:ascii="Times New Roman" w:eastAsia="Times New Roman"/>
        </w:rPr>
        <w:t>~</w:t>
      </w:r>
      <w:r>
        <w:rPr>
          <w:spacing w:val="-5"/>
        </w:rPr>
        <w:t xml:space="preserve">入减马横河口，治理长度为 </w:t>
      </w:r>
      <w:r>
        <w:rPr>
          <w:rFonts w:ascii="Times New Roman" w:eastAsia="Times New Roman"/>
        </w:rPr>
        <w:t>3.9km</w:t>
      </w:r>
      <w:r>
        <w:t>。</w:t>
      </w:r>
      <w:r>
        <w:rPr>
          <w:spacing w:val="-3"/>
        </w:rPr>
        <w:t xml:space="preserve">工程内容包括河道清淤疏浚 </w:t>
      </w:r>
      <w:r>
        <w:rPr>
          <w:rFonts w:ascii="Times New Roman" w:eastAsia="Times New Roman"/>
        </w:rPr>
        <w:t>3.9km</w:t>
      </w:r>
      <w:r>
        <w:rPr>
          <w:spacing w:val="-6"/>
        </w:rPr>
        <w:t xml:space="preserve">，挡墙工程 </w:t>
      </w:r>
      <w:r>
        <w:rPr>
          <w:rFonts w:ascii="Times New Roman" w:eastAsia="Times New Roman"/>
        </w:rPr>
        <w:t>3.9km</w:t>
      </w:r>
      <w:r>
        <w:rPr>
          <w:spacing w:val="-8"/>
        </w:rPr>
        <w:t xml:space="preserve">；西岸 </w:t>
      </w:r>
      <w:r>
        <w:rPr>
          <w:rFonts w:ascii="Times New Roman" w:eastAsia="Times New Roman"/>
        </w:rPr>
        <w:t>10m</w:t>
      </w:r>
      <w:r>
        <w:rPr>
          <w:rFonts w:ascii="Times New Roman" w:eastAsia="Times New Roman"/>
          <w:spacing w:val="20"/>
        </w:rPr>
        <w:t xml:space="preserve"> </w:t>
      </w:r>
      <w:r>
        <w:t>宽绿化景观</w:t>
      </w:r>
      <w:r>
        <w:rPr>
          <w:spacing w:val="-13"/>
        </w:rPr>
        <w:t xml:space="preserve">健康步道 </w:t>
      </w:r>
      <w:r>
        <w:rPr>
          <w:rFonts w:ascii="Times New Roman" w:eastAsia="Times New Roman"/>
        </w:rPr>
        <w:t>0.6km</w:t>
      </w:r>
      <w:r>
        <w:t>，范围自入杨庄河口</w:t>
      </w:r>
      <w:r>
        <w:rPr>
          <w:rFonts w:ascii="Times New Roman" w:eastAsia="Times New Roman"/>
        </w:rPr>
        <w:t>~</w:t>
      </w:r>
      <w:r>
        <w:rPr>
          <w:spacing w:val="-5"/>
        </w:rPr>
        <w:t xml:space="preserve">牟庄村；东岸新建生态健康步道 </w:t>
      </w:r>
      <w:r>
        <w:rPr>
          <w:rFonts w:ascii="Times New Roman" w:eastAsia="Times New Roman"/>
        </w:rPr>
        <w:t>1km</w:t>
      </w:r>
      <w:r>
        <w:t xml:space="preserve">， </w:t>
      </w:r>
      <w:r>
        <w:rPr>
          <w:spacing w:val="-8"/>
        </w:rPr>
        <w:t xml:space="preserve">范围自杨庄河至德州东高铁站；新开挖明渠 </w:t>
      </w:r>
      <w:r>
        <w:rPr>
          <w:rFonts w:ascii="Times New Roman" w:eastAsia="Times New Roman"/>
          <w:spacing w:val="-11"/>
        </w:rPr>
        <w:t>0.6km</w:t>
      </w:r>
      <w:r>
        <w:rPr>
          <w:spacing w:val="-3"/>
        </w:rPr>
        <w:t>，范围为入减马横河口上游</w:t>
      </w:r>
      <w:r>
        <w:rPr>
          <w:rFonts w:ascii="Times New Roman" w:eastAsia="Times New Roman"/>
          <w:spacing w:val="-3"/>
        </w:rPr>
        <w:t>0.6km</w:t>
      </w:r>
      <w:r>
        <w:rPr>
          <w:rFonts w:ascii="Times New Roman" w:eastAsia="Times New Roman"/>
          <w:spacing w:val="-10"/>
        </w:rPr>
        <w:t xml:space="preserve"> </w:t>
      </w:r>
      <w:r>
        <w:rPr>
          <w:spacing w:val="-4"/>
        </w:rPr>
        <w:t xml:space="preserve">段；北端入杨庄河口处新建闸 </w:t>
      </w:r>
      <w:r>
        <w:rPr>
          <w:rFonts w:ascii="Times New Roman" w:eastAsia="Times New Roman"/>
        </w:rPr>
        <w:t>1</w:t>
      </w:r>
      <w:r>
        <w:rPr>
          <w:rFonts w:ascii="Times New Roman" w:eastAsia="Times New Roman"/>
          <w:spacing w:val="-2"/>
        </w:rPr>
        <w:t xml:space="preserve"> </w:t>
      </w:r>
      <w:r>
        <w:rPr>
          <w:spacing w:val="-4"/>
        </w:rPr>
        <w:t xml:space="preserve">座，德州理工学院处新建排涝闸 </w:t>
      </w:r>
      <w:r>
        <w:rPr>
          <w:rFonts w:ascii="Times New Roman" w:eastAsia="Times New Roman"/>
        </w:rPr>
        <w:t>1</w:t>
      </w:r>
      <w:r>
        <w:rPr>
          <w:rFonts w:ascii="Times New Roman" w:eastAsia="Times New Roman"/>
          <w:spacing w:val="-2"/>
        </w:rPr>
        <w:t xml:space="preserve"> </w:t>
      </w:r>
      <w:r>
        <w:rPr>
          <w:spacing w:val="-7"/>
        </w:rPr>
        <w:t>座。</w:t>
      </w:r>
    </w:p>
    <w:p>
      <w:pPr>
        <w:pStyle w:val="BodyText"/>
        <w:spacing w:line="304" w:lineRule="exact"/>
        <w:ind w:left="1368"/>
        <w:jc w:val="both"/>
      </w:pPr>
      <w:r>
        <w:rPr>
          <w:spacing w:val="-5"/>
        </w:rPr>
        <w:t xml:space="preserve">新建桥梁 </w:t>
      </w:r>
      <w:r>
        <w:rPr>
          <w:rFonts w:ascii="Times New Roman" w:eastAsia="Times New Roman"/>
        </w:rPr>
        <w:t>3</w:t>
      </w:r>
      <w:r>
        <w:rPr>
          <w:rFonts w:ascii="Times New Roman" w:eastAsia="Times New Roman"/>
          <w:spacing w:val="36"/>
        </w:rPr>
        <w:t xml:space="preserve"> </w:t>
      </w:r>
      <w:r>
        <w:rPr>
          <w:spacing w:val="-1"/>
        </w:rPr>
        <w:t>座，分别为德州理工职业学院东校门桥、规划纬十四路桥、德州</w:t>
      </w:r>
    </w:p>
    <w:p>
      <w:pPr>
        <w:pStyle w:val="BodyText"/>
        <w:spacing w:before="158"/>
        <w:ind w:left="1368"/>
      </w:pPr>
      <w:r>
        <w:t xml:space="preserve">理工职业学院形象主入口桥。拆除改建桥梁 </w:t>
      </w:r>
      <w:r>
        <w:rPr>
          <w:rFonts w:ascii="Times New Roman" w:eastAsia="Times New Roman"/>
        </w:rPr>
        <w:t xml:space="preserve">1 </w:t>
      </w:r>
      <w:r>
        <w:t>座，为避雪店沟桥。</w:t>
      </w:r>
    </w:p>
    <w:p>
      <w:pPr>
        <w:pStyle w:val="BodyText"/>
        <w:spacing w:before="163" w:line="362" w:lineRule="auto"/>
        <w:ind w:left="1368" w:right="754" w:firstLine="480"/>
      </w:pPr>
      <w:r>
        <w:t xml:space="preserve">杨庄河综合治理范围为自减河东大道至崇德五大道，崇德七大道至马赞庄村南段，清淤疏浚长度为 </w:t>
      </w:r>
      <w:r>
        <w:rPr>
          <w:rFonts w:ascii="Times New Roman" w:eastAsia="Times New Roman"/>
        </w:rPr>
        <w:t>5km</w:t>
      </w:r>
      <w:r>
        <w:t>。</w:t>
      </w:r>
    </w:p>
    <w:p>
      <w:pPr>
        <w:pStyle w:val="BodyText"/>
        <w:spacing w:before="3" w:line="362" w:lineRule="auto"/>
        <w:ind w:left="1368" w:right="754" w:firstLine="480"/>
      </w:pPr>
      <w:r>
        <w:t>长河公园与岔河连通工程位于长河公园与岔河连接处，工程内容是新建涵洞连通岔河与长河公园。</w:t>
      </w:r>
    </w:p>
    <w:p>
      <w:pPr>
        <w:pStyle w:val="BodyText"/>
        <w:spacing w:before="7" w:line="362" w:lineRule="auto"/>
        <w:ind w:left="1368" w:right="749" w:firstLine="480"/>
      </w:pPr>
      <w:r>
        <w:t xml:space="preserve">岔河、减河堤顶路改造工程包括堤顶路改造 </w:t>
      </w:r>
      <w:r>
        <w:rPr>
          <w:rFonts w:ascii="Times New Roman" w:eastAsia="Times New Roman"/>
        </w:rPr>
        <w:t>4km</w:t>
      </w:r>
      <w:r>
        <w:t>，主要是对现状堤顶土路提升改造。</w:t>
      </w:r>
    </w:p>
    <w:p>
      <w:pPr>
        <w:pStyle w:val="BodyText"/>
        <w:rPr>
          <w:sz w:val="20"/>
        </w:rPr>
      </w:pPr>
    </w:p>
    <w:p>
      <w:pPr>
        <w:pStyle w:val="BodyText"/>
        <w:spacing w:before="4"/>
        <w:rPr>
          <w:sz w:val="16"/>
        </w:rPr>
      </w:pPr>
    </w:p>
    <w:p>
      <w:pPr>
        <w:spacing w:before="59"/>
        <w:ind w:left="0" w:right="705" w:firstLine="0"/>
        <w:jc w:val="right"/>
        <w:rPr>
          <w:sz w:val="28"/>
        </w:rPr>
      </w:pPr>
      <w:r>
        <w:rPr>
          <w:sz w:val="28"/>
        </w:rPr>
        <w:t>—</w:t>
      </w:r>
      <w:r>
        <w:rPr>
          <w:sz w:val="26"/>
        </w:rPr>
        <w:t>22</w:t>
      </w:r>
      <w:r>
        <w:rPr>
          <w:sz w:val="28"/>
        </w:rPr>
        <w:t>—</w:t>
      </w:r>
    </w:p>
    <w:p>
      <w:pPr>
        <w:spacing w:after="0"/>
        <w:jc w:val="right"/>
        <w:rPr>
          <w:sz w:val="28"/>
        </w:rPr>
        <w:sectPr>
          <w:pgSz w:w="11910" w:h="16840"/>
          <w:pgMar w:top="1580" w:right="820" w:bottom="280" w:left="980" w:header="720" w:footer="720" w:gutter="0"/>
          <w:pgNumType w:start="27"/>
          <w:cols w:num="1" w:space="720"/>
        </w:sectPr>
      </w:pPr>
    </w:p>
    <w:p>
      <w:pPr>
        <w:pStyle w:val="BodyText"/>
        <w:spacing w:before="11"/>
        <w:rPr>
          <w:sz w:val="7"/>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120"/>
        <w:gridCol w:w="824"/>
        <w:gridCol w:w="473"/>
        <w:gridCol w:w="706"/>
        <w:gridCol w:w="714"/>
        <w:gridCol w:w="2697"/>
        <w:gridCol w:w="2551"/>
        <w:gridCol w:w="126"/>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4007"/>
        </w:trPr>
        <w:tc>
          <w:tcPr>
            <w:tcW w:w="783" w:type="dxa"/>
            <w:vMerge w:val="restart"/>
            <w:tcBorders>
              <w:right w:val="single" w:sz="4" w:space="0" w:color="000000"/>
            </w:tcBorders>
          </w:tcPr>
          <w:p>
            <w:pPr>
              <w:pStyle w:val="TableParagraph"/>
              <w:rPr>
                <w:rFonts w:ascii="Times New Roman"/>
                <w:sz w:val="20"/>
              </w:rPr>
            </w:pPr>
          </w:p>
        </w:tc>
        <w:tc>
          <w:tcPr>
            <w:tcW w:w="8211" w:type="dxa"/>
            <w:gridSpan w:val="8"/>
            <w:tcBorders>
              <w:left w:val="single" w:sz="4" w:space="0" w:color="000000"/>
              <w:bottom w:val="single" w:sz="12" w:space="0" w:color="000000"/>
            </w:tcBorders>
          </w:tcPr>
          <w:p>
            <w:pPr>
              <w:pStyle w:val="TableParagraph"/>
              <w:spacing w:before="4" w:line="364" w:lineRule="auto"/>
              <w:ind w:left="110" w:right="-29" w:firstLine="480"/>
              <w:rPr>
                <w:sz w:val="24"/>
              </w:rPr>
            </w:pPr>
            <w:r>
              <w:rPr>
                <w:spacing w:val="-7"/>
                <w:sz w:val="24"/>
              </w:rPr>
              <w:t>根据《建设项目环境影响评价分类管理名录》</w:t>
            </w:r>
            <w:r>
              <w:rPr>
                <w:sz w:val="24"/>
              </w:rPr>
              <w:t>（</w:t>
            </w:r>
            <w:r>
              <w:rPr>
                <w:rFonts w:ascii="Times New Roman" w:eastAsia="Times New Roman" w:hAnsi="Times New Roman"/>
                <w:sz w:val="24"/>
              </w:rPr>
              <w:t>2021</w:t>
            </w:r>
            <w:r>
              <w:rPr>
                <w:rFonts w:ascii="Times New Roman" w:eastAsia="Times New Roman" w:hAnsi="Times New Roman"/>
                <w:spacing w:val="-2"/>
                <w:sz w:val="24"/>
              </w:rPr>
              <w:t xml:space="preserve"> </w:t>
            </w:r>
            <w:r>
              <w:rPr>
                <w:sz w:val="24"/>
              </w:rPr>
              <w:t>年版</w:t>
            </w:r>
            <w:r>
              <w:rPr>
                <w:spacing w:val="-24"/>
                <w:sz w:val="24"/>
              </w:rPr>
              <w:t>）</w:t>
            </w:r>
            <w:r>
              <w:rPr>
                <w:spacing w:val="-7"/>
                <w:sz w:val="24"/>
              </w:rPr>
              <w:t>中“五十一、</w:t>
            </w:r>
            <w:r>
              <w:rPr>
                <w:sz w:val="24"/>
              </w:rPr>
              <w:t>水利”大类中的“</w:t>
            </w:r>
            <w:r>
              <w:rPr>
                <w:rFonts w:ascii="Times New Roman" w:eastAsia="Times New Roman" w:hAnsi="Times New Roman"/>
                <w:sz w:val="24"/>
              </w:rPr>
              <w:t>127</w:t>
            </w:r>
            <w:r>
              <w:rPr>
                <w:rFonts w:ascii="Times New Roman" w:eastAsia="Times New Roman" w:hAnsi="Times New Roman"/>
                <w:spacing w:val="-2"/>
                <w:sz w:val="24"/>
              </w:rPr>
              <w:t xml:space="preserve"> </w:t>
            </w:r>
            <w:r>
              <w:rPr>
                <w:sz w:val="24"/>
              </w:rPr>
              <w:t xml:space="preserve">防洪排涝工程”中的“城镇排涝河流水闸、排涝泵站” </w:t>
            </w:r>
            <w:r>
              <w:rPr>
                <w:spacing w:val="-17"/>
                <w:sz w:val="24"/>
              </w:rPr>
              <w:t>应填报环境影响登记表，“五十二、交通运输业、管道运输业”大类中的“</w:t>
            </w:r>
            <w:r>
              <w:rPr>
                <w:rFonts w:ascii="Times New Roman" w:eastAsia="Times New Roman" w:hAnsi="Times New Roman"/>
                <w:sz w:val="24"/>
              </w:rPr>
              <w:t xml:space="preserve">131 </w:t>
            </w:r>
            <w:r>
              <w:rPr>
                <w:sz w:val="24"/>
              </w:rPr>
              <w:t>城市道路</w:t>
            </w:r>
            <w:r>
              <w:rPr>
                <w:spacing w:val="4"/>
                <w:sz w:val="24"/>
              </w:rPr>
              <w:t>（</w:t>
            </w:r>
            <w:r>
              <w:rPr>
                <w:sz w:val="24"/>
              </w:rPr>
              <w:t>不含维护；不含支路、人行天桥、人行地道</w:t>
            </w:r>
            <w:r>
              <w:rPr>
                <w:spacing w:val="4"/>
                <w:sz w:val="24"/>
              </w:rPr>
              <w:t>）</w:t>
            </w:r>
            <w:r>
              <w:rPr>
                <w:sz w:val="24"/>
              </w:rPr>
              <w:t>”中的“其他”应应填报环境影响登记表，故上述工程中的水闸、排涝泵站、涵洞工程不在本次环境影响评价范围内。</w:t>
            </w:r>
          </w:p>
          <w:p>
            <w:pPr>
              <w:pStyle w:val="TableParagraph"/>
              <w:spacing w:line="302" w:lineRule="exact"/>
              <w:ind w:left="590"/>
              <w:rPr>
                <w:b/>
                <w:sz w:val="24"/>
              </w:rPr>
            </w:pPr>
            <w:r>
              <w:rPr>
                <w:b/>
                <w:sz w:val="24"/>
              </w:rPr>
              <w:t>四、工程组成</w:t>
            </w:r>
          </w:p>
          <w:p>
            <w:pPr>
              <w:pStyle w:val="TableParagraph"/>
              <w:spacing w:before="158"/>
              <w:ind w:left="590"/>
              <w:rPr>
                <w:sz w:val="24"/>
              </w:rPr>
            </w:pPr>
            <w:r>
              <w:rPr>
                <w:sz w:val="24"/>
              </w:rPr>
              <w:t>本项目工程组成情况见下表：</w:t>
            </w:r>
          </w:p>
          <w:p>
            <w:pPr>
              <w:pStyle w:val="TableParagraph"/>
              <w:spacing w:before="160" w:line="252" w:lineRule="exact"/>
              <w:ind w:left="2605" w:right="2747"/>
              <w:jc w:val="center"/>
              <w:rPr>
                <w:b/>
                <w:sz w:val="21"/>
              </w:rPr>
            </w:pPr>
            <w:r>
              <w:rPr>
                <w:b/>
                <w:sz w:val="21"/>
              </w:rPr>
              <w:t>表</w:t>
            </w:r>
            <w:r>
              <w:rPr>
                <w:rFonts w:ascii="Times New Roman" w:eastAsia="Times New Roman"/>
                <w:b/>
                <w:sz w:val="21"/>
              </w:rPr>
              <w:t xml:space="preserve">4     </w:t>
            </w:r>
            <w:r>
              <w:rPr>
                <w:b/>
                <w:sz w:val="21"/>
              </w:rPr>
              <w:t>项目工程组成一览表</w:t>
            </w:r>
          </w:p>
        </w:tc>
      </w:tr>
      <w:tr>
        <w:tblPrEx>
          <w:tblW w:w="0" w:type="auto"/>
          <w:tblInd w:w="490" w:type="dxa"/>
          <w:tblLayout w:type="fixed"/>
          <w:tblCellMar>
            <w:top w:w="0" w:type="dxa"/>
            <w:left w:w="0" w:type="dxa"/>
            <w:bottom w:w="0" w:type="dxa"/>
            <w:right w:w="0" w:type="dxa"/>
          </w:tblCellMar>
        </w:tblPrEx>
        <w:trPr>
          <w:trHeight w:val="544"/>
        </w:trPr>
        <w:tc>
          <w:tcPr>
            <w:tcW w:w="783" w:type="dxa"/>
            <w:vMerge/>
            <w:tcBorders>
              <w:top w:val="nil"/>
              <w:right w:val="single" w:sz="4" w:space="0" w:color="000000"/>
            </w:tcBorders>
          </w:tcPr>
          <w:p>
            <w:pPr>
              <w:rPr>
                <w:sz w:val="2"/>
                <w:szCs w:val="2"/>
              </w:rPr>
            </w:pPr>
          </w:p>
        </w:tc>
        <w:tc>
          <w:tcPr>
            <w:tcW w:w="120" w:type="dxa"/>
            <w:vMerge w:val="restart"/>
            <w:tcBorders>
              <w:top w:val="nil"/>
              <w:left w:val="single" w:sz="4" w:space="0" w:color="000000"/>
              <w:right w:val="single" w:sz="12" w:space="0" w:color="000000"/>
            </w:tcBorders>
          </w:tcPr>
          <w:p>
            <w:pPr>
              <w:pStyle w:val="TableParagraph"/>
              <w:rPr>
                <w:rFonts w:ascii="Times New Roman"/>
                <w:sz w:val="20"/>
              </w:rPr>
            </w:pPr>
          </w:p>
        </w:tc>
        <w:tc>
          <w:tcPr>
            <w:tcW w:w="824" w:type="dxa"/>
            <w:tcBorders>
              <w:top w:val="single" w:sz="12" w:space="0" w:color="000000"/>
              <w:left w:val="single" w:sz="12" w:space="0" w:color="000000"/>
              <w:bottom w:val="single" w:sz="6" w:space="0" w:color="000000"/>
              <w:right w:val="single" w:sz="6" w:space="0" w:color="000000"/>
            </w:tcBorders>
          </w:tcPr>
          <w:p>
            <w:pPr>
              <w:pStyle w:val="TableParagraph"/>
              <w:spacing w:line="270" w:lineRule="atLeast"/>
              <w:ind w:left="196" w:right="75"/>
              <w:rPr>
                <w:b/>
                <w:sz w:val="21"/>
              </w:rPr>
            </w:pPr>
            <w:r>
              <w:rPr>
                <w:b/>
                <w:sz w:val="21"/>
              </w:rPr>
              <w:t>项目组成</w:t>
            </w:r>
            <w:r>
              <w:rPr>
                <w:b/>
                <w:w w:val="99"/>
                <w:sz w:val="21"/>
              </w:rPr>
              <w:t xml:space="preserve"> </w:t>
            </w:r>
          </w:p>
        </w:tc>
        <w:tc>
          <w:tcPr>
            <w:tcW w:w="1893" w:type="dxa"/>
            <w:gridSpan w:val="3"/>
            <w:tcBorders>
              <w:top w:val="single" w:sz="12" w:space="0" w:color="000000"/>
              <w:left w:val="single" w:sz="6" w:space="0" w:color="000000"/>
              <w:bottom w:val="single" w:sz="6" w:space="0" w:color="000000"/>
              <w:right w:val="single" w:sz="6" w:space="0" w:color="000000"/>
            </w:tcBorders>
          </w:tcPr>
          <w:p>
            <w:pPr>
              <w:pStyle w:val="TableParagraph"/>
              <w:spacing w:before="135"/>
              <w:ind w:left="522"/>
              <w:rPr>
                <w:b/>
                <w:sz w:val="21"/>
              </w:rPr>
            </w:pPr>
            <w:r>
              <w:rPr>
                <w:b/>
                <w:sz w:val="21"/>
              </w:rPr>
              <w:t>工程名称</w:t>
            </w:r>
            <w:r>
              <w:rPr>
                <w:b/>
                <w:w w:val="99"/>
                <w:sz w:val="21"/>
              </w:rPr>
              <w:t xml:space="preserve"> </w:t>
            </w:r>
          </w:p>
        </w:tc>
        <w:tc>
          <w:tcPr>
            <w:tcW w:w="5248" w:type="dxa"/>
            <w:gridSpan w:val="2"/>
            <w:tcBorders>
              <w:top w:val="single" w:sz="12" w:space="0" w:color="000000"/>
              <w:left w:val="single" w:sz="6" w:space="0" w:color="000000"/>
              <w:bottom w:val="single" w:sz="6" w:space="0" w:color="000000"/>
              <w:right w:val="single" w:sz="12" w:space="0" w:color="000000"/>
            </w:tcBorders>
          </w:tcPr>
          <w:p>
            <w:pPr>
              <w:pStyle w:val="TableParagraph"/>
              <w:spacing w:before="135"/>
              <w:ind w:left="23"/>
              <w:jc w:val="center"/>
              <w:rPr>
                <w:b/>
                <w:sz w:val="21"/>
              </w:rPr>
            </w:pPr>
            <w:r>
              <w:rPr>
                <w:b/>
                <w:sz w:val="21"/>
              </w:rPr>
              <w:t>建设内容</w:t>
            </w:r>
          </w:p>
        </w:tc>
        <w:tc>
          <w:tcPr>
            <w:tcW w:w="126"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1064"/>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val="restart"/>
            <w:tcBorders>
              <w:top w:val="single" w:sz="6" w:space="0" w:color="000000"/>
              <w:left w:val="single" w:sz="12" w:space="0" w:color="000000"/>
              <w:bottom w:val="single" w:sz="24"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spacing w:line="244" w:lineRule="auto"/>
              <w:ind w:left="200" w:right="176"/>
              <w:rPr>
                <w:sz w:val="21"/>
              </w:rPr>
            </w:pPr>
            <w:r>
              <w:rPr>
                <w:sz w:val="21"/>
              </w:rPr>
              <w:t>主体工程</w:t>
            </w:r>
          </w:p>
        </w:tc>
        <w:tc>
          <w:tcPr>
            <w:tcW w:w="473" w:type="dxa"/>
            <w:vMerge w:val="restart"/>
            <w:tcBorders>
              <w:top w:val="single" w:sz="6" w:space="0" w:color="000000"/>
              <w:left w:val="single" w:sz="6" w:space="0" w:color="000000"/>
              <w:bottom w:val="single" w:sz="6"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6"/>
              <w:rPr>
                <w:sz w:val="16"/>
              </w:rPr>
            </w:pPr>
          </w:p>
          <w:p>
            <w:pPr>
              <w:pStyle w:val="TableParagraph"/>
              <w:spacing w:before="1" w:line="242" w:lineRule="auto"/>
              <w:ind w:left="128" w:right="118"/>
              <w:jc w:val="both"/>
              <w:rPr>
                <w:sz w:val="21"/>
              </w:rPr>
            </w:pPr>
            <w:r>
              <w:rPr>
                <w:sz w:val="21"/>
              </w:rPr>
              <w:t>河道工程</w:t>
            </w:r>
          </w:p>
        </w:tc>
        <w:tc>
          <w:tcPr>
            <w:tcW w:w="706" w:type="dxa"/>
            <w:vMerge w:val="restart"/>
            <w:tcBorders>
              <w:top w:val="single" w:sz="6" w:space="0" w:color="000000"/>
              <w:left w:val="single" w:sz="4" w:space="0" w:color="000000"/>
              <w:bottom w:val="single" w:sz="6"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6"/>
              <w:rPr>
                <w:sz w:val="17"/>
              </w:rPr>
            </w:pPr>
          </w:p>
          <w:p>
            <w:pPr>
              <w:pStyle w:val="TableParagraph"/>
              <w:spacing w:before="1" w:line="244" w:lineRule="auto"/>
              <w:ind w:left="147" w:right="123"/>
              <w:rPr>
                <w:sz w:val="21"/>
              </w:rPr>
            </w:pPr>
            <w:r>
              <w:rPr>
                <w:sz w:val="21"/>
              </w:rPr>
              <w:t>河道工程</w:t>
            </w: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before="10"/>
              <w:rPr>
                <w:sz w:val="20"/>
              </w:rPr>
            </w:pPr>
          </w:p>
          <w:p>
            <w:pPr>
              <w:pStyle w:val="TableParagraph"/>
              <w:spacing w:before="1" w:line="244" w:lineRule="auto"/>
              <w:ind w:left="258" w:right="124" w:hanging="106"/>
              <w:rPr>
                <w:sz w:val="21"/>
              </w:rPr>
            </w:pPr>
            <w:r>
              <w:rPr>
                <w:sz w:val="21"/>
              </w:rPr>
              <w:t>四支沟</w:t>
            </w:r>
          </w:p>
        </w:tc>
        <w:tc>
          <w:tcPr>
            <w:tcW w:w="5248" w:type="dxa"/>
            <w:gridSpan w:val="2"/>
            <w:tcBorders>
              <w:top w:val="single" w:sz="6" w:space="0" w:color="000000"/>
              <w:left w:val="single" w:sz="6" w:space="0" w:color="000000"/>
              <w:bottom w:val="single" w:sz="6" w:space="0" w:color="000000"/>
              <w:right w:val="single" w:sz="12" w:space="0" w:color="000000"/>
            </w:tcBorders>
          </w:tcPr>
          <w:p>
            <w:pPr>
              <w:pStyle w:val="TableParagraph"/>
              <w:spacing w:line="244" w:lineRule="auto"/>
              <w:ind w:left="113" w:right="-29" w:firstLine="14"/>
              <w:rPr>
                <w:sz w:val="21"/>
              </w:rPr>
            </w:pPr>
            <w:r>
              <w:rPr>
                <w:spacing w:val="-8"/>
                <w:sz w:val="21"/>
              </w:rPr>
              <w:t xml:space="preserve">河道清淤疏浚 </w:t>
            </w:r>
            <w:r>
              <w:rPr>
                <w:rFonts w:ascii="Times New Roman" w:eastAsia="Times New Roman"/>
                <w:sz w:val="21"/>
              </w:rPr>
              <w:t>6.2km</w:t>
            </w:r>
            <w:r>
              <w:rPr>
                <w:spacing w:val="-3"/>
                <w:sz w:val="21"/>
              </w:rPr>
              <w:t>，主河槽不进行深挖，仅在现状河</w:t>
            </w:r>
            <w:r>
              <w:rPr>
                <w:spacing w:val="-13"/>
                <w:sz w:val="21"/>
              </w:rPr>
              <w:t xml:space="preserve">底高程的基础上，平整河底，设计河底高程采用 </w:t>
            </w:r>
            <w:r>
              <w:rPr>
                <w:rFonts w:ascii="Times New Roman" w:eastAsia="Times New Roman"/>
                <w:sz w:val="21"/>
              </w:rPr>
              <w:t>15.3m</w:t>
            </w:r>
            <w:r>
              <w:rPr>
                <w:sz w:val="21"/>
              </w:rPr>
              <w:t xml:space="preserve">， </w:t>
            </w:r>
            <w:r>
              <w:rPr>
                <w:spacing w:val="-8"/>
                <w:sz w:val="21"/>
              </w:rPr>
              <w:t xml:space="preserve">河底比降为 </w:t>
            </w:r>
            <w:r>
              <w:rPr>
                <w:rFonts w:ascii="Times New Roman" w:eastAsia="Times New Roman"/>
                <w:spacing w:val="-3"/>
                <w:sz w:val="21"/>
              </w:rPr>
              <w:t>0</w:t>
            </w:r>
            <w:r>
              <w:rPr>
                <w:spacing w:val="-5"/>
                <w:sz w:val="21"/>
              </w:rPr>
              <w:t>；采用梯形横断面型式，设计河底宽度取</w:t>
            </w:r>
          </w:p>
          <w:p>
            <w:pPr>
              <w:pStyle w:val="TableParagraph"/>
              <w:spacing w:line="227" w:lineRule="exact"/>
              <w:ind w:left="752"/>
              <w:rPr>
                <w:sz w:val="21"/>
              </w:rPr>
            </w:pPr>
            <w:r>
              <w:rPr>
                <w:rFonts w:ascii="Times New Roman" w:eastAsia="Times New Roman"/>
                <w:sz w:val="21"/>
              </w:rPr>
              <w:t>7m</w:t>
            </w:r>
            <w:r>
              <w:rPr>
                <w:sz w:val="21"/>
              </w:rPr>
              <w:t xml:space="preserve">，边坡 </w:t>
            </w:r>
            <w:r>
              <w:rPr>
                <w:rFonts w:ascii="Times New Roman" w:eastAsia="Times New Roman"/>
                <w:sz w:val="21"/>
              </w:rPr>
              <w:t>1:2.5</w:t>
            </w:r>
            <w:r>
              <w:rPr>
                <w:sz w:val="21"/>
              </w:rPr>
              <w:t xml:space="preserve">，景观水水位为 </w:t>
            </w:r>
            <w:r>
              <w:rPr>
                <w:rFonts w:ascii="Times New Roman" w:eastAsia="Times New Roman"/>
                <w:sz w:val="21"/>
              </w:rPr>
              <w:t>18.50m</w:t>
            </w:r>
            <w:r>
              <w:rPr>
                <w:sz w:val="21"/>
              </w:rPr>
              <w:t>。</w:t>
            </w:r>
          </w:p>
        </w:tc>
        <w:tc>
          <w:tcPr>
            <w:tcW w:w="126"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775"/>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6" w:space="0" w:color="000000"/>
              <w:right w:val="single" w:sz="4" w:space="0" w:color="000000"/>
            </w:tcBorders>
          </w:tcPr>
          <w:p>
            <w:pPr>
              <w:rPr>
                <w:sz w:val="2"/>
                <w:szCs w:val="2"/>
              </w:rPr>
            </w:pPr>
          </w:p>
        </w:tc>
        <w:tc>
          <w:tcPr>
            <w:tcW w:w="706" w:type="dxa"/>
            <w:vMerge/>
            <w:tcBorders>
              <w:top w:val="nil"/>
              <w:left w:val="single" w:sz="4" w:space="0" w:color="000000"/>
              <w:bottom w:val="single" w:sz="6" w:space="0" w:color="000000"/>
              <w:right w:val="single" w:sz="4" w:space="0" w:color="000000"/>
            </w:tcBorders>
          </w:tcPr>
          <w:p>
            <w:pPr>
              <w:rPr>
                <w:sz w:val="2"/>
                <w:szCs w:val="2"/>
              </w:rPr>
            </w:pP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before="112"/>
              <w:ind w:left="258" w:right="124" w:hanging="106"/>
              <w:rPr>
                <w:sz w:val="21"/>
              </w:rPr>
            </w:pPr>
            <w:r>
              <w:rPr>
                <w:sz w:val="21"/>
              </w:rPr>
              <w:t>站前沟</w:t>
            </w:r>
          </w:p>
        </w:tc>
        <w:tc>
          <w:tcPr>
            <w:tcW w:w="5248" w:type="dxa"/>
            <w:gridSpan w:val="2"/>
            <w:tcBorders>
              <w:top w:val="single" w:sz="6" w:space="0" w:color="000000"/>
              <w:left w:val="single" w:sz="6" w:space="0" w:color="000000"/>
              <w:bottom w:val="single" w:sz="6" w:space="0" w:color="000000"/>
              <w:right w:val="single" w:sz="12" w:space="0" w:color="000000"/>
            </w:tcBorders>
          </w:tcPr>
          <w:p>
            <w:pPr>
              <w:pStyle w:val="TableParagraph"/>
              <w:spacing w:line="243" w:lineRule="exact"/>
              <w:ind w:left="32"/>
              <w:jc w:val="center"/>
              <w:rPr>
                <w:sz w:val="21"/>
              </w:rPr>
            </w:pPr>
            <w:r>
              <w:rPr>
                <w:sz w:val="21"/>
              </w:rPr>
              <w:t xml:space="preserve">综合治理长度 </w:t>
            </w:r>
            <w:r>
              <w:rPr>
                <w:rFonts w:ascii="Times New Roman" w:eastAsia="Times New Roman"/>
                <w:sz w:val="21"/>
              </w:rPr>
              <w:t>3.9km</w:t>
            </w:r>
            <w:r>
              <w:rPr>
                <w:sz w:val="21"/>
              </w:rPr>
              <w:t>，工程内容包括河道清淤疏浚</w:t>
            </w:r>
          </w:p>
          <w:p>
            <w:pPr>
              <w:pStyle w:val="TableParagraph"/>
              <w:spacing w:before="4"/>
              <w:ind w:left="27"/>
              <w:jc w:val="center"/>
              <w:rPr>
                <w:sz w:val="21"/>
              </w:rPr>
            </w:pPr>
            <w:r>
              <w:rPr>
                <w:rFonts w:ascii="Times New Roman" w:eastAsia="Times New Roman"/>
                <w:sz w:val="21"/>
              </w:rPr>
              <w:t>3.9km</w:t>
            </w:r>
            <w:r>
              <w:rPr>
                <w:sz w:val="21"/>
              </w:rPr>
              <w:t xml:space="preserve">，挡墙工程 </w:t>
            </w:r>
            <w:r>
              <w:rPr>
                <w:rFonts w:ascii="Times New Roman" w:eastAsia="Times New Roman"/>
                <w:sz w:val="21"/>
              </w:rPr>
              <w:t>3.9km</w:t>
            </w:r>
            <w:r>
              <w:rPr>
                <w:sz w:val="21"/>
              </w:rPr>
              <w:t xml:space="preserve">；新开挖明渠 </w:t>
            </w:r>
            <w:r>
              <w:rPr>
                <w:rFonts w:ascii="Times New Roman" w:eastAsia="Times New Roman"/>
                <w:sz w:val="21"/>
              </w:rPr>
              <w:t>0.6km</w:t>
            </w:r>
            <w:r>
              <w:rPr>
                <w:sz w:val="21"/>
              </w:rPr>
              <w:t>，范围为入</w:t>
            </w:r>
          </w:p>
          <w:p>
            <w:pPr>
              <w:pStyle w:val="TableParagraph"/>
              <w:spacing w:before="5" w:line="234" w:lineRule="exact"/>
              <w:ind w:left="295" w:right="432"/>
              <w:jc w:val="center"/>
              <w:rPr>
                <w:sz w:val="21"/>
              </w:rPr>
            </w:pPr>
            <w:r>
              <w:rPr>
                <w:sz w:val="21"/>
              </w:rPr>
              <w:t xml:space="preserve">减马横河口上游 </w:t>
            </w:r>
            <w:r>
              <w:rPr>
                <w:rFonts w:ascii="Times New Roman" w:eastAsia="Times New Roman"/>
                <w:sz w:val="21"/>
              </w:rPr>
              <w:t xml:space="preserve">0.6km </w:t>
            </w:r>
            <w:r>
              <w:rPr>
                <w:sz w:val="21"/>
              </w:rPr>
              <w:t>段。</w:t>
            </w:r>
          </w:p>
        </w:tc>
        <w:tc>
          <w:tcPr>
            <w:tcW w:w="126"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1586"/>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6" w:space="0" w:color="000000"/>
              <w:right w:val="single" w:sz="4" w:space="0" w:color="000000"/>
            </w:tcBorders>
          </w:tcPr>
          <w:p>
            <w:pPr>
              <w:rPr>
                <w:sz w:val="2"/>
                <w:szCs w:val="2"/>
              </w:rPr>
            </w:pPr>
          </w:p>
        </w:tc>
        <w:tc>
          <w:tcPr>
            <w:tcW w:w="706" w:type="dxa"/>
            <w:vMerge/>
            <w:tcBorders>
              <w:top w:val="nil"/>
              <w:left w:val="single" w:sz="4" w:space="0" w:color="000000"/>
              <w:bottom w:val="single" w:sz="6" w:space="0" w:color="000000"/>
              <w:right w:val="single" w:sz="4" w:space="0" w:color="000000"/>
            </w:tcBorders>
          </w:tcPr>
          <w:p>
            <w:pPr>
              <w:rPr>
                <w:sz w:val="2"/>
                <w:szCs w:val="2"/>
              </w:rPr>
            </w:pPr>
          </w:p>
        </w:tc>
        <w:tc>
          <w:tcPr>
            <w:tcW w:w="714" w:type="dxa"/>
            <w:tcBorders>
              <w:top w:val="single" w:sz="6" w:space="0" w:color="000000"/>
              <w:left w:val="single" w:sz="4" w:space="0" w:color="000000"/>
              <w:bottom w:val="single" w:sz="6" w:space="0" w:color="000000"/>
              <w:right w:val="single" w:sz="6" w:space="0" w:color="000000"/>
            </w:tcBorders>
          </w:tcPr>
          <w:p>
            <w:pPr>
              <w:pStyle w:val="TableParagraph"/>
              <w:rPr>
                <w:sz w:val="20"/>
              </w:rPr>
            </w:pPr>
          </w:p>
          <w:p>
            <w:pPr>
              <w:pStyle w:val="TableParagraph"/>
              <w:spacing w:before="3"/>
              <w:rPr>
                <w:sz w:val="20"/>
              </w:rPr>
            </w:pPr>
          </w:p>
          <w:p>
            <w:pPr>
              <w:pStyle w:val="TableParagraph"/>
              <w:spacing w:line="244" w:lineRule="auto"/>
              <w:ind w:left="258" w:right="124" w:hanging="106"/>
              <w:rPr>
                <w:sz w:val="21"/>
              </w:rPr>
            </w:pPr>
            <w:r>
              <w:rPr>
                <w:sz w:val="21"/>
              </w:rPr>
              <w:t>杨庄河</w:t>
            </w:r>
          </w:p>
        </w:tc>
        <w:tc>
          <w:tcPr>
            <w:tcW w:w="5248" w:type="dxa"/>
            <w:gridSpan w:val="2"/>
            <w:tcBorders>
              <w:top w:val="single" w:sz="6" w:space="0" w:color="000000"/>
              <w:left w:val="single" w:sz="6" w:space="0" w:color="000000"/>
              <w:bottom w:val="single" w:sz="6" w:space="0" w:color="000000"/>
              <w:right w:val="single" w:sz="12" w:space="0" w:color="000000"/>
            </w:tcBorders>
          </w:tcPr>
          <w:p>
            <w:pPr>
              <w:pStyle w:val="TableParagraph"/>
              <w:spacing w:line="243" w:lineRule="exact"/>
              <w:ind w:left="113"/>
              <w:jc w:val="both"/>
              <w:rPr>
                <w:sz w:val="21"/>
              </w:rPr>
            </w:pPr>
            <w:r>
              <w:rPr>
                <w:sz w:val="21"/>
              </w:rPr>
              <w:t xml:space="preserve">综合治理长度 </w:t>
            </w:r>
            <w:r>
              <w:rPr>
                <w:rFonts w:ascii="Times New Roman" w:eastAsia="Times New Roman"/>
                <w:sz w:val="21"/>
              </w:rPr>
              <w:t>5km</w:t>
            </w:r>
            <w:r>
              <w:rPr>
                <w:sz w:val="21"/>
              </w:rPr>
              <w:t>，对减河东大道至崇德五大道，崇德</w:t>
            </w:r>
          </w:p>
          <w:p>
            <w:pPr>
              <w:pStyle w:val="TableParagraph"/>
              <w:spacing w:line="244" w:lineRule="auto"/>
              <w:ind w:left="113" w:right="83"/>
              <w:jc w:val="both"/>
              <w:rPr>
                <w:sz w:val="21"/>
              </w:rPr>
            </w:pPr>
            <w:r>
              <w:rPr>
                <w:spacing w:val="-6"/>
                <w:sz w:val="21"/>
              </w:rPr>
              <w:t xml:space="preserve">七大道至马赞庄村南段进行清淤疏浚；主河槽不进行深挖，仅在现状河底高程的基础上，平整河底。杨庄河西侧设计河底高程采用 </w:t>
            </w:r>
            <w:r>
              <w:rPr>
                <w:rFonts w:ascii="Times New Roman" w:eastAsia="Times New Roman"/>
                <w:spacing w:val="-7"/>
                <w:sz w:val="21"/>
              </w:rPr>
              <w:t>15m</w:t>
            </w:r>
            <w:r>
              <w:rPr>
                <w:spacing w:val="-7"/>
                <w:sz w:val="21"/>
              </w:rPr>
              <w:t xml:space="preserve">，东侧设计河底高程 </w:t>
            </w:r>
            <w:r>
              <w:rPr>
                <w:rFonts w:ascii="Times New Roman" w:eastAsia="Times New Roman"/>
                <w:spacing w:val="-6"/>
                <w:sz w:val="21"/>
              </w:rPr>
              <w:t>15m</w:t>
            </w:r>
            <w:r>
              <w:rPr>
                <w:spacing w:val="-8"/>
                <w:sz w:val="21"/>
              </w:rPr>
              <w:t>，河</w:t>
            </w:r>
            <w:r>
              <w:rPr>
                <w:spacing w:val="-9"/>
                <w:sz w:val="21"/>
              </w:rPr>
              <w:t xml:space="preserve">底比降为 </w:t>
            </w:r>
            <w:r>
              <w:rPr>
                <w:rFonts w:ascii="Times New Roman" w:eastAsia="Times New Roman"/>
                <w:sz w:val="21"/>
              </w:rPr>
              <w:t>1/10000</w:t>
            </w:r>
            <w:r>
              <w:rPr>
                <w:spacing w:val="-5"/>
                <w:sz w:val="21"/>
              </w:rPr>
              <w:t>；采用梯形横断面型式，设计河底宽</w:t>
            </w:r>
          </w:p>
          <w:p>
            <w:pPr>
              <w:pStyle w:val="TableParagraph"/>
              <w:spacing w:line="227" w:lineRule="exact"/>
              <w:ind w:left="1462"/>
              <w:rPr>
                <w:sz w:val="21"/>
              </w:rPr>
            </w:pPr>
            <w:r>
              <w:rPr>
                <w:sz w:val="21"/>
              </w:rPr>
              <w:t xml:space="preserve">度取 </w:t>
            </w:r>
            <w:r>
              <w:rPr>
                <w:rFonts w:ascii="Times New Roman" w:eastAsia="Times New Roman"/>
                <w:sz w:val="21"/>
              </w:rPr>
              <w:t>13~25m</w:t>
            </w:r>
            <w:r>
              <w:rPr>
                <w:sz w:val="21"/>
              </w:rPr>
              <w:t xml:space="preserve">，边坡 </w:t>
            </w:r>
            <w:r>
              <w:rPr>
                <w:rFonts w:ascii="Times New Roman" w:eastAsia="Times New Roman"/>
                <w:sz w:val="21"/>
              </w:rPr>
              <w:t>1:3</w:t>
            </w:r>
            <w:r>
              <w:rPr>
                <w:sz w:val="21"/>
              </w:rPr>
              <w:t>。</w:t>
            </w:r>
          </w:p>
        </w:tc>
        <w:tc>
          <w:tcPr>
            <w:tcW w:w="126"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928"/>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val="restart"/>
            <w:tcBorders>
              <w:top w:val="single" w:sz="6" w:space="0" w:color="000000"/>
              <w:left w:val="single" w:sz="6" w:space="0" w:color="000000"/>
              <w:bottom w:val="single" w:sz="2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17"/>
              </w:rPr>
            </w:pPr>
          </w:p>
          <w:p>
            <w:pPr>
              <w:pStyle w:val="TableParagraph"/>
              <w:spacing w:line="242" w:lineRule="auto"/>
              <w:ind w:left="128" w:right="118"/>
              <w:jc w:val="both"/>
              <w:rPr>
                <w:sz w:val="21"/>
              </w:rPr>
            </w:pPr>
            <w:r>
              <w:rPr>
                <w:sz w:val="21"/>
              </w:rPr>
              <w:t>道路工程</w:t>
            </w:r>
          </w:p>
        </w:tc>
        <w:tc>
          <w:tcPr>
            <w:tcW w:w="706" w:type="dxa"/>
            <w:vMerge w:val="restart"/>
            <w:tcBorders>
              <w:top w:val="single" w:sz="6" w:space="0" w:color="000000"/>
              <w:left w:val="single" w:sz="4" w:space="0" w:color="000000"/>
              <w:bottom w:val="single" w:sz="6"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
              <w:rPr>
                <w:sz w:val="25"/>
              </w:rPr>
            </w:pPr>
          </w:p>
          <w:p>
            <w:pPr>
              <w:pStyle w:val="TableParagraph"/>
              <w:spacing w:line="242" w:lineRule="auto"/>
              <w:ind w:left="147" w:right="123"/>
              <w:jc w:val="both"/>
              <w:rPr>
                <w:sz w:val="21"/>
              </w:rPr>
            </w:pPr>
            <w:r>
              <w:rPr>
                <w:sz w:val="21"/>
              </w:rPr>
              <w:t>生态健康步道</w:t>
            </w: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before="55" w:line="242" w:lineRule="auto"/>
              <w:ind w:left="152" w:right="124"/>
              <w:jc w:val="both"/>
              <w:rPr>
                <w:sz w:val="21"/>
              </w:rPr>
            </w:pPr>
            <w:r>
              <w:rPr>
                <w:sz w:val="21"/>
              </w:rPr>
              <w:t>四支沟南岸</w:t>
            </w:r>
          </w:p>
        </w:tc>
        <w:tc>
          <w:tcPr>
            <w:tcW w:w="2697" w:type="dxa"/>
            <w:tcBorders>
              <w:top w:val="single" w:sz="6" w:space="0" w:color="000000"/>
              <w:left w:val="single" w:sz="6" w:space="0" w:color="000000"/>
              <w:bottom w:val="single" w:sz="6" w:space="0" w:color="000000"/>
              <w:right w:val="single" w:sz="4" w:space="0" w:color="000000"/>
            </w:tcBorders>
          </w:tcPr>
          <w:p>
            <w:pPr>
              <w:pStyle w:val="TableParagraph"/>
              <w:spacing w:before="55" w:line="242" w:lineRule="auto"/>
              <w:ind w:left="113" w:right="96"/>
              <w:jc w:val="center"/>
              <w:rPr>
                <w:sz w:val="21"/>
              </w:rPr>
            </w:pPr>
            <w:r>
              <w:rPr>
                <w:spacing w:val="-26"/>
                <w:sz w:val="21"/>
              </w:rPr>
              <w:t xml:space="preserve">宽 </w:t>
            </w:r>
            <w:r>
              <w:rPr>
                <w:rFonts w:ascii="Times New Roman" w:eastAsia="Times New Roman"/>
                <w:spacing w:val="-3"/>
                <w:sz w:val="21"/>
              </w:rPr>
              <w:t>10m</w:t>
            </w:r>
            <w:r>
              <w:rPr>
                <w:spacing w:val="-19"/>
                <w:sz w:val="21"/>
              </w:rPr>
              <w:t xml:space="preserve">，长 </w:t>
            </w:r>
            <w:r>
              <w:rPr>
                <w:rFonts w:ascii="Times New Roman" w:eastAsia="Times New Roman"/>
                <w:sz w:val="21"/>
              </w:rPr>
              <w:t>6.2km</w:t>
            </w:r>
            <w:r>
              <w:rPr>
                <w:spacing w:val="-4"/>
                <w:sz w:val="21"/>
              </w:rPr>
              <w:t>，范围自</w:t>
            </w:r>
            <w:r>
              <w:rPr>
                <w:spacing w:val="-1"/>
                <w:sz w:val="21"/>
              </w:rPr>
              <w:t>入马赞河口处</w:t>
            </w:r>
            <w:r>
              <w:rPr>
                <w:rFonts w:ascii="Times New Roman" w:eastAsia="Times New Roman"/>
                <w:sz w:val="21"/>
              </w:rPr>
              <w:t>~</w:t>
            </w:r>
            <w:r>
              <w:rPr>
                <w:spacing w:val="-2"/>
                <w:sz w:val="21"/>
              </w:rPr>
              <w:t>入减河口 处。</w:t>
            </w:r>
          </w:p>
        </w:tc>
        <w:tc>
          <w:tcPr>
            <w:tcW w:w="2551" w:type="dxa"/>
            <w:vMerge w:val="restart"/>
            <w:tcBorders>
              <w:top w:val="single" w:sz="6" w:space="0" w:color="000000"/>
              <w:left w:val="single" w:sz="4" w:space="0" w:color="000000"/>
              <w:bottom w:val="single" w:sz="24" w:space="0" w:color="000000"/>
              <w:right w:val="single" w:sz="12" w:space="0" w:color="000000"/>
            </w:tcBorders>
          </w:tcPr>
          <w:p>
            <w:pPr>
              <w:pStyle w:val="TableParagraph"/>
              <w:spacing w:before="5"/>
              <w:rPr>
                <w:sz w:val="29"/>
              </w:rPr>
            </w:pPr>
          </w:p>
          <w:p>
            <w:pPr>
              <w:pStyle w:val="TableParagraph"/>
              <w:spacing w:line="242" w:lineRule="auto"/>
              <w:ind w:left="107" w:right="-29" w:firstLine="57"/>
              <w:jc w:val="both"/>
              <w:rPr>
                <w:sz w:val="21"/>
              </w:rPr>
            </w:pPr>
            <w:r>
              <w:rPr>
                <w:spacing w:val="-2"/>
                <w:sz w:val="21"/>
              </w:rPr>
              <w:t>采用两层沥青混凝土</w:t>
            </w:r>
            <w:r>
              <w:rPr>
                <w:rFonts w:ascii="Times New Roman" w:eastAsia="Times New Roman"/>
                <w:sz w:val="21"/>
              </w:rPr>
              <w:t>+</w:t>
            </w:r>
            <w:r>
              <w:rPr>
                <w:sz w:val="21"/>
              </w:rPr>
              <w:t>两</w:t>
            </w:r>
            <w:r>
              <w:rPr>
                <w:spacing w:val="-2"/>
                <w:sz w:val="21"/>
              </w:rPr>
              <w:t>层水稳结构，路面结构由</w:t>
            </w:r>
            <w:r>
              <w:rPr>
                <w:spacing w:val="-3"/>
                <w:sz w:val="21"/>
              </w:rPr>
              <w:t>上至下依次为：</w:t>
            </w:r>
            <w:r>
              <w:rPr>
                <w:rFonts w:ascii="Times New Roman" w:eastAsia="Times New Roman"/>
                <w:sz w:val="21"/>
              </w:rPr>
              <w:t xml:space="preserve">3cm </w:t>
            </w:r>
            <w:r>
              <w:rPr>
                <w:sz w:val="21"/>
              </w:rPr>
              <w:t>厚彩</w:t>
            </w:r>
            <w:r>
              <w:rPr>
                <w:spacing w:val="-4"/>
                <w:sz w:val="21"/>
              </w:rPr>
              <w:t>色细粒式沥青砼</w:t>
            </w:r>
            <w:r>
              <w:rPr>
                <w:spacing w:val="-3"/>
                <w:sz w:val="21"/>
              </w:rPr>
              <w:t>（</w:t>
            </w:r>
            <w:r>
              <w:rPr>
                <w:rFonts w:ascii="Times New Roman" w:eastAsia="Times New Roman"/>
                <w:spacing w:val="-3"/>
                <w:sz w:val="21"/>
              </w:rPr>
              <w:t>AC-13</w:t>
            </w:r>
            <w:r>
              <w:rPr>
                <w:spacing w:val="-3"/>
                <w:sz w:val="21"/>
              </w:rPr>
              <w:t>）</w:t>
            </w:r>
          </w:p>
          <w:p>
            <w:pPr>
              <w:pStyle w:val="TableParagraph"/>
              <w:spacing w:before="3" w:line="242" w:lineRule="auto"/>
              <w:ind w:left="107" w:right="78" w:hanging="15"/>
              <w:jc w:val="center"/>
              <w:rPr>
                <w:sz w:val="21"/>
              </w:rPr>
            </w:pPr>
            <w:r>
              <w:rPr>
                <w:rFonts w:ascii="Times New Roman" w:eastAsia="Times New Roman" w:hAnsi="Times New Roman"/>
                <w:sz w:val="21"/>
              </w:rPr>
              <w:t>+</w:t>
            </w:r>
            <w:r>
              <w:rPr>
                <w:spacing w:val="-2"/>
                <w:sz w:val="21"/>
              </w:rPr>
              <w:t>沥青粘层油</w:t>
            </w:r>
            <w:r>
              <w:rPr>
                <w:rFonts w:ascii="Times New Roman" w:eastAsia="Times New Roman" w:hAnsi="Times New Roman"/>
                <w:sz w:val="21"/>
              </w:rPr>
              <w:t xml:space="preserve">+5cm </w:t>
            </w:r>
            <w:r>
              <w:rPr>
                <w:sz w:val="21"/>
              </w:rPr>
              <w:t>厚中粒</w:t>
            </w:r>
            <w:r>
              <w:rPr>
                <w:spacing w:val="-5"/>
                <w:sz w:val="21"/>
              </w:rPr>
              <w:t>式沥青砼</w:t>
            </w:r>
            <w:r>
              <w:rPr>
                <w:spacing w:val="-4"/>
                <w:sz w:val="21"/>
              </w:rPr>
              <w:t>（</w:t>
            </w:r>
            <w:r>
              <w:rPr>
                <w:rFonts w:ascii="Times New Roman" w:eastAsia="Times New Roman" w:hAnsi="Times New Roman"/>
                <w:spacing w:val="-4"/>
                <w:sz w:val="21"/>
              </w:rPr>
              <w:t>AC-20</w:t>
            </w:r>
            <w:r>
              <w:rPr>
                <w:spacing w:val="-4"/>
                <w:sz w:val="21"/>
              </w:rPr>
              <w:t>）</w:t>
            </w:r>
            <w:r>
              <w:rPr>
                <w:rFonts w:ascii="Times New Roman" w:eastAsia="Times New Roman" w:hAnsi="Times New Roman"/>
                <w:spacing w:val="-4"/>
                <w:sz w:val="21"/>
              </w:rPr>
              <w:t>+</w:t>
            </w:r>
            <w:r>
              <w:rPr>
                <w:spacing w:val="-7"/>
                <w:sz w:val="21"/>
              </w:rPr>
              <w:t>沥青</w:t>
            </w:r>
            <w:r>
              <w:rPr>
                <w:sz w:val="21"/>
              </w:rPr>
              <w:t>透层油</w:t>
            </w:r>
            <w:r>
              <w:rPr>
                <w:rFonts w:ascii="Times New Roman" w:eastAsia="Times New Roman" w:hAnsi="Times New Roman"/>
                <w:sz w:val="21"/>
              </w:rPr>
              <w:t xml:space="preserve">+18cm </w:t>
            </w:r>
            <w:r>
              <w:rPr>
                <w:spacing w:val="-24"/>
                <w:sz w:val="21"/>
              </w:rPr>
              <w:t xml:space="preserve">厚 </w:t>
            </w:r>
            <w:r>
              <w:rPr>
                <w:rFonts w:ascii="Times New Roman" w:eastAsia="Times New Roman" w:hAnsi="Times New Roman"/>
                <w:sz w:val="21"/>
              </w:rPr>
              <w:t>5%</w:t>
            </w:r>
            <w:r>
              <w:rPr>
                <w:sz w:val="21"/>
              </w:rPr>
              <w:t>水泥稳定碎石</w:t>
            </w:r>
            <w:r>
              <w:rPr>
                <w:rFonts w:ascii="Times New Roman" w:eastAsia="Times New Roman" w:hAnsi="Times New Roman"/>
                <w:sz w:val="21"/>
              </w:rPr>
              <w:t xml:space="preserve">+18cm </w:t>
            </w:r>
            <w:r>
              <w:rPr>
                <w:spacing w:val="-24"/>
                <w:sz w:val="21"/>
              </w:rPr>
              <w:t xml:space="preserve">厚 </w:t>
            </w:r>
            <w:r>
              <w:rPr>
                <w:rFonts w:ascii="Times New Roman" w:eastAsia="Times New Roman" w:hAnsi="Times New Roman"/>
                <w:sz w:val="21"/>
              </w:rPr>
              <w:t>5%</w:t>
            </w:r>
            <w:r>
              <w:rPr>
                <w:sz w:val="21"/>
              </w:rPr>
              <w:t>水</w:t>
            </w:r>
            <w:r>
              <w:rPr>
                <w:spacing w:val="-8"/>
                <w:sz w:val="21"/>
              </w:rPr>
              <w:t>泥稳定碎石。</w:t>
            </w:r>
            <w:r>
              <w:rPr>
                <w:rFonts w:ascii="Times New Roman" w:eastAsia="Times New Roman" w:hAnsi="Times New Roman"/>
                <w:sz w:val="21"/>
              </w:rPr>
              <w:t>5%</w:t>
            </w:r>
            <w:r>
              <w:rPr>
                <w:spacing w:val="-4"/>
                <w:sz w:val="21"/>
              </w:rPr>
              <w:t>的水泥稳</w:t>
            </w:r>
            <w:r>
              <w:rPr>
                <w:spacing w:val="-12"/>
                <w:sz w:val="21"/>
              </w:rPr>
              <w:t xml:space="preserve">定碎石 </w:t>
            </w:r>
            <w:r>
              <w:rPr>
                <w:rFonts w:ascii="Times New Roman" w:eastAsia="Times New Roman" w:hAnsi="Times New Roman"/>
                <w:sz w:val="21"/>
              </w:rPr>
              <w:t xml:space="preserve">7 </w:t>
            </w:r>
            <w:r>
              <w:rPr>
                <w:spacing w:val="-3"/>
                <w:sz w:val="21"/>
              </w:rPr>
              <w:t>天无侧限抗压强</w:t>
            </w:r>
            <w:r>
              <w:rPr>
                <w:spacing w:val="-14"/>
                <w:sz w:val="21"/>
              </w:rPr>
              <w:t xml:space="preserve">度应为 </w:t>
            </w:r>
            <w:r>
              <w:rPr>
                <w:rFonts w:ascii="Times New Roman" w:eastAsia="Times New Roman" w:hAnsi="Times New Roman"/>
                <w:sz w:val="21"/>
              </w:rPr>
              <w:t>3</w:t>
            </w:r>
            <w:r>
              <w:rPr>
                <w:sz w:val="21"/>
              </w:rPr>
              <w:t>～</w:t>
            </w:r>
            <w:r>
              <w:rPr>
                <w:rFonts w:ascii="Times New Roman" w:eastAsia="Times New Roman" w:hAnsi="Times New Roman"/>
                <w:sz w:val="21"/>
              </w:rPr>
              <w:t>5Mpa</w:t>
            </w:r>
            <w:r>
              <w:rPr>
                <w:spacing w:val="-2"/>
                <w:sz w:val="21"/>
              </w:rPr>
              <w:t>。路缘石</w:t>
            </w:r>
            <w:r>
              <w:rPr>
                <w:spacing w:val="-16"/>
                <w:sz w:val="21"/>
              </w:rPr>
              <w:t xml:space="preserve">规格选用 </w:t>
            </w:r>
            <w:r>
              <w:rPr>
                <w:rFonts w:ascii="Times New Roman" w:eastAsia="Times New Roman" w:hAnsi="Times New Roman"/>
                <w:sz w:val="21"/>
              </w:rPr>
              <w:t>100cm</w:t>
            </w:r>
            <w:r>
              <w:rPr>
                <w:sz w:val="21"/>
              </w:rPr>
              <w:t>×</w:t>
            </w:r>
            <w:r>
              <w:rPr>
                <w:rFonts w:ascii="Times New Roman" w:eastAsia="Times New Roman" w:hAnsi="Times New Roman"/>
                <w:sz w:val="21"/>
              </w:rPr>
              <w:t>25cm</w:t>
            </w:r>
            <w:r>
              <w:rPr>
                <w:sz w:val="21"/>
              </w:rPr>
              <w:t xml:space="preserve">× </w:t>
            </w:r>
            <w:r>
              <w:rPr>
                <w:rFonts w:ascii="Times New Roman" w:eastAsia="Times New Roman" w:hAnsi="Times New Roman"/>
                <w:sz w:val="21"/>
              </w:rPr>
              <w:t xml:space="preserve">15cm </w:t>
            </w:r>
            <w:r>
              <w:rPr>
                <w:spacing w:val="-11"/>
                <w:sz w:val="21"/>
              </w:rPr>
              <w:t>花岗岩路缘石。为便</w:t>
            </w:r>
            <w:r>
              <w:rPr>
                <w:spacing w:val="-2"/>
                <w:sz w:val="21"/>
              </w:rPr>
              <w:t>于路面排水，以道理中心</w:t>
            </w:r>
            <w:r>
              <w:rPr>
                <w:spacing w:val="-4"/>
                <w:sz w:val="21"/>
              </w:rPr>
              <w:t>线为中心向两侧路肩设置</w:t>
            </w:r>
            <w:r>
              <w:rPr>
                <w:rFonts w:ascii="Times New Roman" w:eastAsia="Times New Roman" w:hAnsi="Times New Roman"/>
                <w:spacing w:val="-4"/>
                <w:sz w:val="21"/>
              </w:rPr>
              <w:t>2%</w:t>
            </w:r>
            <w:r>
              <w:rPr>
                <w:spacing w:val="-4"/>
                <w:sz w:val="21"/>
              </w:rPr>
              <w:t>纵坡。</w:t>
            </w:r>
          </w:p>
        </w:tc>
        <w:tc>
          <w:tcPr>
            <w:tcW w:w="126" w:type="dxa"/>
            <w:vMerge w:val="restart"/>
            <w:tcBorders>
              <w:top w:val="nil"/>
              <w:left w:val="single" w:sz="12" w:space="0" w:color="000000"/>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934"/>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24" w:space="0" w:color="000000"/>
              <w:right w:val="single" w:sz="4" w:space="0" w:color="000000"/>
            </w:tcBorders>
          </w:tcPr>
          <w:p>
            <w:pPr>
              <w:rPr>
                <w:sz w:val="2"/>
                <w:szCs w:val="2"/>
              </w:rPr>
            </w:pPr>
          </w:p>
        </w:tc>
        <w:tc>
          <w:tcPr>
            <w:tcW w:w="706" w:type="dxa"/>
            <w:vMerge/>
            <w:tcBorders>
              <w:top w:val="nil"/>
              <w:left w:val="single" w:sz="4" w:space="0" w:color="000000"/>
              <w:bottom w:val="single" w:sz="6" w:space="0" w:color="000000"/>
              <w:right w:val="single" w:sz="4" w:space="0" w:color="000000"/>
            </w:tcBorders>
          </w:tcPr>
          <w:p>
            <w:pPr>
              <w:rPr>
                <w:sz w:val="2"/>
                <w:szCs w:val="2"/>
              </w:rPr>
            </w:pP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before="55" w:line="242" w:lineRule="auto"/>
              <w:ind w:left="152" w:right="124"/>
              <w:jc w:val="both"/>
              <w:rPr>
                <w:sz w:val="21"/>
              </w:rPr>
            </w:pPr>
            <w:r>
              <w:rPr>
                <w:sz w:val="21"/>
              </w:rPr>
              <w:t>站前沟西岸</w:t>
            </w:r>
          </w:p>
        </w:tc>
        <w:tc>
          <w:tcPr>
            <w:tcW w:w="2697" w:type="dxa"/>
            <w:tcBorders>
              <w:top w:val="single" w:sz="6" w:space="0" w:color="000000"/>
              <w:left w:val="single" w:sz="6" w:space="0" w:color="000000"/>
              <w:bottom w:val="single" w:sz="6" w:space="0" w:color="000000"/>
              <w:right w:val="single" w:sz="4" w:space="0" w:color="000000"/>
            </w:tcBorders>
          </w:tcPr>
          <w:p>
            <w:pPr>
              <w:pStyle w:val="TableParagraph"/>
              <w:spacing w:before="189" w:line="244" w:lineRule="auto"/>
              <w:ind w:left="348" w:right="96" w:hanging="236"/>
              <w:rPr>
                <w:sz w:val="21"/>
              </w:rPr>
            </w:pPr>
            <w:r>
              <w:rPr>
                <w:spacing w:val="-25"/>
                <w:sz w:val="21"/>
              </w:rPr>
              <w:t xml:space="preserve">宽 </w:t>
            </w:r>
            <w:r>
              <w:rPr>
                <w:rFonts w:ascii="Times New Roman" w:eastAsia="Times New Roman"/>
                <w:spacing w:val="-3"/>
                <w:sz w:val="21"/>
              </w:rPr>
              <w:t>10m</w:t>
            </w:r>
            <w:r>
              <w:rPr>
                <w:spacing w:val="-18"/>
                <w:sz w:val="21"/>
              </w:rPr>
              <w:t xml:space="preserve">，长 </w:t>
            </w:r>
            <w:r>
              <w:rPr>
                <w:rFonts w:ascii="Times New Roman" w:eastAsia="Times New Roman"/>
                <w:sz w:val="21"/>
              </w:rPr>
              <w:t>0.6km</w:t>
            </w:r>
            <w:r>
              <w:rPr>
                <w:spacing w:val="-5"/>
                <w:sz w:val="21"/>
              </w:rPr>
              <w:t>。范围自</w:t>
            </w:r>
            <w:r>
              <w:rPr>
                <w:spacing w:val="-1"/>
                <w:sz w:val="21"/>
              </w:rPr>
              <w:t>入杨庄河口</w:t>
            </w:r>
            <w:r>
              <w:rPr>
                <w:rFonts w:ascii="Times New Roman" w:eastAsia="Times New Roman"/>
                <w:sz w:val="21"/>
              </w:rPr>
              <w:t>~</w:t>
            </w:r>
            <w:r>
              <w:rPr>
                <w:spacing w:val="-2"/>
                <w:sz w:val="21"/>
              </w:rPr>
              <w:t>牟庄村。</w:t>
            </w:r>
          </w:p>
        </w:tc>
        <w:tc>
          <w:tcPr>
            <w:tcW w:w="2551" w:type="dxa"/>
            <w:vMerge/>
            <w:tcBorders>
              <w:top w:val="nil"/>
              <w:left w:val="single" w:sz="4" w:space="0" w:color="000000"/>
              <w:bottom w:val="single" w:sz="24" w:space="0" w:color="000000"/>
              <w:right w:val="single" w:sz="12" w:space="0" w:color="000000"/>
            </w:tcBorders>
          </w:tcPr>
          <w:p>
            <w:pPr>
              <w:rPr>
                <w:sz w:val="2"/>
                <w:szCs w:val="2"/>
              </w:rPr>
            </w:pPr>
          </w:p>
        </w:tc>
        <w:tc>
          <w:tcPr>
            <w:tcW w:w="126" w:type="dxa"/>
            <w:vMerge/>
            <w:tcBorders>
              <w:top w:val="nil"/>
              <w:left w:val="single" w:sz="12" w:space="0" w:color="000000"/>
            </w:tcBorders>
          </w:tcPr>
          <w:p>
            <w:pPr>
              <w:rPr>
                <w:sz w:val="2"/>
                <w:szCs w:val="2"/>
              </w:rPr>
            </w:pPr>
          </w:p>
        </w:tc>
      </w:tr>
      <w:tr>
        <w:tblPrEx>
          <w:tblW w:w="0" w:type="auto"/>
          <w:tblInd w:w="490" w:type="dxa"/>
          <w:tblLayout w:type="fixed"/>
          <w:tblCellMar>
            <w:top w:w="0" w:type="dxa"/>
            <w:left w:w="0" w:type="dxa"/>
            <w:bottom w:w="0" w:type="dxa"/>
            <w:right w:w="0" w:type="dxa"/>
          </w:tblCellMar>
        </w:tblPrEx>
        <w:trPr>
          <w:trHeight w:val="928"/>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24" w:space="0" w:color="000000"/>
              <w:right w:val="single" w:sz="4" w:space="0" w:color="000000"/>
            </w:tcBorders>
          </w:tcPr>
          <w:p>
            <w:pPr>
              <w:rPr>
                <w:sz w:val="2"/>
                <w:szCs w:val="2"/>
              </w:rPr>
            </w:pPr>
          </w:p>
        </w:tc>
        <w:tc>
          <w:tcPr>
            <w:tcW w:w="706" w:type="dxa"/>
            <w:vMerge/>
            <w:tcBorders>
              <w:top w:val="nil"/>
              <w:left w:val="single" w:sz="4" w:space="0" w:color="000000"/>
              <w:bottom w:val="single" w:sz="6" w:space="0" w:color="000000"/>
              <w:right w:val="single" w:sz="4" w:space="0" w:color="000000"/>
            </w:tcBorders>
          </w:tcPr>
          <w:p>
            <w:pPr>
              <w:rPr>
                <w:sz w:val="2"/>
                <w:szCs w:val="2"/>
              </w:rPr>
            </w:pP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before="50" w:line="244" w:lineRule="auto"/>
              <w:ind w:left="152" w:right="124"/>
              <w:jc w:val="both"/>
              <w:rPr>
                <w:sz w:val="21"/>
              </w:rPr>
            </w:pPr>
            <w:r>
              <w:rPr>
                <w:sz w:val="21"/>
              </w:rPr>
              <w:t>站前沟东岸</w:t>
            </w:r>
          </w:p>
        </w:tc>
        <w:tc>
          <w:tcPr>
            <w:tcW w:w="2697" w:type="dxa"/>
            <w:tcBorders>
              <w:top w:val="single" w:sz="6" w:space="0" w:color="000000"/>
              <w:left w:val="single" w:sz="6" w:space="0" w:color="000000"/>
              <w:bottom w:val="single" w:sz="6" w:space="0" w:color="000000"/>
              <w:right w:val="single" w:sz="4" w:space="0" w:color="000000"/>
            </w:tcBorders>
          </w:tcPr>
          <w:p>
            <w:pPr>
              <w:pStyle w:val="TableParagraph"/>
              <w:spacing w:before="10"/>
              <w:rPr>
                <w:sz w:val="14"/>
              </w:rPr>
            </w:pPr>
          </w:p>
          <w:p>
            <w:pPr>
              <w:pStyle w:val="TableParagraph"/>
              <w:ind w:left="194" w:right="120" w:hanging="58"/>
              <w:rPr>
                <w:sz w:val="21"/>
              </w:rPr>
            </w:pPr>
            <w:r>
              <w:rPr>
                <w:spacing w:val="-13"/>
                <w:sz w:val="21"/>
              </w:rPr>
              <w:t xml:space="preserve">路面宽 </w:t>
            </w:r>
            <w:r>
              <w:rPr>
                <w:rFonts w:ascii="Times New Roman" w:eastAsia="Times New Roman"/>
                <w:spacing w:val="-4"/>
                <w:sz w:val="21"/>
              </w:rPr>
              <w:t>1m</w:t>
            </w:r>
            <w:r>
              <w:rPr>
                <w:spacing w:val="-18"/>
                <w:sz w:val="21"/>
              </w:rPr>
              <w:t xml:space="preserve">，长 </w:t>
            </w:r>
            <w:r>
              <w:rPr>
                <w:rFonts w:ascii="Times New Roman" w:eastAsia="Times New Roman"/>
                <w:sz w:val="21"/>
              </w:rPr>
              <w:t>1km</w:t>
            </w:r>
            <w:r>
              <w:rPr>
                <w:spacing w:val="-5"/>
                <w:sz w:val="21"/>
              </w:rPr>
              <w:t>，范围</w:t>
            </w:r>
            <w:r>
              <w:rPr>
                <w:spacing w:val="-2"/>
                <w:sz w:val="21"/>
              </w:rPr>
              <w:t>自杨庄河至德州东高铁站</w:t>
            </w:r>
          </w:p>
        </w:tc>
        <w:tc>
          <w:tcPr>
            <w:tcW w:w="2551" w:type="dxa"/>
            <w:vMerge/>
            <w:tcBorders>
              <w:top w:val="nil"/>
              <w:left w:val="single" w:sz="4" w:space="0" w:color="000000"/>
              <w:bottom w:val="single" w:sz="24" w:space="0" w:color="000000"/>
              <w:right w:val="single" w:sz="12" w:space="0" w:color="000000"/>
            </w:tcBorders>
          </w:tcPr>
          <w:p>
            <w:pPr>
              <w:rPr>
                <w:sz w:val="2"/>
                <w:szCs w:val="2"/>
              </w:rPr>
            </w:pPr>
          </w:p>
        </w:tc>
        <w:tc>
          <w:tcPr>
            <w:tcW w:w="126" w:type="dxa"/>
            <w:vMerge/>
            <w:tcBorders>
              <w:top w:val="nil"/>
              <w:left w:val="single" w:sz="12" w:space="0" w:color="000000"/>
            </w:tcBorders>
          </w:tcPr>
          <w:p>
            <w:pPr>
              <w:rPr>
                <w:sz w:val="2"/>
                <w:szCs w:val="2"/>
              </w:rPr>
            </w:pPr>
          </w:p>
        </w:tc>
      </w:tr>
      <w:tr>
        <w:tblPrEx>
          <w:tblW w:w="0" w:type="auto"/>
          <w:tblInd w:w="490" w:type="dxa"/>
          <w:tblLayout w:type="fixed"/>
          <w:tblCellMar>
            <w:top w:w="0" w:type="dxa"/>
            <w:left w:w="0" w:type="dxa"/>
            <w:bottom w:w="0" w:type="dxa"/>
            <w:right w:w="0" w:type="dxa"/>
          </w:tblCellMar>
        </w:tblPrEx>
        <w:trPr>
          <w:trHeight w:val="1586"/>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24" w:space="0" w:color="000000"/>
              <w:right w:val="single" w:sz="4" w:space="0" w:color="000000"/>
            </w:tcBorders>
          </w:tcPr>
          <w:p>
            <w:pPr>
              <w:rPr>
                <w:sz w:val="2"/>
                <w:szCs w:val="2"/>
              </w:rPr>
            </w:pPr>
          </w:p>
        </w:tc>
        <w:tc>
          <w:tcPr>
            <w:tcW w:w="706" w:type="dxa"/>
            <w:vMerge/>
            <w:tcBorders>
              <w:top w:val="nil"/>
              <w:left w:val="single" w:sz="4" w:space="0" w:color="000000"/>
              <w:bottom w:val="single" w:sz="6" w:space="0" w:color="000000"/>
              <w:right w:val="single" w:sz="4" w:space="0" w:color="000000"/>
            </w:tcBorders>
          </w:tcPr>
          <w:p>
            <w:pPr>
              <w:rPr>
                <w:sz w:val="2"/>
                <w:szCs w:val="2"/>
              </w:rPr>
            </w:pPr>
          </w:p>
        </w:tc>
        <w:tc>
          <w:tcPr>
            <w:tcW w:w="714" w:type="dxa"/>
            <w:tcBorders>
              <w:top w:val="single" w:sz="6" w:space="0" w:color="000000"/>
              <w:left w:val="single" w:sz="4" w:space="0" w:color="000000"/>
              <w:bottom w:val="single" w:sz="6" w:space="0" w:color="000000"/>
              <w:right w:val="single" w:sz="6" w:space="0" w:color="000000"/>
            </w:tcBorders>
          </w:tcPr>
          <w:p>
            <w:pPr>
              <w:pStyle w:val="TableParagraph"/>
              <w:spacing w:line="243" w:lineRule="exact"/>
              <w:ind w:left="152"/>
              <w:rPr>
                <w:sz w:val="21"/>
              </w:rPr>
            </w:pPr>
            <w:r>
              <w:rPr>
                <w:sz w:val="21"/>
              </w:rPr>
              <w:t>杨庄</w:t>
            </w:r>
          </w:p>
          <w:p>
            <w:pPr>
              <w:pStyle w:val="TableParagraph"/>
              <w:spacing w:before="4" w:line="242" w:lineRule="auto"/>
              <w:ind w:left="152" w:right="124"/>
              <w:jc w:val="both"/>
              <w:rPr>
                <w:sz w:val="21"/>
              </w:rPr>
            </w:pPr>
            <w:r>
              <w:rPr>
                <w:spacing w:val="-9"/>
                <w:sz w:val="21"/>
              </w:rPr>
              <w:t>河至德州东高铁站</w:t>
            </w:r>
          </w:p>
          <w:p>
            <w:pPr>
              <w:pStyle w:val="TableParagraph"/>
              <w:spacing w:before="3" w:line="230" w:lineRule="exact"/>
              <w:ind w:left="152"/>
              <w:rPr>
                <w:sz w:val="21"/>
              </w:rPr>
            </w:pPr>
            <w:r>
              <w:rPr>
                <w:sz w:val="21"/>
              </w:rPr>
              <w:t>东侧</w:t>
            </w:r>
          </w:p>
        </w:tc>
        <w:tc>
          <w:tcPr>
            <w:tcW w:w="2697" w:type="dxa"/>
            <w:tcBorders>
              <w:top w:val="single" w:sz="6" w:space="0" w:color="000000"/>
              <w:left w:val="single" w:sz="6" w:space="0" w:color="000000"/>
              <w:bottom w:val="single" w:sz="6" w:space="0" w:color="000000"/>
              <w:right w:val="single" w:sz="4" w:space="0" w:color="000000"/>
            </w:tcBorders>
          </w:tcPr>
          <w:p>
            <w:pPr>
              <w:pStyle w:val="TableParagraph"/>
              <w:rPr>
                <w:sz w:val="20"/>
              </w:rPr>
            </w:pPr>
          </w:p>
          <w:p>
            <w:pPr>
              <w:pStyle w:val="TableParagraph"/>
              <w:spacing w:before="3"/>
              <w:rPr>
                <w:sz w:val="20"/>
              </w:rPr>
            </w:pPr>
          </w:p>
          <w:p>
            <w:pPr>
              <w:pStyle w:val="TableParagraph"/>
              <w:spacing w:before="1" w:line="244" w:lineRule="auto"/>
              <w:ind w:left="506" w:right="96" w:hanging="394"/>
              <w:rPr>
                <w:sz w:val="21"/>
              </w:rPr>
            </w:pPr>
            <w:r>
              <w:rPr>
                <w:spacing w:val="-25"/>
                <w:sz w:val="21"/>
              </w:rPr>
              <w:t xml:space="preserve">宽 </w:t>
            </w:r>
            <w:r>
              <w:rPr>
                <w:rFonts w:ascii="Times New Roman" w:eastAsia="Times New Roman"/>
                <w:spacing w:val="-4"/>
                <w:sz w:val="21"/>
              </w:rPr>
              <w:t>1m</w:t>
            </w:r>
            <w:r>
              <w:rPr>
                <w:spacing w:val="-18"/>
                <w:sz w:val="21"/>
              </w:rPr>
              <w:t xml:space="preserve">，长 </w:t>
            </w:r>
            <w:r>
              <w:rPr>
                <w:rFonts w:ascii="Times New Roman" w:eastAsia="Times New Roman"/>
                <w:sz w:val="21"/>
              </w:rPr>
              <w:t xml:space="preserve">1km </w:t>
            </w:r>
            <w:r>
              <w:rPr>
                <w:spacing w:val="-3"/>
                <w:sz w:val="21"/>
              </w:rPr>
              <w:t>范围自杨庄</w:t>
            </w:r>
            <w:r>
              <w:rPr>
                <w:spacing w:val="-1"/>
                <w:sz w:val="21"/>
              </w:rPr>
              <w:t>河至德州东高铁站</w:t>
            </w:r>
          </w:p>
        </w:tc>
        <w:tc>
          <w:tcPr>
            <w:tcW w:w="2551" w:type="dxa"/>
            <w:vMerge/>
            <w:tcBorders>
              <w:top w:val="nil"/>
              <w:left w:val="single" w:sz="4" w:space="0" w:color="000000"/>
              <w:bottom w:val="single" w:sz="24" w:space="0" w:color="000000"/>
              <w:right w:val="single" w:sz="12" w:space="0" w:color="000000"/>
            </w:tcBorders>
          </w:tcPr>
          <w:p>
            <w:pPr>
              <w:rPr>
                <w:sz w:val="2"/>
                <w:szCs w:val="2"/>
              </w:rPr>
            </w:pPr>
          </w:p>
        </w:tc>
        <w:tc>
          <w:tcPr>
            <w:tcW w:w="126" w:type="dxa"/>
            <w:vMerge/>
            <w:tcBorders>
              <w:top w:val="nil"/>
              <w:left w:val="single" w:sz="12" w:space="0" w:color="000000"/>
            </w:tcBorders>
          </w:tcPr>
          <w:p>
            <w:pPr>
              <w:rPr>
                <w:sz w:val="2"/>
                <w:szCs w:val="2"/>
              </w:rPr>
            </w:pPr>
          </w:p>
        </w:tc>
      </w:tr>
      <w:tr>
        <w:tblPrEx>
          <w:tblW w:w="0" w:type="auto"/>
          <w:tblInd w:w="490" w:type="dxa"/>
          <w:tblLayout w:type="fixed"/>
          <w:tblCellMar>
            <w:top w:w="0" w:type="dxa"/>
            <w:left w:w="0" w:type="dxa"/>
            <w:bottom w:w="0" w:type="dxa"/>
            <w:right w:w="0" w:type="dxa"/>
          </w:tblCellMar>
        </w:tblPrEx>
        <w:trPr>
          <w:trHeight w:val="518"/>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24" w:space="0" w:color="000000"/>
              <w:right w:val="single" w:sz="6" w:space="0" w:color="000000"/>
            </w:tcBorders>
          </w:tcPr>
          <w:p>
            <w:pPr>
              <w:rPr>
                <w:sz w:val="2"/>
                <w:szCs w:val="2"/>
              </w:rPr>
            </w:pPr>
          </w:p>
        </w:tc>
        <w:tc>
          <w:tcPr>
            <w:tcW w:w="473" w:type="dxa"/>
            <w:vMerge/>
            <w:tcBorders>
              <w:top w:val="nil"/>
              <w:left w:val="single" w:sz="6" w:space="0" w:color="000000"/>
              <w:bottom w:val="single" w:sz="24" w:space="0" w:color="000000"/>
              <w:right w:val="single" w:sz="4" w:space="0" w:color="000000"/>
            </w:tcBorders>
          </w:tcPr>
          <w:p>
            <w:pPr>
              <w:rPr>
                <w:sz w:val="2"/>
                <w:szCs w:val="2"/>
              </w:rPr>
            </w:pPr>
          </w:p>
        </w:tc>
        <w:tc>
          <w:tcPr>
            <w:tcW w:w="706" w:type="dxa"/>
            <w:tcBorders>
              <w:top w:val="single" w:sz="6" w:space="0" w:color="000000"/>
              <w:left w:val="single" w:sz="4" w:space="0" w:color="000000"/>
              <w:bottom w:val="single" w:sz="24" w:space="0" w:color="000000"/>
              <w:right w:val="single" w:sz="4" w:space="0" w:color="000000"/>
            </w:tcBorders>
          </w:tcPr>
          <w:p>
            <w:pPr>
              <w:pStyle w:val="TableParagraph"/>
              <w:spacing w:line="247" w:lineRule="exact"/>
              <w:ind w:left="147"/>
              <w:rPr>
                <w:sz w:val="21"/>
              </w:rPr>
            </w:pPr>
            <w:r>
              <w:rPr>
                <w:sz w:val="21"/>
              </w:rPr>
              <w:t>现状</w:t>
            </w:r>
          </w:p>
          <w:p>
            <w:pPr>
              <w:pStyle w:val="TableParagraph"/>
              <w:spacing w:line="251" w:lineRule="exact"/>
              <w:ind w:left="147"/>
              <w:rPr>
                <w:sz w:val="21"/>
              </w:rPr>
            </w:pPr>
            <w:r>
              <w:rPr>
                <w:sz w:val="21"/>
              </w:rPr>
              <w:t>堤顶</w:t>
            </w:r>
          </w:p>
        </w:tc>
        <w:tc>
          <w:tcPr>
            <w:tcW w:w="714" w:type="dxa"/>
            <w:tcBorders>
              <w:top w:val="single" w:sz="6" w:space="0" w:color="000000"/>
              <w:left w:val="single" w:sz="4" w:space="0" w:color="000000"/>
              <w:bottom w:val="single" w:sz="24" w:space="0" w:color="000000"/>
              <w:right w:val="single" w:sz="6" w:space="0" w:color="000000"/>
            </w:tcBorders>
          </w:tcPr>
          <w:p>
            <w:pPr>
              <w:pStyle w:val="TableParagraph"/>
              <w:spacing w:before="113"/>
              <w:ind w:left="152"/>
              <w:rPr>
                <w:sz w:val="21"/>
              </w:rPr>
            </w:pPr>
            <w:r>
              <w:rPr>
                <w:sz w:val="21"/>
              </w:rPr>
              <w:t>岔河</w:t>
            </w:r>
          </w:p>
        </w:tc>
        <w:tc>
          <w:tcPr>
            <w:tcW w:w="2697" w:type="dxa"/>
            <w:tcBorders>
              <w:top w:val="single" w:sz="6" w:space="0" w:color="000000"/>
              <w:left w:val="single" w:sz="6" w:space="0" w:color="000000"/>
              <w:bottom w:val="single" w:sz="24" w:space="0" w:color="000000"/>
              <w:right w:val="single" w:sz="4" w:space="0" w:color="000000"/>
            </w:tcBorders>
          </w:tcPr>
          <w:p>
            <w:pPr>
              <w:pStyle w:val="TableParagraph"/>
              <w:spacing w:line="247" w:lineRule="exact"/>
              <w:ind w:left="113" w:right="95"/>
              <w:jc w:val="center"/>
              <w:rPr>
                <w:sz w:val="21"/>
              </w:rPr>
            </w:pPr>
            <w:r>
              <w:rPr>
                <w:sz w:val="21"/>
              </w:rPr>
              <w:t>范围为河道东侧自北外环</w:t>
            </w:r>
          </w:p>
          <w:p>
            <w:pPr>
              <w:pStyle w:val="TableParagraph"/>
              <w:spacing w:line="251" w:lineRule="exact"/>
              <w:ind w:left="111" w:right="96"/>
              <w:jc w:val="center"/>
              <w:rPr>
                <w:rFonts w:ascii="Times New Roman" w:eastAsia="Times New Roman"/>
                <w:sz w:val="21"/>
              </w:rPr>
            </w:pPr>
            <w:r>
              <w:rPr>
                <w:sz w:val="21"/>
              </w:rPr>
              <w:t xml:space="preserve">向北 </w:t>
            </w:r>
            <w:r>
              <w:rPr>
                <w:rFonts w:ascii="Times New Roman" w:eastAsia="Times New Roman"/>
                <w:sz w:val="21"/>
              </w:rPr>
              <w:t>2km</w:t>
            </w:r>
          </w:p>
        </w:tc>
        <w:tc>
          <w:tcPr>
            <w:tcW w:w="2551" w:type="dxa"/>
            <w:vMerge/>
            <w:tcBorders>
              <w:top w:val="nil"/>
              <w:left w:val="single" w:sz="4" w:space="0" w:color="000000"/>
              <w:bottom w:val="single" w:sz="24" w:space="0" w:color="000000"/>
              <w:right w:val="single" w:sz="12" w:space="0" w:color="000000"/>
            </w:tcBorders>
          </w:tcPr>
          <w:p>
            <w:pPr>
              <w:rPr>
                <w:sz w:val="2"/>
                <w:szCs w:val="2"/>
              </w:rPr>
            </w:pPr>
          </w:p>
        </w:tc>
        <w:tc>
          <w:tcPr>
            <w:tcW w:w="126" w:type="dxa"/>
            <w:vMerge/>
            <w:tcBorders>
              <w:top w:val="nil"/>
              <w:left w:val="single" w:sz="12" w:space="0" w:color="000000"/>
            </w:tcBorders>
          </w:tcPr>
          <w:p>
            <w:pPr>
              <w:rPr>
                <w:sz w:val="2"/>
                <w:szCs w:val="2"/>
              </w:rPr>
            </w:pPr>
          </w:p>
        </w:tc>
      </w:tr>
    </w:tbl>
    <w:p>
      <w:pPr>
        <w:pStyle w:val="BodyText"/>
        <w:rPr>
          <w:sz w:val="20"/>
        </w:rPr>
      </w:pPr>
    </w:p>
    <w:p>
      <w:pPr>
        <w:pStyle w:val="BodyText"/>
        <w:spacing w:before="4"/>
        <w:rPr>
          <w:sz w:val="27"/>
        </w:rPr>
      </w:pPr>
    </w:p>
    <w:p>
      <w:pPr>
        <w:spacing w:before="60"/>
        <w:ind w:left="551" w:right="0" w:firstLine="0"/>
        <w:jc w:val="left"/>
        <w:rPr>
          <w:sz w:val="28"/>
        </w:rPr>
      </w:pPr>
      <w:r>
        <w:rPr>
          <w:sz w:val="28"/>
        </w:rPr>
        <w:t>—</w:t>
      </w:r>
      <w:r>
        <w:rPr>
          <w:sz w:val="26"/>
        </w:rPr>
        <w:t>23</w:t>
      </w:r>
      <w:r>
        <w:rPr>
          <w:sz w:val="28"/>
        </w:rPr>
        <w:t>—</w:t>
      </w:r>
    </w:p>
    <w:p>
      <w:pPr>
        <w:spacing w:after="0"/>
        <w:jc w:val="left"/>
        <w:rPr>
          <w:sz w:val="28"/>
        </w:rPr>
        <w:sectPr>
          <w:pgSz w:w="11910" w:h="16840"/>
          <w:pgMar w:top="1580" w:right="820" w:bottom="280" w:left="980" w:header="720" w:footer="720" w:gutter="0"/>
          <w:pgNumType w:start="28"/>
          <w:cols w:num="1" w:space="720"/>
        </w:sectPr>
      </w:pPr>
    </w:p>
    <w:p>
      <w:pPr>
        <w:pStyle w:val="BodyText"/>
        <w:spacing w:before="10"/>
        <w:rPr>
          <w:sz w:val="8"/>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120"/>
        <w:gridCol w:w="824"/>
        <w:gridCol w:w="473"/>
        <w:gridCol w:w="139"/>
        <w:gridCol w:w="566"/>
        <w:gridCol w:w="713"/>
        <w:gridCol w:w="2696"/>
        <w:gridCol w:w="2550"/>
        <w:gridCol w:w="125"/>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543"/>
        </w:trPr>
        <w:tc>
          <w:tcPr>
            <w:tcW w:w="783" w:type="dxa"/>
            <w:vMerge w:val="restart"/>
            <w:tcBorders>
              <w:right w:val="single" w:sz="4" w:space="0" w:color="000000"/>
            </w:tcBorders>
          </w:tcPr>
          <w:p>
            <w:pPr>
              <w:pStyle w:val="TableParagraph"/>
              <w:rPr>
                <w:rFonts w:ascii="Times New Roman"/>
                <w:sz w:val="20"/>
              </w:rPr>
            </w:pPr>
          </w:p>
        </w:tc>
        <w:tc>
          <w:tcPr>
            <w:tcW w:w="120" w:type="dxa"/>
            <w:vMerge w:val="restart"/>
            <w:tcBorders>
              <w:left w:val="single" w:sz="4" w:space="0" w:color="000000"/>
              <w:right w:val="single" w:sz="12" w:space="0" w:color="000000"/>
            </w:tcBorders>
          </w:tcPr>
          <w:p>
            <w:pPr>
              <w:pStyle w:val="TableParagraph"/>
              <w:rPr>
                <w:rFonts w:ascii="Times New Roman"/>
                <w:sz w:val="20"/>
              </w:rPr>
            </w:pPr>
          </w:p>
        </w:tc>
        <w:tc>
          <w:tcPr>
            <w:tcW w:w="824" w:type="dxa"/>
            <w:vMerge w:val="restart"/>
            <w:tcBorders>
              <w:top w:val="thinThickMediumGap" w:sz="6" w:space="0" w:color="000000"/>
              <w:left w:val="single" w:sz="12" w:space="0" w:color="000000"/>
              <w:bottom w:val="single" w:sz="6" w:space="0" w:color="000000"/>
              <w:right w:val="single" w:sz="6" w:space="0" w:color="000000"/>
            </w:tcBorders>
          </w:tcPr>
          <w:p>
            <w:pPr>
              <w:pStyle w:val="TableParagraph"/>
              <w:rPr>
                <w:rFonts w:ascii="Times New Roman"/>
                <w:sz w:val="20"/>
              </w:rPr>
            </w:pPr>
          </w:p>
        </w:tc>
        <w:tc>
          <w:tcPr>
            <w:tcW w:w="473" w:type="dxa"/>
            <w:tcBorders>
              <w:top w:val="thinThickMediumGap" w:sz="6" w:space="0" w:color="000000"/>
              <w:left w:val="single" w:sz="6" w:space="0" w:color="000000"/>
              <w:bottom w:val="single" w:sz="6" w:space="0" w:color="000000"/>
              <w:right w:val="single" w:sz="4" w:space="0" w:color="000000"/>
            </w:tcBorders>
          </w:tcPr>
          <w:p>
            <w:pPr>
              <w:pStyle w:val="TableParagraph"/>
              <w:rPr>
                <w:rFonts w:ascii="Times New Roman"/>
                <w:sz w:val="20"/>
              </w:rPr>
            </w:pPr>
          </w:p>
        </w:tc>
        <w:tc>
          <w:tcPr>
            <w:tcW w:w="705" w:type="dxa"/>
            <w:gridSpan w:val="2"/>
            <w:tcBorders>
              <w:top w:val="thinThickMediumGap" w:sz="6" w:space="0" w:color="000000"/>
              <w:left w:val="single" w:sz="4" w:space="0" w:color="000000"/>
              <w:bottom w:val="single" w:sz="6" w:space="0" w:color="000000"/>
              <w:right w:val="single" w:sz="4" w:space="0" w:color="000000"/>
            </w:tcBorders>
          </w:tcPr>
          <w:p>
            <w:pPr>
              <w:pStyle w:val="TableParagraph"/>
              <w:ind w:left="129" w:right="106"/>
              <w:jc w:val="center"/>
              <w:rPr>
                <w:sz w:val="21"/>
              </w:rPr>
            </w:pPr>
            <w:r>
              <w:rPr>
                <w:sz w:val="21"/>
              </w:rPr>
              <w:t>路修</w:t>
            </w:r>
          </w:p>
          <w:p>
            <w:pPr>
              <w:pStyle w:val="TableParagraph"/>
              <w:spacing w:before="5" w:line="250" w:lineRule="exact"/>
              <w:ind w:left="13"/>
              <w:jc w:val="center"/>
              <w:rPr>
                <w:sz w:val="21"/>
              </w:rPr>
            </w:pPr>
            <w:r>
              <w:rPr>
                <w:w w:val="100"/>
                <w:sz w:val="21"/>
              </w:rPr>
              <w:t>复</w:t>
            </w:r>
          </w:p>
        </w:tc>
        <w:tc>
          <w:tcPr>
            <w:tcW w:w="713" w:type="dxa"/>
            <w:tcBorders>
              <w:top w:val="thinThickMediumGap" w:sz="6" w:space="0" w:color="000000"/>
              <w:left w:val="single" w:sz="4" w:space="0" w:color="000000"/>
              <w:bottom w:val="single" w:sz="6" w:space="0" w:color="000000"/>
              <w:right w:val="single" w:sz="6" w:space="0" w:color="000000"/>
            </w:tcBorders>
          </w:tcPr>
          <w:p>
            <w:pPr>
              <w:pStyle w:val="TableParagraph"/>
              <w:spacing w:before="134"/>
              <w:ind w:left="153"/>
              <w:rPr>
                <w:sz w:val="21"/>
              </w:rPr>
            </w:pPr>
            <w:r>
              <w:rPr>
                <w:sz w:val="21"/>
              </w:rPr>
              <w:t>减河</w:t>
            </w:r>
          </w:p>
        </w:tc>
        <w:tc>
          <w:tcPr>
            <w:tcW w:w="2696" w:type="dxa"/>
            <w:tcBorders>
              <w:top w:val="thinThickMediumGap" w:sz="6" w:space="0" w:color="000000"/>
              <w:left w:val="single" w:sz="6" w:space="0" w:color="000000"/>
              <w:bottom w:val="single" w:sz="6" w:space="0" w:color="000000"/>
              <w:right w:val="single" w:sz="4" w:space="0" w:color="000000"/>
            </w:tcBorders>
          </w:tcPr>
          <w:p>
            <w:pPr>
              <w:pStyle w:val="TableParagraph"/>
              <w:spacing w:before="14" w:line="269" w:lineRule="exact"/>
              <w:ind w:left="178" w:right="155"/>
              <w:jc w:val="center"/>
              <w:rPr>
                <w:sz w:val="21"/>
              </w:rPr>
            </w:pPr>
            <w:r>
              <w:rPr>
                <w:sz w:val="21"/>
              </w:rPr>
              <w:t>河道西侧自东外环向东北</w:t>
            </w:r>
          </w:p>
          <w:p>
            <w:pPr>
              <w:pStyle w:val="TableParagraph"/>
              <w:spacing w:line="240" w:lineRule="exact"/>
              <w:ind w:left="171" w:right="155"/>
              <w:jc w:val="center"/>
              <w:rPr>
                <w:rFonts w:ascii="Times New Roman"/>
                <w:sz w:val="21"/>
              </w:rPr>
            </w:pPr>
            <w:r>
              <w:rPr>
                <w:rFonts w:ascii="Times New Roman"/>
                <w:sz w:val="21"/>
              </w:rPr>
              <w:t>2km</w:t>
            </w:r>
          </w:p>
        </w:tc>
        <w:tc>
          <w:tcPr>
            <w:tcW w:w="2550" w:type="dxa"/>
            <w:tcBorders>
              <w:top w:val="thinThickMediumGap" w:sz="6" w:space="0" w:color="000000"/>
              <w:left w:val="single" w:sz="4" w:space="0" w:color="000000"/>
              <w:bottom w:val="single" w:sz="6" w:space="0" w:color="000000"/>
              <w:right w:val="single" w:sz="12" w:space="0" w:color="000000"/>
            </w:tcBorders>
          </w:tcPr>
          <w:p>
            <w:pPr>
              <w:pStyle w:val="TableParagraph"/>
              <w:rPr>
                <w:rFonts w:ascii="Times New Roman"/>
                <w:sz w:val="20"/>
              </w:rPr>
            </w:pPr>
          </w:p>
        </w:tc>
        <w:tc>
          <w:tcPr>
            <w:tcW w:w="125" w:type="dxa"/>
            <w:tcBorders>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3264"/>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15"/>
              </w:rPr>
            </w:pPr>
          </w:p>
          <w:p>
            <w:pPr>
              <w:pStyle w:val="TableParagraph"/>
              <w:spacing w:before="1" w:line="242" w:lineRule="auto"/>
              <w:ind w:left="210" w:right="190"/>
              <w:jc w:val="center"/>
              <w:rPr>
                <w:sz w:val="21"/>
              </w:rPr>
            </w:pPr>
            <w:r>
              <w:rPr>
                <w:sz w:val="21"/>
              </w:rPr>
              <w:t>四支沟水环境综合治理与再生资源利用工程</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44" w:lineRule="auto"/>
              <w:ind w:left="475" w:right="132" w:hanging="360"/>
              <w:rPr>
                <w:sz w:val="21"/>
              </w:rPr>
            </w:pPr>
            <w:r>
              <w:rPr>
                <w:sz w:val="21"/>
              </w:rPr>
              <w:t xml:space="preserve">① 引水系统：采用倒虹吸管道采用 </w:t>
            </w:r>
            <w:r>
              <w:rPr>
                <w:rFonts w:ascii="Times New Roman" w:eastAsia="Times New Roman" w:hAnsi="Times New Roman"/>
                <w:sz w:val="21"/>
              </w:rPr>
              <w:t xml:space="preserve">DN1200 </w:t>
            </w:r>
            <w:r>
              <w:rPr>
                <w:sz w:val="21"/>
              </w:rPr>
              <w:t>钢筋混凝土管道，倒虹吸井采用钢筋混凝土结构。</w:t>
            </w:r>
          </w:p>
          <w:p>
            <w:pPr>
              <w:pStyle w:val="TableParagraph"/>
              <w:spacing w:line="244" w:lineRule="auto"/>
              <w:ind w:left="475" w:right="155" w:hanging="360"/>
              <w:jc w:val="both"/>
              <w:rPr>
                <w:rFonts w:ascii="Times New Roman" w:eastAsia="Times New Roman" w:hAnsi="Times New Roman"/>
                <w:sz w:val="21"/>
              </w:rPr>
            </w:pPr>
            <w:r>
              <w:rPr>
                <w:spacing w:val="-4"/>
                <w:sz w:val="21"/>
              </w:rPr>
              <w:t xml:space="preserve">② 垂直潜流湿地：建设垂直潜流湿地 </w:t>
            </w:r>
            <w:r>
              <w:rPr>
                <w:rFonts w:ascii="Times New Roman" w:eastAsia="Times New Roman" w:hAnsi="Times New Roman"/>
                <w:sz w:val="21"/>
              </w:rPr>
              <w:t>40000m</w:t>
            </w:r>
            <w:r>
              <w:rPr>
                <w:rFonts w:ascii="Times New Roman" w:eastAsia="Times New Roman" w:hAnsi="Times New Roman"/>
                <w:sz w:val="21"/>
                <w:vertAlign w:val="superscript"/>
              </w:rPr>
              <w:t>2</w:t>
            </w:r>
            <w:r>
              <w:rPr>
                <w:spacing w:val="-4"/>
                <w:sz w:val="21"/>
                <w:vertAlign w:val="baseline"/>
              </w:rPr>
              <w:t>，设计</w:t>
            </w:r>
            <w:r>
              <w:rPr>
                <w:spacing w:val="-9"/>
                <w:sz w:val="21"/>
                <w:vertAlign w:val="baseline"/>
              </w:rPr>
              <w:t xml:space="preserve">处净化能力 </w:t>
            </w:r>
            <w:r>
              <w:rPr>
                <w:rFonts w:ascii="Times New Roman" w:eastAsia="Times New Roman" w:hAnsi="Times New Roman"/>
                <w:sz w:val="21"/>
                <w:vertAlign w:val="baseline"/>
              </w:rPr>
              <w:t>20000m</w:t>
            </w:r>
            <w:r>
              <w:rPr>
                <w:rFonts w:ascii="Times New Roman" w:eastAsia="Times New Roman" w:hAnsi="Times New Roman"/>
                <w:sz w:val="21"/>
                <w:vertAlign w:val="superscript"/>
              </w:rPr>
              <w:t>3</w:t>
            </w:r>
            <w:r>
              <w:rPr>
                <w:rFonts w:ascii="Times New Roman" w:eastAsia="Times New Roman" w:hAnsi="Times New Roman"/>
                <w:sz w:val="21"/>
                <w:vertAlign w:val="baseline"/>
              </w:rPr>
              <w:t>/d</w:t>
            </w:r>
          </w:p>
          <w:p>
            <w:pPr>
              <w:pStyle w:val="TableParagraph"/>
              <w:spacing w:line="244" w:lineRule="auto"/>
              <w:ind w:left="475" w:right="123" w:hanging="360"/>
              <w:jc w:val="both"/>
              <w:rPr>
                <w:sz w:val="21"/>
              </w:rPr>
            </w:pPr>
            <w:r>
              <w:rPr>
                <w:sz w:val="21"/>
              </w:rPr>
              <w:t xml:space="preserve">③ 河道走廊湿地：垂直潜流湿地出水进入河道走廊湿地，河道走廊湿地水力路径以地表推流为主，本项目河道走廊湿地建设总面积约 </w:t>
            </w:r>
            <w:r>
              <w:rPr>
                <w:rFonts w:ascii="Times New Roman" w:eastAsia="Times New Roman" w:hAnsi="Times New Roman"/>
                <w:sz w:val="21"/>
              </w:rPr>
              <w:t>30000m</w:t>
            </w:r>
            <w:r>
              <w:rPr>
                <w:rFonts w:ascii="Times New Roman" w:eastAsia="Times New Roman" w:hAnsi="Times New Roman"/>
                <w:sz w:val="21"/>
                <w:vertAlign w:val="superscript"/>
              </w:rPr>
              <w:t>2</w:t>
            </w:r>
            <w:r>
              <w:rPr>
                <w:sz w:val="21"/>
                <w:vertAlign w:val="baseline"/>
              </w:rPr>
              <w:t>。</w:t>
            </w:r>
          </w:p>
          <w:p>
            <w:pPr>
              <w:pStyle w:val="TableParagraph"/>
              <w:spacing w:line="242" w:lineRule="auto"/>
              <w:ind w:left="475" w:right="-29" w:hanging="360"/>
              <w:rPr>
                <w:sz w:val="21"/>
              </w:rPr>
            </w:pPr>
            <w:r>
              <w:rPr>
                <w:spacing w:val="-6"/>
                <w:sz w:val="21"/>
              </w:rPr>
              <w:t xml:space="preserve">④ 生态边坡：河道边坡近水区适宜水深种植挺水植物， </w:t>
            </w:r>
            <w:r>
              <w:rPr>
                <w:spacing w:val="-5"/>
                <w:sz w:val="21"/>
              </w:rPr>
              <w:t>远水区种植野花组合等地被植物及灌木，设计面积</w:t>
            </w:r>
            <w:r>
              <w:rPr>
                <w:rFonts w:ascii="Times New Roman" w:eastAsia="Times New Roman" w:hAnsi="Times New Roman"/>
                <w:spacing w:val="-5"/>
                <w:sz w:val="21"/>
              </w:rPr>
              <w:t>42000m</w:t>
            </w:r>
            <w:r>
              <w:rPr>
                <w:rFonts w:ascii="Times New Roman" w:eastAsia="Times New Roman" w:hAnsi="Times New Roman"/>
                <w:spacing w:val="-5"/>
                <w:sz w:val="21"/>
                <w:vertAlign w:val="superscript"/>
              </w:rPr>
              <w:t>2</w:t>
            </w:r>
            <w:r>
              <w:rPr>
                <w:spacing w:val="-5"/>
                <w:sz w:val="21"/>
                <w:vertAlign w:val="baseline"/>
              </w:rPr>
              <w:t>。</w:t>
            </w:r>
          </w:p>
          <w:p>
            <w:pPr>
              <w:pStyle w:val="TableParagraph"/>
              <w:ind w:left="115"/>
              <w:rPr>
                <w:sz w:val="21"/>
              </w:rPr>
            </w:pPr>
            <w:r>
              <w:rPr>
                <w:sz w:val="21"/>
              </w:rPr>
              <w:t xml:space="preserve">⑤ 管理道路：沿湿地周边建设 </w:t>
            </w:r>
            <w:r>
              <w:rPr>
                <w:rFonts w:ascii="Times New Roman" w:eastAsia="Times New Roman" w:hAnsi="Times New Roman"/>
                <w:sz w:val="21"/>
              </w:rPr>
              <w:t xml:space="preserve">1 </w:t>
            </w:r>
            <w:r>
              <w:rPr>
                <w:sz w:val="21"/>
              </w:rPr>
              <w:t>条管理道路，共计</w:t>
            </w:r>
          </w:p>
          <w:p>
            <w:pPr>
              <w:pStyle w:val="TableParagraph"/>
              <w:spacing w:line="250" w:lineRule="exact"/>
              <w:ind w:left="475"/>
              <w:rPr>
                <w:sz w:val="21"/>
              </w:rPr>
            </w:pPr>
            <w:r>
              <w:rPr>
                <w:rFonts w:ascii="Times New Roman" w:eastAsia="Times New Roman"/>
                <w:sz w:val="21"/>
              </w:rPr>
              <w:t>6984m</w:t>
            </w:r>
            <w:r>
              <w:rPr>
                <w:rFonts w:ascii="Times New Roman" w:eastAsia="Times New Roman"/>
                <w:sz w:val="21"/>
                <w:vertAlign w:val="superscript"/>
              </w:rPr>
              <w:t>2</w:t>
            </w:r>
            <w:r>
              <w:rPr>
                <w:sz w:val="21"/>
                <w:vertAlign w:val="baseline"/>
              </w:rPr>
              <w:t>。</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41"/>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33"/>
              <w:ind w:left="527"/>
              <w:rPr>
                <w:sz w:val="21"/>
              </w:rPr>
            </w:pPr>
            <w:r>
              <w:rPr>
                <w:sz w:val="21"/>
              </w:rPr>
              <w:t>桥梁工程</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62" w:right="29"/>
              <w:jc w:val="center"/>
              <w:rPr>
                <w:sz w:val="21"/>
              </w:rPr>
            </w:pPr>
            <w:r>
              <w:rPr>
                <w:sz w:val="21"/>
              </w:rPr>
              <w:t xml:space="preserve">本次工程涉及桥梁共计 </w:t>
            </w:r>
            <w:r>
              <w:rPr>
                <w:rFonts w:ascii="Times New Roman" w:eastAsia="Times New Roman"/>
                <w:sz w:val="21"/>
              </w:rPr>
              <w:t xml:space="preserve">4 </w:t>
            </w:r>
            <w:r>
              <w:rPr>
                <w:sz w:val="21"/>
              </w:rPr>
              <w:t>座，其中四支沟拆除改建桥梁</w:t>
            </w:r>
          </w:p>
          <w:p>
            <w:pPr>
              <w:pStyle w:val="TableParagraph"/>
              <w:spacing w:before="4" w:line="254" w:lineRule="exact"/>
              <w:ind w:left="62" w:right="28"/>
              <w:jc w:val="center"/>
              <w:rPr>
                <w:sz w:val="21"/>
              </w:rPr>
            </w:pPr>
            <w:r>
              <w:rPr>
                <w:rFonts w:ascii="Times New Roman" w:eastAsia="Times New Roman"/>
                <w:sz w:val="21"/>
              </w:rPr>
              <w:t xml:space="preserve">1 </w:t>
            </w:r>
            <w:r>
              <w:rPr>
                <w:sz w:val="21"/>
              </w:rPr>
              <w:t xml:space="preserve">座、站前沟新建桥梁 </w:t>
            </w:r>
            <w:r>
              <w:rPr>
                <w:rFonts w:ascii="Times New Roman" w:eastAsia="Times New Roman"/>
                <w:sz w:val="21"/>
              </w:rPr>
              <w:t xml:space="preserve">3 </w:t>
            </w:r>
            <w:r>
              <w:rPr>
                <w:sz w:val="21"/>
              </w:rPr>
              <w:t>座。</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37"/>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val="restart"/>
            <w:tcBorders>
              <w:top w:val="single" w:sz="6" w:space="0" w:color="000000"/>
              <w:left w:val="single" w:sz="12"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79" w:line="244" w:lineRule="auto"/>
              <w:ind w:left="200" w:right="176"/>
              <w:rPr>
                <w:sz w:val="21"/>
              </w:rPr>
            </w:pPr>
            <w:r>
              <w:rPr>
                <w:sz w:val="21"/>
              </w:rPr>
              <w:t>临时工程</w:t>
            </w: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line="263" w:lineRule="exact"/>
              <w:ind w:left="192" w:right="174"/>
              <w:jc w:val="center"/>
              <w:rPr>
                <w:sz w:val="21"/>
              </w:rPr>
            </w:pPr>
            <w:r>
              <w:rPr>
                <w:sz w:val="21"/>
              </w:rPr>
              <w:t>施工临时设施及</w:t>
            </w:r>
          </w:p>
          <w:p>
            <w:pPr>
              <w:pStyle w:val="TableParagraph"/>
              <w:spacing w:before="4" w:line="250" w:lineRule="exact"/>
              <w:ind w:left="210" w:right="187"/>
              <w:jc w:val="center"/>
              <w:rPr>
                <w:sz w:val="21"/>
              </w:rPr>
            </w:pPr>
            <w:r>
              <w:rPr>
                <w:sz w:val="21"/>
              </w:rPr>
              <w:t>生活区</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115"/>
              <w:rPr>
                <w:rFonts w:ascii="Times New Roman" w:eastAsia="Times New Roman"/>
                <w:sz w:val="21"/>
              </w:rPr>
            </w:pPr>
            <w:r>
              <w:rPr>
                <w:sz w:val="21"/>
              </w:rPr>
              <w:t xml:space="preserve">用于施工期员工办公生活及工具堆放，占地面积 </w:t>
            </w:r>
            <w:r>
              <w:rPr>
                <w:rFonts w:ascii="Times New Roman" w:eastAsia="Times New Roman"/>
                <w:sz w:val="21"/>
              </w:rPr>
              <w:t>45.0</w:t>
            </w:r>
          </w:p>
          <w:p>
            <w:pPr>
              <w:pStyle w:val="TableParagraph"/>
              <w:spacing w:before="4" w:line="250" w:lineRule="exact"/>
              <w:ind w:left="115"/>
              <w:rPr>
                <w:sz w:val="21"/>
              </w:rPr>
            </w:pPr>
            <w:r>
              <w:rPr>
                <w:sz w:val="21"/>
              </w:rPr>
              <w:t xml:space="preserve">亩；占用期 </w:t>
            </w:r>
            <w:r>
              <w:rPr>
                <w:rFonts w:ascii="Times New Roman" w:eastAsia="Times New Roman"/>
                <w:sz w:val="21"/>
              </w:rPr>
              <w:t xml:space="preserve">24 </w:t>
            </w:r>
            <w:r>
              <w:rPr>
                <w:sz w:val="21"/>
              </w:rPr>
              <w:t>个月。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41"/>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33"/>
              <w:ind w:left="421"/>
              <w:rPr>
                <w:sz w:val="21"/>
              </w:rPr>
            </w:pPr>
            <w:r>
              <w:rPr>
                <w:sz w:val="21"/>
              </w:rPr>
              <w:t>临时堆放区</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7" w:lineRule="exact"/>
              <w:ind w:left="115"/>
              <w:rPr>
                <w:sz w:val="21"/>
              </w:rPr>
            </w:pPr>
            <w:r>
              <w:rPr>
                <w:spacing w:val="-10"/>
                <w:sz w:val="21"/>
              </w:rPr>
              <w:t xml:space="preserve">用来堆放石料、水泥、砂等，占地面积 </w:t>
            </w:r>
            <w:r>
              <w:rPr>
                <w:rFonts w:ascii="Times New Roman" w:eastAsia="Times New Roman"/>
                <w:sz w:val="21"/>
              </w:rPr>
              <w:t xml:space="preserve">10.5 </w:t>
            </w:r>
            <w:r>
              <w:rPr>
                <w:spacing w:val="-6"/>
                <w:sz w:val="21"/>
              </w:rPr>
              <w:t>亩，占用期</w:t>
            </w:r>
          </w:p>
          <w:p>
            <w:pPr>
              <w:pStyle w:val="TableParagraph"/>
              <w:spacing w:line="254" w:lineRule="exact"/>
              <w:ind w:left="115"/>
              <w:rPr>
                <w:sz w:val="21"/>
              </w:rPr>
            </w:pPr>
            <w:r>
              <w:rPr>
                <w:rFonts w:ascii="Times New Roman" w:eastAsia="Times New Roman"/>
                <w:sz w:val="21"/>
              </w:rPr>
              <w:t xml:space="preserve">24 </w:t>
            </w:r>
            <w:r>
              <w:rPr>
                <w:sz w:val="21"/>
              </w:rPr>
              <w:t>个月。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450"/>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85"/>
              <w:ind w:left="421"/>
              <w:rPr>
                <w:sz w:val="21"/>
              </w:rPr>
            </w:pPr>
            <w:r>
              <w:rPr>
                <w:sz w:val="21"/>
              </w:rPr>
              <w:t>弃土堆放区</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before="85"/>
              <w:ind w:left="115" w:right="-29"/>
              <w:rPr>
                <w:sz w:val="21"/>
              </w:rPr>
            </w:pPr>
            <w:r>
              <w:rPr>
                <w:spacing w:val="-13"/>
                <w:sz w:val="21"/>
              </w:rPr>
              <w:t xml:space="preserve">用于弃土临时堆放，占地面积 </w:t>
            </w:r>
            <w:r>
              <w:rPr>
                <w:rFonts w:ascii="Times New Roman" w:eastAsia="Times New Roman"/>
                <w:sz w:val="21"/>
              </w:rPr>
              <w:t>191.9</w:t>
            </w:r>
            <w:r>
              <w:rPr>
                <w:rFonts w:ascii="Times New Roman" w:eastAsia="Times New Roman"/>
                <w:spacing w:val="6"/>
                <w:sz w:val="21"/>
              </w:rPr>
              <w:t xml:space="preserve"> </w:t>
            </w:r>
            <w:r>
              <w:rPr>
                <w:spacing w:val="-25"/>
                <w:sz w:val="21"/>
              </w:rPr>
              <w:t xml:space="preserve">亩，占用期 </w:t>
            </w:r>
            <w:r>
              <w:rPr>
                <w:rFonts w:ascii="Times New Roman" w:eastAsia="Times New Roman"/>
                <w:sz w:val="21"/>
              </w:rPr>
              <w:t xml:space="preserve">24 </w:t>
            </w:r>
            <w:r>
              <w:rPr>
                <w:spacing w:val="-6"/>
                <w:sz w:val="21"/>
              </w:rPr>
              <w:t>个月。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810"/>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1"/>
              <w:rPr>
                <w:sz w:val="20"/>
              </w:rPr>
            </w:pPr>
          </w:p>
          <w:p>
            <w:pPr>
              <w:pStyle w:val="TableParagraph"/>
              <w:ind w:left="316"/>
              <w:rPr>
                <w:sz w:val="21"/>
              </w:rPr>
            </w:pPr>
            <w:r>
              <w:rPr>
                <w:sz w:val="21"/>
              </w:rPr>
              <w:t>施工临时道路</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115"/>
              <w:rPr>
                <w:sz w:val="21"/>
              </w:rPr>
            </w:pPr>
            <w:r>
              <w:rPr>
                <w:sz w:val="21"/>
              </w:rPr>
              <w:t>作为河道清淤疏浚、清障及岸坡整治、新建、改建建筑</w:t>
            </w:r>
          </w:p>
          <w:p>
            <w:pPr>
              <w:pStyle w:val="TableParagraph"/>
              <w:spacing w:line="268" w:lineRule="exact"/>
              <w:ind w:left="115" w:right="44"/>
              <w:rPr>
                <w:sz w:val="21"/>
              </w:rPr>
            </w:pPr>
            <w:r>
              <w:rPr>
                <w:sz w:val="21"/>
              </w:rPr>
              <w:t xml:space="preserve">物等工程主要材料及弃料运输的临时通行道路。占地面积为 </w:t>
            </w:r>
            <w:r>
              <w:rPr>
                <w:rFonts w:ascii="Times New Roman" w:eastAsia="Times New Roman"/>
                <w:sz w:val="21"/>
              </w:rPr>
              <w:t xml:space="preserve">211.5 </w:t>
            </w:r>
            <w:r>
              <w:rPr>
                <w:sz w:val="21"/>
              </w:rPr>
              <w:t xml:space="preserve">亩，占用期 </w:t>
            </w:r>
            <w:r>
              <w:rPr>
                <w:rFonts w:ascii="Times New Roman" w:eastAsia="Times New Roman"/>
                <w:sz w:val="21"/>
              </w:rPr>
              <w:t xml:space="preserve">24 </w:t>
            </w:r>
            <w:r>
              <w:rPr>
                <w:sz w:val="21"/>
              </w:rPr>
              <w:t>个月。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41"/>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32"/>
              <w:ind w:left="210"/>
              <w:rPr>
                <w:sz w:val="21"/>
              </w:rPr>
            </w:pPr>
            <w:r>
              <w:rPr>
                <w:sz w:val="21"/>
              </w:rPr>
              <w:t>施工导流及其他</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115"/>
              <w:rPr>
                <w:sz w:val="21"/>
              </w:rPr>
            </w:pPr>
            <w:r>
              <w:rPr>
                <w:sz w:val="21"/>
              </w:rPr>
              <w:t xml:space="preserve">用于施工导流及其他用途，占地 </w:t>
            </w:r>
            <w:r>
              <w:rPr>
                <w:rFonts w:ascii="Times New Roman" w:eastAsia="Times New Roman"/>
                <w:sz w:val="21"/>
              </w:rPr>
              <w:t xml:space="preserve">68.8 </w:t>
            </w:r>
            <w:r>
              <w:rPr>
                <w:sz w:val="21"/>
              </w:rPr>
              <w:t xml:space="preserve">亩，占用期 </w:t>
            </w:r>
            <w:r>
              <w:rPr>
                <w:rFonts w:ascii="Times New Roman" w:eastAsia="Times New Roman"/>
                <w:sz w:val="21"/>
              </w:rPr>
              <w:t xml:space="preserve">24 </w:t>
            </w:r>
            <w:r>
              <w:rPr>
                <w:sz w:val="21"/>
              </w:rPr>
              <w:t>个</w:t>
            </w:r>
          </w:p>
          <w:p>
            <w:pPr>
              <w:pStyle w:val="TableParagraph"/>
              <w:spacing w:before="4" w:line="254" w:lineRule="exact"/>
              <w:ind w:left="115"/>
              <w:rPr>
                <w:sz w:val="21"/>
              </w:rPr>
            </w:pPr>
            <w:r>
              <w:rPr>
                <w:sz w:val="21"/>
              </w:rPr>
              <w:t>月。</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810"/>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val="restart"/>
            <w:tcBorders>
              <w:top w:val="single" w:sz="6" w:space="0" w:color="000000"/>
              <w:left w:val="single" w:sz="12" w:space="0" w:color="000000"/>
              <w:bottom w:val="single" w:sz="6" w:space="0" w:color="000000"/>
              <w:right w:val="single" w:sz="6" w:space="0" w:color="000000"/>
            </w:tcBorders>
          </w:tcPr>
          <w:p>
            <w:pPr>
              <w:pStyle w:val="TableParagraph"/>
              <w:spacing w:before="137" w:line="244" w:lineRule="auto"/>
              <w:ind w:left="200" w:right="176"/>
              <w:rPr>
                <w:sz w:val="21"/>
              </w:rPr>
            </w:pPr>
            <w:r>
              <w:rPr>
                <w:sz w:val="21"/>
              </w:rPr>
              <w:t>公用工程</w:t>
            </w:r>
          </w:p>
          <w:p>
            <w:pPr>
              <w:pStyle w:val="TableParagraph"/>
              <w:spacing w:line="244" w:lineRule="auto"/>
              <w:ind w:left="104" w:right="60" w:firstLine="96"/>
              <w:rPr>
                <w:sz w:val="21"/>
              </w:rPr>
            </w:pPr>
            <w:r>
              <w:rPr>
                <w:sz w:val="21"/>
              </w:rPr>
              <w:t>（施工期）</w:t>
            </w: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0"/>
              <w:rPr>
                <w:sz w:val="20"/>
              </w:rPr>
            </w:pPr>
          </w:p>
          <w:p>
            <w:pPr>
              <w:pStyle w:val="TableParagraph"/>
              <w:spacing w:before="1"/>
              <w:ind w:left="210" w:right="187"/>
              <w:jc w:val="center"/>
              <w:rPr>
                <w:sz w:val="21"/>
              </w:rPr>
            </w:pPr>
            <w:r>
              <w:rPr>
                <w:sz w:val="21"/>
              </w:rPr>
              <w:t>用水</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numPr>
                <w:ilvl w:val="0"/>
                <w:numId w:val="8"/>
              </w:numPr>
              <w:tabs>
                <w:tab w:val="left" w:pos="275"/>
              </w:tabs>
              <w:spacing w:before="0" w:after="0" w:line="244" w:lineRule="auto"/>
              <w:ind w:left="115" w:right="80" w:firstLine="0"/>
              <w:jc w:val="left"/>
              <w:rPr>
                <w:sz w:val="21"/>
              </w:rPr>
            </w:pPr>
            <w:r>
              <w:rPr>
                <w:spacing w:val="-1"/>
                <w:sz w:val="21"/>
              </w:rPr>
              <w:t>施工生产用水可从河道内取水，采用潜水泵抽取，满足施工需要；</w:t>
            </w:r>
          </w:p>
          <w:p>
            <w:pPr>
              <w:pStyle w:val="TableParagraph"/>
              <w:numPr>
                <w:ilvl w:val="0"/>
                <w:numId w:val="8"/>
              </w:numPr>
              <w:tabs>
                <w:tab w:val="left" w:pos="275"/>
              </w:tabs>
              <w:spacing w:before="0" w:after="0" w:line="248" w:lineRule="exact"/>
              <w:ind w:left="274" w:right="0" w:hanging="160"/>
              <w:jc w:val="left"/>
              <w:rPr>
                <w:sz w:val="21"/>
              </w:rPr>
            </w:pPr>
            <w:r>
              <w:rPr>
                <w:spacing w:val="-3"/>
                <w:sz w:val="21"/>
              </w:rPr>
              <w:t>施工生活用水可从附近村庄取用</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41"/>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single" w:sz="6" w:space="0" w:color="000000"/>
              <w:right w:val="single" w:sz="6" w:space="0" w:color="000000"/>
            </w:tcBorders>
          </w:tcPr>
          <w:p>
            <w:pPr>
              <w:rPr>
                <w:sz w:val="2"/>
                <w:szCs w:val="2"/>
              </w:rPr>
            </w:pPr>
          </w:p>
        </w:tc>
        <w:tc>
          <w:tcPr>
            <w:tcW w:w="1891" w:type="dxa"/>
            <w:gridSpan w:val="4"/>
            <w:tcBorders>
              <w:top w:val="single" w:sz="6" w:space="0" w:color="000000"/>
              <w:left w:val="single" w:sz="6" w:space="0" w:color="000000"/>
              <w:bottom w:val="single" w:sz="6" w:space="0" w:color="000000"/>
              <w:right w:val="single" w:sz="6" w:space="0" w:color="000000"/>
            </w:tcBorders>
          </w:tcPr>
          <w:p>
            <w:pPr>
              <w:pStyle w:val="TableParagraph"/>
              <w:spacing w:before="132"/>
              <w:ind w:left="210" w:right="187"/>
              <w:jc w:val="center"/>
              <w:rPr>
                <w:sz w:val="21"/>
              </w:rPr>
            </w:pPr>
            <w:r>
              <w:rPr>
                <w:sz w:val="21"/>
              </w:rPr>
              <w:t>用电</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115"/>
              <w:rPr>
                <w:sz w:val="21"/>
              </w:rPr>
            </w:pPr>
            <w:r>
              <w:rPr>
                <w:sz w:val="21"/>
              </w:rPr>
              <w:t xml:space="preserve">靠近村庄的河段可从村庄就近接取 </w:t>
            </w:r>
            <w:r>
              <w:rPr>
                <w:rFonts w:ascii="Times New Roman" w:eastAsia="Times New Roman"/>
                <w:sz w:val="21"/>
              </w:rPr>
              <w:t xml:space="preserve">380/220V </w:t>
            </w:r>
            <w:r>
              <w:rPr>
                <w:sz w:val="21"/>
              </w:rPr>
              <w:t>低压电，</w:t>
            </w:r>
          </w:p>
          <w:p>
            <w:pPr>
              <w:pStyle w:val="TableParagraph"/>
              <w:spacing w:before="4" w:line="254" w:lineRule="exact"/>
              <w:ind w:left="115"/>
              <w:rPr>
                <w:sz w:val="21"/>
              </w:rPr>
            </w:pPr>
            <w:r>
              <w:rPr>
                <w:sz w:val="21"/>
              </w:rPr>
              <w:t>用电量不大时可采用柴油发电机组发电</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1614"/>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val="restart"/>
            <w:tcBorders>
              <w:top w:val="single" w:sz="6" w:space="0" w:color="000000"/>
              <w:left w:val="single" w:sz="12"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18"/>
              </w:rPr>
            </w:pPr>
          </w:p>
          <w:p>
            <w:pPr>
              <w:pStyle w:val="TableParagraph"/>
              <w:ind w:left="200" w:right="176"/>
              <w:rPr>
                <w:sz w:val="21"/>
              </w:rPr>
            </w:pPr>
            <w:r>
              <w:rPr>
                <w:sz w:val="21"/>
              </w:rPr>
              <w:t>环保工程</w:t>
            </w:r>
          </w:p>
        </w:tc>
        <w:tc>
          <w:tcPr>
            <w:tcW w:w="612" w:type="dxa"/>
            <w:gridSpan w:val="2"/>
            <w:vMerge w:val="restart"/>
            <w:tcBorders>
              <w:top w:val="single" w:sz="6" w:space="0" w:color="000000"/>
              <w:left w:val="single" w:sz="6" w:space="0" w:color="000000"/>
              <w:bottom w:val="thinThickMediumGap" w:sz="6"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8"/>
              </w:rPr>
            </w:pPr>
          </w:p>
          <w:p>
            <w:pPr>
              <w:pStyle w:val="TableParagraph"/>
              <w:spacing w:line="244" w:lineRule="auto"/>
              <w:ind w:left="200" w:right="185"/>
              <w:jc w:val="both"/>
              <w:rPr>
                <w:sz w:val="21"/>
              </w:rPr>
            </w:pPr>
            <w:r>
              <w:rPr>
                <w:sz w:val="21"/>
              </w:rPr>
              <w:t>施工期</w:t>
            </w:r>
          </w:p>
        </w:tc>
        <w:tc>
          <w:tcPr>
            <w:tcW w:w="1279" w:type="dxa"/>
            <w:gridSpan w:val="2"/>
            <w:tcBorders>
              <w:top w:val="single" w:sz="6" w:space="0" w:color="000000"/>
              <w:left w:val="single" w:sz="4"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spacing w:before="162"/>
              <w:ind w:left="224"/>
              <w:rPr>
                <w:sz w:val="21"/>
              </w:rPr>
            </w:pPr>
            <w:r>
              <w:rPr>
                <w:sz w:val="21"/>
              </w:rPr>
              <w:t>废气治理</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63" w:lineRule="exact"/>
              <w:ind w:left="115"/>
              <w:rPr>
                <w:sz w:val="21"/>
              </w:rPr>
            </w:pPr>
            <w:r>
              <w:rPr>
                <w:rFonts w:ascii="Times New Roman" w:eastAsia="Times New Roman"/>
                <w:sz w:val="21"/>
              </w:rPr>
              <w:t>1</w:t>
            </w:r>
            <w:r>
              <w:rPr>
                <w:sz w:val="21"/>
              </w:rPr>
              <w:t>、施工机械及车辆安装尾气净化和消烟除尘装置；</w:t>
            </w:r>
          </w:p>
          <w:p>
            <w:pPr>
              <w:pStyle w:val="TableParagraph"/>
              <w:spacing w:before="4" w:line="269" w:lineRule="exact"/>
              <w:ind w:left="115"/>
              <w:rPr>
                <w:sz w:val="21"/>
              </w:rPr>
            </w:pPr>
            <w:r>
              <w:rPr>
                <w:rFonts w:ascii="Times New Roman" w:eastAsia="Times New Roman"/>
                <w:sz w:val="21"/>
              </w:rPr>
              <w:t>2</w:t>
            </w:r>
            <w:r>
              <w:rPr>
                <w:sz w:val="21"/>
              </w:rPr>
              <w:t>、在施工场地周围建设围栏；</w:t>
            </w:r>
          </w:p>
          <w:p>
            <w:pPr>
              <w:pStyle w:val="TableParagraph"/>
              <w:ind w:left="115"/>
              <w:rPr>
                <w:sz w:val="21"/>
              </w:rPr>
            </w:pPr>
            <w:r>
              <w:rPr>
                <w:rFonts w:ascii="Times New Roman" w:eastAsia="Times New Roman"/>
                <w:sz w:val="21"/>
              </w:rPr>
              <w:t>3</w:t>
            </w:r>
            <w:r>
              <w:rPr>
                <w:sz w:val="21"/>
              </w:rPr>
              <w:t>、施工场地路面洒水降尘，临时堆土采取遮盖措施；</w:t>
            </w:r>
          </w:p>
          <w:p>
            <w:pPr>
              <w:pStyle w:val="TableParagraph"/>
              <w:spacing w:before="5" w:line="244" w:lineRule="auto"/>
              <w:ind w:left="115" w:right="82"/>
              <w:rPr>
                <w:sz w:val="21"/>
              </w:rPr>
            </w:pPr>
            <w:r>
              <w:rPr>
                <w:rFonts w:ascii="Times New Roman" w:eastAsia="Times New Roman"/>
                <w:sz w:val="21"/>
              </w:rPr>
              <w:t>4</w:t>
            </w:r>
            <w:r>
              <w:rPr>
                <w:sz w:val="21"/>
              </w:rPr>
              <w:t>、采用商品沥青集中铺设，现场不设沥青拌合站，运输过程中使用油布覆盖；</w:t>
            </w:r>
          </w:p>
          <w:p>
            <w:pPr>
              <w:pStyle w:val="TableParagraph"/>
              <w:spacing w:line="236" w:lineRule="exact"/>
              <w:ind w:left="115"/>
              <w:rPr>
                <w:sz w:val="21"/>
              </w:rPr>
            </w:pPr>
            <w:r>
              <w:rPr>
                <w:rFonts w:ascii="Times New Roman" w:eastAsia="Times New Roman"/>
                <w:sz w:val="21"/>
              </w:rPr>
              <w:t>5</w:t>
            </w:r>
            <w:r>
              <w:rPr>
                <w:sz w:val="21"/>
              </w:rPr>
              <w:t>、采用商品混凝土，现场不设置拌合系统。</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516"/>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thinThickMediumGap" w:sz="6" w:space="0" w:color="000000"/>
              <w:right w:val="single" w:sz="6" w:space="0" w:color="000000"/>
            </w:tcBorders>
          </w:tcPr>
          <w:p>
            <w:pPr>
              <w:rPr>
                <w:sz w:val="2"/>
                <w:szCs w:val="2"/>
              </w:rPr>
            </w:pPr>
          </w:p>
        </w:tc>
        <w:tc>
          <w:tcPr>
            <w:tcW w:w="612" w:type="dxa"/>
            <w:gridSpan w:val="2"/>
            <w:vMerge/>
            <w:tcBorders>
              <w:top w:val="nil"/>
              <w:left w:val="single" w:sz="6" w:space="0" w:color="000000"/>
              <w:bottom w:val="thinThickMediumGap" w:sz="6" w:space="0" w:color="000000"/>
              <w:right w:val="single" w:sz="4" w:space="0" w:color="000000"/>
            </w:tcBorders>
          </w:tcPr>
          <w:p>
            <w:pPr>
              <w:rPr>
                <w:sz w:val="2"/>
                <w:szCs w:val="2"/>
              </w:rPr>
            </w:pPr>
          </w:p>
        </w:tc>
        <w:tc>
          <w:tcPr>
            <w:tcW w:w="1279" w:type="dxa"/>
            <w:gridSpan w:val="2"/>
            <w:tcBorders>
              <w:top w:val="single" w:sz="6" w:space="0" w:color="000000"/>
              <w:left w:val="single" w:sz="4" w:space="0" w:color="000000"/>
              <w:bottom w:val="single" w:sz="6" w:space="0" w:color="000000"/>
              <w:right w:val="single" w:sz="6" w:space="0" w:color="000000"/>
            </w:tcBorders>
          </w:tcPr>
          <w:p>
            <w:pPr>
              <w:pStyle w:val="TableParagraph"/>
              <w:spacing w:before="120"/>
              <w:ind w:left="224"/>
              <w:rPr>
                <w:sz w:val="21"/>
              </w:rPr>
            </w:pPr>
            <w:r>
              <w:rPr>
                <w:sz w:val="21"/>
              </w:rPr>
              <w:t>废水治理</w:t>
            </w:r>
          </w:p>
        </w:tc>
        <w:tc>
          <w:tcPr>
            <w:tcW w:w="5246" w:type="dxa"/>
            <w:gridSpan w:val="2"/>
            <w:tcBorders>
              <w:top w:val="single" w:sz="6" w:space="0" w:color="000000"/>
              <w:left w:val="single" w:sz="6" w:space="0" w:color="000000"/>
              <w:bottom w:val="single" w:sz="6" w:space="0" w:color="000000"/>
              <w:right w:val="single" w:sz="12" w:space="0" w:color="000000"/>
            </w:tcBorders>
          </w:tcPr>
          <w:p>
            <w:pPr>
              <w:pStyle w:val="TableParagraph"/>
              <w:spacing w:line="250" w:lineRule="exact"/>
              <w:ind w:left="115"/>
              <w:rPr>
                <w:sz w:val="21"/>
              </w:rPr>
            </w:pPr>
            <w:r>
              <w:rPr>
                <w:rFonts w:ascii="Times New Roman" w:eastAsia="Times New Roman"/>
                <w:sz w:val="21"/>
              </w:rPr>
              <w:t>1</w:t>
            </w:r>
            <w:r>
              <w:rPr>
                <w:sz w:val="21"/>
              </w:rPr>
              <w:t>、 施工区设置集水沟和沉淀池；</w:t>
            </w:r>
          </w:p>
          <w:p>
            <w:pPr>
              <w:pStyle w:val="TableParagraph"/>
              <w:spacing w:before="4" w:line="242" w:lineRule="exact"/>
              <w:ind w:left="115"/>
              <w:rPr>
                <w:sz w:val="21"/>
              </w:rPr>
            </w:pPr>
            <w:r>
              <w:rPr>
                <w:rFonts w:ascii="Times New Roman" w:eastAsia="Times New Roman"/>
                <w:sz w:val="21"/>
              </w:rPr>
              <w:t>2</w:t>
            </w:r>
            <w:r>
              <w:rPr>
                <w:sz w:val="21"/>
              </w:rPr>
              <w:t>、 施工生活区设置旱厕，定期委托环卫部门清运。</w:t>
            </w:r>
          </w:p>
        </w:tc>
        <w:tc>
          <w:tcPr>
            <w:tcW w:w="125" w:type="dxa"/>
            <w:tcBorders>
              <w:top w:val="nil"/>
              <w:left w:val="single" w:sz="12" w:space="0" w:color="000000"/>
              <w:bottom w:val="nil"/>
            </w:tcBorders>
          </w:tcPr>
          <w:p>
            <w:pPr>
              <w:pStyle w:val="TableParagraph"/>
              <w:rPr>
                <w:rFonts w:ascii="Times New Roman"/>
                <w:sz w:val="20"/>
              </w:rPr>
            </w:pPr>
          </w:p>
        </w:tc>
      </w:tr>
      <w:tr>
        <w:tblPrEx>
          <w:tblW w:w="0" w:type="auto"/>
          <w:tblInd w:w="490" w:type="dxa"/>
          <w:tblLayout w:type="fixed"/>
          <w:tblCellMar>
            <w:top w:w="0" w:type="dxa"/>
            <w:left w:w="0" w:type="dxa"/>
            <w:bottom w:w="0" w:type="dxa"/>
            <w:right w:w="0" w:type="dxa"/>
          </w:tblCellMar>
        </w:tblPrEx>
        <w:trPr>
          <w:trHeight w:val="1894"/>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right w:val="single" w:sz="12" w:space="0" w:color="000000"/>
            </w:tcBorders>
          </w:tcPr>
          <w:p>
            <w:pPr>
              <w:rPr>
                <w:sz w:val="2"/>
                <w:szCs w:val="2"/>
              </w:rPr>
            </w:pPr>
          </w:p>
        </w:tc>
        <w:tc>
          <w:tcPr>
            <w:tcW w:w="824" w:type="dxa"/>
            <w:vMerge/>
            <w:tcBorders>
              <w:top w:val="nil"/>
              <w:left w:val="single" w:sz="12" w:space="0" w:color="000000"/>
              <w:bottom w:val="thinThickMediumGap" w:sz="6" w:space="0" w:color="000000"/>
              <w:right w:val="single" w:sz="6" w:space="0" w:color="000000"/>
            </w:tcBorders>
          </w:tcPr>
          <w:p>
            <w:pPr>
              <w:rPr>
                <w:sz w:val="2"/>
                <w:szCs w:val="2"/>
              </w:rPr>
            </w:pPr>
          </w:p>
        </w:tc>
        <w:tc>
          <w:tcPr>
            <w:tcW w:w="612" w:type="dxa"/>
            <w:gridSpan w:val="2"/>
            <w:vMerge/>
            <w:tcBorders>
              <w:top w:val="nil"/>
              <w:left w:val="single" w:sz="6" w:space="0" w:color="000000"/>
              <w:bottom w:val="thinThickMediumGap" w:sz="6" w:space="0" w:color="000000"/>
              <w:right w:val="single" w:sz="4" w:space="0" w:color="000000"/>
            </w:tcBorders>
          </w:tcPr>
          <w:p>
            <w:pPr>
              <w:rPr>
                <w:sz w:val="2"/>
                <w:szCs w:val="2"/>
              </w:rPr>
            </w:pPr>
          </w:p>
        </w:tc>
        <w:tc>
          <w:tcPr>
            <w:tcW w:w="1279" w:type="dxa"/>
            <w:gridSpan w:val="2"/>
            <w:tcBorders>
              <w:top w:val="single" w:sz="6" w:space="0" w:color="000000"/>
              <w:left w:val="single" w:sz="4" w:space="0" w:color="000000"/>
              <w:bottom w:val="thinThickMediumGap" w:sz="6" w:space="0" w:color="000000"/>
              <w:right w:val="single" w:sz="6" w:space="0" w:color="000000"/>
            </w:tcBorders>
          </w:tcPr>
          <w:p>
            <w:pPr>
              <w:pStyle w:val="TableParagraph"/>
              <w:rPr>
                <w:sz w:val="20"/>
              </w:rPr>
            </w:pPr>
          </w:p>
          <w:p>
            <w:pPr>
              <w:pStyle w:val="TableParagraph"/>
              <w:rPr>
                <w:sz w:val="20"/>
              </w:rPr>
            </w:pPr>
          </w:p>
          <w:p>
            <w:pPr>
              <w:pStyle w:val="TableParagraph"/>
              <w:spacing w:before="3"/>
              <w:rPr>
                <w:sz w:val="22"/>
              </w:rPr>
            </w:pPr>
          </w:p>
          <w:p>
            <w:pPr>
              <w:pStyle w:val="TableParagraph"/>
              <w:ind w:left="224"/>
              <w:rPr>
                <w:sz w:val="21"/>
              </w:rPr>
            </w:pPr>
            <w:r>
              <w:rPr>
                <w:sz w:val="21"/>
              </w:rPr>
              <w:t>噪声治理</w:t>
            </w:r>
          </w:p>
        </w:tc>
        <w:tc>
          <w:tcPr>
            <w:tcW w:w="5246" w:type="dxa"/>
            <w:gridSpan w:val="2"/>
            <w:tcBorders>
              <w:top w:val="single" w:sz="6" w:space="0" w:color="000000"/>
              <w:left w:val="single" w:sz="6" w:space="0" w:color="000000"/>
              <w:bottom w:val="thinThickMediumGap" w:sz="6" w:space="0" w:color="000000"/>
              <w:right w:val="single" w:sz="12" w:space="0" w:color="000000"/>
            </w:tcBorders>
          </w:tcPr>
          <w:p>
            <w:pPr>
              <w:pStyle w:val="TableParagraph"/>
              <w:spacing w:line="250" w:lineRule="exact"/>
              <w:ind w:left="115"/>
              <w:rPr>
                <w:sz w:val="21"/>
              </w:rPr>
            </w:pPr>
            <w:r>
              <w:rPr>
                <w:rFonts w:ascii="Times New Roman" w:eastAsia="Times New Roman"/>
                <w:sz w:val="21"/>
              </w:rPr>
              <w:t>1</w:t>
            </w:r>
            <w:r>
              <w:rPr>
                <w:sz w:val="21"/>
              </w:rPr>
              <w:t>、在施工场界设置临时围护；</w:t>
            </w:r>
          </w:p>
          <w:p>
            <w:pPr>
              <w:pStyle w:val="TableParagraph"/>
              <w:spacing w:before="4"/>
              <w:ind w:left="115"/>
              <w:rPr>
                <w:sz w:val="21"/>
              </w:rPr>
            </w:pPr>
            <w:r>
              <w:rPr>
                <w:rFonts w:ascii="Times New Roman" w:eastAsia="Times New Roman"/>
                <w:sz w:val="21"/>
              </w:rPr>
              <w:t>2</w:t>
            </w:r>
            <w:r>
              <w:rPr>
                <w:sz w:val="21"/>
              </w:rPr>
              <w:t>、选用低噪声施工机械和工艺；</w:t>
            </w:r>
          </w:p>
          <w:p>
            <w:pPr>
              <w:pStyle w:val="TableParagraph"/>
              <w:spacing w:line="244" w:lineRule="auto"/>
              <w:ind w:left="115" w:right="82"/>
              <w:rPr>
                <w:sz w:val="21"/>
              </w:rPr>
            </w:pPr>
            <w:r>
              <w:rPr>
                <w:rFonts w:ascii="Times New Roman" w:eastAsia="Times New Roman"/>
                <w:sz w:val="21"/>
              </w:rPr>
              <w:t>3</w:t>
            </w:r>
            <w:r>
              <w:rPr>
                <w:sz w:val="21"/>
              </w:rPr>
              <w:t>、加强施工机械的维护保养，对振动大的机械设备使用减振机座或减振垫；</w:t>
            </w:r>
          </w:p>
          <w:p>
            <w:pPr>
              <w:pStyle w:val="TableParagraph"/>
              <w:spacing w:line="244" w:lineRule="auto"/>
              <w:ind w:left="115" w:right="34"/>
              <w:rPr>
                <w:sz w:val="21"/>
              </w:rPr>
            </w:pPr>
            <w:r>
              <w:rPr>
                <w:rFonts w:ascii="Times New Roman" w:eastAsia="Times New Roman"/>
                <w:sz w:val="21"/>
              </w:rPr>
              <w:t>4</w:t>
            </w:r>
            <w:r>
              <w:rPr>
                <w:sz w:val="21"/>
              </w:rPr>
              <w:t>、施工车辆的运行线路、运输时间尽量避开噪声敏感区域和时段，合理安排施工时间，禁止夜间施工，文明</w:t>
            </w:r>
          </w:p>
          <w:p>
            <w:pPr>
              <w:pStyle w:val="TableParagraph"/>
              <w:spacing w:line="255" w:lineRule="exact"/>
              <w:ind w:left="115"/>
              <w:rPr>
                <w:sz w:val="21"/>
              </w:rPr>
            </w:pPr>
            <w:r>
              <w:rPr>
                <w:sz w:val="21"/>
              </w:rPr>
              <w:t>施工。</w:t>
            </w:r>
          </w:p>
        </w:tc>
        <w:tc>
          <w:tcPr>
            <w:tcW w:w="125" w:type="dxa"/>
            <w:tcBorders>
              <w:top w:val="nil"/>
              <w:left w:val="single" w:sz="12" w:space="0" w:color="000000"/>
            </w:tcBorders>
          </w:tcPr>
          <w:p>
            <w:pPr>
              <w:pStyle w:val="TableParagraph"/>
              <w:rPr>
                <w:rFonts w:ascii="Times New Roman"/>
                <w:sz w:val="20"/>
              </w:rPr>
            </w:pPr>
          </w:p>
        </w:tc>
      </w:tr>
    </w:tbl>
    <w:p>
      <w:pPr>
        <w:pStyle w:val="BodyText"/>
        <w:rPr>
          <w:sz w:val="20"/>
        </w:rPr>
      </w:pPr>
    </w:p>
    <w:p>
      <w:pPr>
        <w:pStyle w:val="BodyText"/>
        <w:rPr>
          <w:sz w:val="20"/>
        </w:rPr>
      </w:pPr>
    </w:p>
    <w:p>
      <w:pPr>
        <w:pStyle w:val="BodyText"/>
        <w:rPr>
          <w:sz w:val="20"/>
        </w:rPr>
      </w:pPr>
    </w:p>
    <w:p>
      <w:pPr>
        <w:pStyle w:val="BodyText"/>
        <w:spacing w:before="3"/>
        <w:rPr>
          <w:sz w:val="21"/>
        </w:rPr>
      </w:pPr>
    </w:p>
    <w:p>
      <w:pPr>
        <w:spacing w:before="59"/>
        <w:ind w:left="0" w:right="705" w:firstLine="0"/>
        <w:jc w:val="right"/>
        <w:rPr>
          <w:sz w:val="28"/>
        </w:rPr>
      </w:pPr>
      <w:r>
        <w:rPr>
          <w:sz w:val="28"/>
        </w:rPr>
        <w:t>—</w:t>
      </w:r>
      <w:r>
        <w:rPr>
          <w:sz w:val="26"/>
        </w:rPr>
        <w:t>24</w:t>
      </w:r>
      <w:r>
        <w:rPr>
          <w:sz w:val="28"/>
        </w:rPr>
        <w:t>—</w:t>
      </w:r>
    </w:p>
    <w:p>
      <w:pPr>
        <w:spacing w:after="0"/>
        <w:jc w:val="right"/>
        <w:rPr>
          <w:sz w:val="28"/>
        </w:rPr>
        <w:sectPr>
          <w:pgSz w:w="11910" w:h="16840"/>
          <w:pgMar w:top="1580" w:right="820" w:bottom="280" w:left="980" w:header="720" w:footer="720" w:gutter="0"/>
          <w:pgNumType w:start="29"/>
          <w:cols w:num="1" w:space="720"/>
        </w:sectPr>
      </w:pPr>
    </w:p>
    <w:p>
      <w:pPr>
        <w:pStyle w:val="BodyText"/>
        <w:spacing w:before="10"/>
        <w:rPr>
          <w:sz w:val="8"/>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120"/>
        <w:gridCol w:w="824"/>
        <w:gridCol w:w="612"/>
        <w:gridCol w:w="1280"/>
        <w:gridCol w:w="5246"/>
        <w:gridCol w:w="125"/>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55"/>
        </w:trPr>
        <w:tc>
          <w:tcPr>
            <w:tcW w:w="783" w:type="dxa"/>
            <w:vMerge w:val="restart"/>
            <w:tcBorders>
              <w:right w:val="single" w:sz="4" w:space="0" w:color="000000"/>
            </w:tcBorders>
          </w:tcPr>
          <w:p>
            <w:pPr>
              <w:pStyle w:val="TableParagraph"/>
              <w:rPr>
                <w:rFonts w:ascii="Times New Roman"/>
                <w:sz w:val="22"/>
              </w:rPr>
            </w:pPr>
          </w:p>
        </w:tc>
        <w:tc>
          <w:tcPr>
            <w:tcW w:w="120" w:type="dxa"/>
            <w:vMerge w:val="restart"/>
            <w:tcBorders>
              <w:left w:val="single" w:sz="4" w:space="0" w:color="000000"/>
              <w:bottom w:val="nil"/>
              <w:right w:val="single" w:sz="12" w:space="0" w:color="000000"/>
            </w:tcBorders>
          </w:tcPr>
          <w:p>
            <w:pPr>
              <w:pStyle w:val="TableParagraph"/>
              <w:rPr>
                <w:rFonts w:ascii="Times New Roman"/>
                <w:sz w:val="22"/>
              </w:rPr>
            </w:pPr>
          </w:p>
        </w:tc>
        <w:tc>
          <w:tcPr>
            <w:tcW w:w="824" w:type="dxa"/>
            <w:vMerge w:val="restart"/>
            <w:tcBorders>
              <w:top w:val="thinThickMediumGap" w:sz="6" w:space="0" w:color="000000"/>
              <w:left w:val="single" w:sz="12" w:space="0" w:color="000000"/>
              <w:bottom w:val="single" w:sz="12" w:space="0" w:color="000000"/>
              <w:right w:val="single" w:sz="6" w:space="0" w:color="000000"/>
            </w:tcBorders>
          </w:tcPr>
          <w:p>
            <w:pPr>
              <w:pStyle w:val="TableParagraph"/>
              <w:rPr>
                <w:rFonts w:ascii="Times New Roman"/>
                <w:sz w:val="22"/>
              </w:rPr>
            </w:pPr>
          </w:p>
        </w:tc>
        <w:tc>
          <w:tcPr>
            <w:tcW w:w="612" w:type="dxa"/>
            <w:vMerge w:val="restart"/>
            <w:tcBorders>
              <w:top w:val="thinThickMediumGap" w:sz="6" w:space="0" w:color="000000"/>
              <w:left w:val="single" w:sz="6" w:space="0" w:color="000000"/>
              <w:bottom w:val="single" w:sz="6" w:space="0" w:color="000000"/>
              <w:right w:val="single" w:sz="4" w:space="0" w:color="000000"/>
            </w:tcBorders>
          </w:tcPr>
          <w:p>
            <w:pPr>
              <w:pStyle w:val="TableParagraph"/>
              <w:rPr>
                <w:rFonts w:ascii="Times New Roman"/>
                <w:sz w:val="22"/>
              </w:rPr>
            </w:pPr>
          </w:p>
        </w:tc>
        <w:tc>
          <w:tcPr>
            <w:tcW w:w="1280" w:type="dxa"/>
            <w:tcBorders>
              <w:top w:val="thinThickMediumGap" w:sz="6" w:space="0" w:color="000000"/>
              <w:left w:val="single" w:sz="4" w:space="0" w:color="000000"/>
              <w:bottom w:val="single" w:sz="6" w:space="0" w:color="000000"/>
              <w:right w:val="single" w:sz="6" w:space="0" w:color="000000"/>
            </w:tcBorders>
          </w:tcPr>
          <w:p>
            <w:pPr>
              <w:pStyle w:val="TableParagraph"/>
              <w:rPr>
                <w:sz w:val="20"/>
              </w:rPr>
            </w:pPr>
          </w:p>
          <w:p>
            <w:pPr>
              <w:pStyle w:val="TableParagraph"/>
              <w:spacing w:before="4"/>
              <w:rPr>
                <w:sz w:val="22"/>
              </w:rPr>
            </w:pPr>
          </w:p>
          <w:p>
            <w:pPr>
              <w:pStyle w:val="TableParagraph"/>
              <w:ind w:left="207" w:right="180"/>
              <w:jc w:val="center"/>
              <w:rPr>
                <w:sz w:val="21"/>
              </w:rPr>
            </w:pPr>
            <w:r>
              <w:rPr>
                <w:sz w:val="21"/>
              </w:rPr>
              <w:t>固废治理</w:t>
            </w:r>
          </w:p>
        </w:tc>
        <w:tc>
          <w:tcPr>
            <w:tcW w:w="5246" w:type="dxa"/>
            <w:tcBorders>
              <w:top w:val="thinThickMediumGap" w:sz="6" w:space="0" w:color="000000"/>
              <w:left w:val="single" w:sz="6" w:space="0" w:color="000000"/>
              <w:bottom w:val="single" w:sz="6" w:space="0" w:color="000000"/>
              <w:right w:val="single" w:sz="12" w:space="0" w:color="000000"/>
            </w:tcBorders>
          </w:tcPr>
          <w:p>
            <w:pPr>
              <w:pStyle w:val="TableParagraph"/>
              <w:numPr>
                <w:ilvl w:val="0"/>
                <w:numId w:val="9"/>
              </w:numPr>
              <w:tabs>
                <w:tab w:val="left" w:pos="274"/>
              </w:tabs>
              <w:spacing w:before="0" w:after="0" w:line="244" w:lineRule="auto"/>
              <w:ind w:left="114" w:right="75" w:firstLine="0"/>
              <w:jc w:val="left"/>
              <w:rPr>
                <w:sz w:val="21"/>
              </w:rPr>
            </w:pPr>
            <w:r>
              <w:rPr>
                <w:spacing w:val="-1"/>
                <w:sz w:val="21"/>
              </w:rPr>
              <w:t>建筑垃圾尽量回用，不能回用的由专业公司运往附近</w:t>
            </w:r>
            <w:r>
              <w:rPr>
                <w:spacing w:val="-4"/>
                <w:sz w:val="21"/>
              </w:rPr>
              <w:t>的城镇建筑垃圾填埋场进行无害化处置；</w:t>
            </w:r>
          </w:p>
          <w:p>
            <w:pPr>
              <w:pStyle w:val="TableParagraph"/>
              <w:numPr>
                <w:ilvl w:val="0"/>
                <w:numId w:val="9"/>
              </w:numPr>
              <w:tabs>
                <w:tab w:val="left" w:pos="274"/>
              </w:tabs>
              <w:spacing w:before="0" w:after="0" w:line="244" w:lineRule="auto"/>
              <w:ind w:left="114" w:right="80" w:firstLine="0"/>
              <w:jc w:val="left"/>
              <w:rPr>
                <w:sz w:val="21"/>
              </w:rPr>
            </w:pPr>
            <w:r>
              <w:rPr>
                <w:spacing w:val="-1"/>
                <w:sz w:val="21"/>
              </w:rPr>
              <w:t>施工生活垃圾经施工营地的垃圾箱收集，委托环卫部门定期清运；</w:t>
            </w:r>
          </w:p>
          <w:p>
            <w:pPr>
              <w:pStyle w:val="TableParagraph"/>
              <w:numPr>
                <w:ilvl w:val="0"/>
                <w:numId w:val="9"/>
              </w:numPr>
              <w:tabs>
                <w:tab w:val="left" w:pos="274"/>
              </w:tabs>
              <w:spacing w:before="0" w:after="0" w:line="244" w:lineRule="exact"/>
              <w:ind w:left="273" w:right="0" w:hanging="160"/>
              <w:jc w:val="left"/>
              <w:rPr>
                <w:sz w:val="21"/>
              </w:rPr>
            </w:pPr>
            <w:r>
              <w:rPr>
                <w:spacing w:val="-3"/>
                <w:sz w:val="21"/>
              </w:rPr>
              <w:t>废土石方由政府协调解决综合利用；</w:t>
            </w:r>
          </w:p>
        </w:tc>
        <w:tc>
          <w:tcPr>
            <w:tcW w:w="125" w:type="dxa"/>
            <w:tcBorders>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4343"/>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824" w:type="dxa"/>
            <w:vMerge/>
            <w:tcBorders>
              <w:top w:val="nil"/>
              <w:left w:val="single" w:sz="12" w:space="0" w:color="000000"/>
              <w:bottom w:val="single" w:sz="12" w:space="0" w:color="000000"/>
              <w:right w:val="single" w:sz="6" w:space="0" w:color="000000"/>
            </w:tcBorders>
          </w:tcPr>
          <w:p>
            <w:pPr>
              <w:rPr>
                <w:sz w:val="2"/>
                <w:szCs w:val="2"/>
              </w:rPr>
            </w:pPr>
          </w:p>
        </w:tc>
        <w:tc>
          <w:tcPr>
            <w:tcW w:w="612" w:type="dxa"/>
            <w:vMerge/>
            <w:tcBorders>
              <w:top w:val="nil"/>
              <w:left w:val="single" w:sz="6" w:space="0" w:color="000000"/>
              <w:bottom w:val="single" w:sz="6" w:space="0" w:color="000000"/>
              <w:right w:val="single" w:sz="4" w:space="0" w:color="000000"/>
            </w:tcBorders>
          </w:tcPr>
          <w:p>
            <w:pPr>
              <w:rPr>
                <w:sz w:val="2"/>
                <w:szCs w:val="2"/>
              </w:rPr>
            </w:pPr>
          </w:p>
        </w:tc>
        <w:tc>
          <w:tcPr>
            <w:tcW w:w="1280" w:type="dxa"/>
            <w:tcBorders>
              <w:top w:val="single" w:sz="6" w:space="0" w:color="000000"/>
              <w:left w:val="single" w:sz="4" w:space="0" w:color="000000"/>
              <w:bottom w:val="single" w:sz="6" w:space="0" w:color="000000"/>
              <w:right w:val="single" w:sz="6"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18"/>
              </w:rPr>
            </w:pPr>
          </w:p>
          <w:p>
            <w:pPr>
              <w:pStyle w:val="TableParagraph"/>
              <w:ind w:left="207" w:right="180"/>
              <w:jc w:val="center"/>
              <w:rPr>
                <w:sz w:val="21"/>
              </w:rPr>
            </w:pPr>
            <w:r>
              <w:rPr>
                <w:sz w:val="21"/>
              </w:rPr>
              <w:t>生态</w:t>
            </w:r>
          </w:p>
        </w:tc>
        <w:tc>
          <w:tcPr>
            <w:tcW w:w="5246" w:type="dxa"/>
            <w:tcBorders>
              <w:top w:val="single" w:sz="6" w:space="0" w:color="000000"/>
              <w:left w:val="single" w:sz="6" w:space="0" w:color="000000"/>
              <w:bottom w:val="single" w:sz="6" w:space="0" w:color="000000"/>
              <w:right w:val="single" w:sz="12" w:space="0" w:color="000000"/>
            </w:tcBorders>
          </w:tcPr>
          <w:p>
            <w:pPr>
              <w:pStyle w:val="TableParagraph"/>
              <w:numPr>
                <w:ilvl w:val="0"/>
                <w:numId w:val="10"/>
              </w:numPr>
              <w:tabs>
                <w:tab w:val="left" w:pos="274"/>
              </w:tabs>
              <w:spacing w:before="0" w:after="0" w:line="262" w:lineRule="exact"/>
              <w:ind w:left="273" w:right="0" w:hanging="160"/>
              <w:jc w:val="left"/>
              <w:rPr>
                <w:sz w:val="21"/>
              </w:rPr>
            </w:pPr>
            <w:r>
              <w:rPr>
                <w:sz w:val="21"/>
              </w:rPr>
              <w:t>陆生生物：</w:t>
            </w:r>
          </w:p>
          <w:p>
            <w:pPr>
              <w:pStyle w:val="TableParagraph"/>
              <w:ind w:left="114"/>
              <w:rPr>
                <w:sz w:val="21"/>
              </w:rPr>
            </w:pPr>
            <w:r>
              <w:rPr>
                <w:sz w:val="21"/>
              </w:rPr>
              <w:t>①集约用地，尽量减小施工临时占压和对植被的破坏。</w:t>
            </w:r>
          </w:p>
          <w:p>
            <w:pPr>
              <w:pStyle w:val="TableParagraph"/>
              <w:spacing w:before="4" w:line="244" w:lineRule="auto"/>
              <w:ind w:left="114" w:right="36"/>
              <w:rPr>
                <w:sz w:val="21"/>
              </w:rPr>
            </w:pPr>
            <w:r>
              <w:rPr>
                <w:sz w:val="21"/>
              </w:rPr>
              <w:t>②临时占地应尽量保存和防护表层土，施工尽量避开农作物生长季节。</w:t>
            </w:r>
          </w:p>
          <w:p>
            <w:pPr>
              <w:pStyle w:val="TableParagraph"/>
              <w:ind w:left="114" w:right="50"/>
              <w:rPr>
                <w:sz w:val="21"/>
              </w:rPr>
            </w:pPr>
            <w:r>
              <w:rPr>
                <w:sz w:val="21"/>
              </w:rPr>
              <w:t>③尽可能缩小施工作业带宽度，在施工作业带以外，不准随意砍伐、破坏树木和植被，不准乱挖植被。</w:t>
            </w:r>
          </w:p>
          <w:p>
            <w:pPr>
              <w:pStyle w:val="TableParagraph"/>
              <w:spacing w:before="3"/>
              <w:ind w:left="114"/>
              <w:rPr>
                <w:sz w:val="21"/>
              </w:rPr>
            </w:pPr>
            <w:r>
              <w:rPr>
                <w:sz w:val="21"/>
              </w:rPr>
              <w:t>④施工后对临时用地进行恢复。</w:t>
            </w:r>
          </w:p>
          <w:p>
            <w:pPr>
              <w:pStyle w:val="TableParagraph"/>
              <w:numPr>
                <w:ilvl w:val="0"/>
                <w:numId w:val="10"/>
              </w:numPr>
              <w:tabs>
                <w:tab w:val="left" w:pos="274"/>
              </w:tabs>
              <w:spacing w:before="5" w:after="0" w:line="240" w:lineRule="auto"/>
              <w:ind w:left="273" w:right="0" w:hanging="160"/>
              <w:jc w:val="left"/>
              <w:rPr>
                <w:sz w:val="21"/>
              </w:rPr>
            </w:pPr>
            <w:r>
              <w:rPr>
                <w:sz w:val="21"/>
              </w:rPr>
              <w:t>水生生物：</w:t>
            </w:r>
          </w:p>
          <w:p>
            <w:pPr>
              <w:pStyle w:val="TableParagraph"/>
              <w:spacing w:before="4" w:line="242" w:lineRule="auto"/>
              <w:ind w:left="114" w:right="81"/>
              <w:jc w:val="both"/>
              <w:rPr>
                <w:sz w:val="21"/>
              </w:rPr>
            </w:pPr>
            <w:r>
              <w:rPr>
                <w:spacing w:val="-7"/>
                <w:sz w:val="21"/>
              </w:rPr>
              <w:t>①生活污水禁止排入河道；生产污水、垃圾及其它施工</w:t>
            </w:r>
            <w:r>
              <w:rPr>
                <w:spacing w:val="-6"/>
                <w:sz w:val="21"/>
              </w:rPr>
              <w:t>机械的废弃物禁止抛入水体；有害的施工材料堆放要远</w:t>
            </w:r>
            <w:r>
              <w:rPr>
                <w:sz w:val="21"/>
              </w:rPr>
              <w:t>离水体。</w:t>
            </w:r>
          </w:p>
          <w:p>
            <w:pPr>
              <w:pStyle w:val="TableParagraph"/>
              <w:spacing w:before="2"/>
              <w:ind w:left="114" w:right="49"/>
              <w:rPr>
                <w:sz w:val="21"/>
              </w:rPr>
            </w:pPr>
            <w:r>
              <w:rPr>
                <w:sz w:val="21"/>
              </w:rPr>
              <w:t>②施工活动应尽量减少对河岸植被保护带的破坏，施工后，及时修复河岸植被保护带。</w:t>
            </w:r>
          </w:p>
          <w:p>
            <w:pPr>
              <w:pStyle w:val="TableParagraph"/>
              <w:numPr>
                <w:ilvl w:val="0"/>
                <w:numId w:val="10"/>
              </w:numPr>
              <w:tabs>
                <w:tab w:val="left" w:pos="274"/>
              </w:tabs>
              <w:spacing w:before="4" w:after="0" w:line="240" w:lineRule="auto"/>
              <w:ind w:left="273" w:right="0" w:hanging="160"/>
              <w:jc w:val="left"/>
              <w:rPr>
                <w:sz w:val="21"/>
              </w:rPr>
            </w:pPr>
            <w:r>
              <w:rPr>
                <w:sz w:val="21"/>
              </w:rPr>
              <w:t>水土流失：</w:t>
            </w:r>
          </w:p>
          <w:p>
            <w:pPr>
              <w:pStyle w:val="TableParagraph"/>
              <w:spacing w:before="3" w:line="270" w:lineRule="atLeast"/>
              <w:ind w:left="114" w:right="87"/>
              <w:rPr>
                <w:sz w:val="21"/>
              </w:rPr>
            </w:pPr>
            <w:r>
              <w:rPr>
                <w:sz w:val="21"/>
              </w:rPr>
              <w:t>施工前对筑堤段区域进行表土剥离及边坡生态连锁块护坡。</w:t>
            </w:r>
          </w:p>
        </w:tc>
        <w:tc>
          <w:tcPr>
            <w:tcW w:w="125"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1086"/>
        </w:trPr>
        <w:tc>
          <w:tcPr>
            <w:tcW w:w="783" w:type="dxa"/>
            <w:vMerge/>
            <w:tcBorders>
              <w:top w:val="nil"/>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824" w:type="dxa"/>
            <w:vMerge/>
            <w:tcBorders>
              <w:top w:val="nil"/>
              <w:left w:val="single" w:sz="12" w:space="0" w:color="000000"/>
              <w:bottom w:val="single" w:sz="12" w:space="0" w:color="000000"/>
              <w:right w:val="single" w:sz="6" w:space="0" w:color="000000"/>
            </w:tcBorders>
          </w:tcPr>
          <w:p>
            <w:pPr>
              <w:rPr>
                <w:sz w:val="2"/>
                <w:szCs w:val="2"/>
              </w:rPr>
            </w:pPr>
          </w:p>
        </w:tc>
        <w:tc>
          <w:tcPr>
            <w:tcW w:w="1892" w:type="dxa"/>
            <w:gridSpan w:val="2"/>
            <w:tcBorders>
              <w:top w:val="single" w:sz="6" w:space="0" w:color="000000"/>
              <w:left w:val="single" w:sz="6" w:space="0" w:color="000000"/>
              <w:bottom w:val="single" w:sz="12" w:space="0" w:color="000000"/>
              <w:right w:val="single" w:sz="6" w:space="0" w:color="000000"/>
            </w:tcBorders>
          </w:tcPr>
          <w:p>
            <w:pPr>
              <w:pStyle w:val="TableParagraph"/>
              <w:rPr>
                <w:sz w:val="20"/>
              </w:rPr>
            </w:pPr>
          </w:p>
          <w:p>
            <w:pPr>
              <w:pStyle w:val="TableParagraph"/>
              <w:spacing w:before="145"/>
              <w:ind w:left="632"/>
              <w:rPr>
                <w:sz w:val="21"/>
              </w:rPr>
            </w:pPr>
            <w:r>
              <w:rPr>
                <w:sz w:val="21"/>
              </w:rPr>
              <w:t>营运期</w:t>
            </w:r>
          </w:p>
        </w:tc>
        <w:tc>
          <w:tcPr>
            <w:tcW w:w="5246" w:type="dxa"/>
            <w:tcBorders>
              <w:top w:val="single" w:sz="6" w:space="0" w:color="000000"/>
              <w:left w:val="single" w:sz="6" w:space="0" w:color="000000"/>
              <w:bottom w:val="single" w:sz="12" w:space="0" w:color="000000"/>
              <w:right w:val="single" w:sz="12" w:space="0" w:color="000000"/>
            </w:tcBorders>
          </w:tcPr>
          <w:p>
            <w:pPr>
              <w:pStyle w:val="TableParagraph"/>
              <w:spacing w:line="242" w:lineRule="auto"/>
              <w:ind w:left="114" w:right="67"/>
              <w:jc w:val="both"/>
              <w:rPr>
                <w:sz w:val="21"/>
              </w:rPr>
            </w:pPr>
            <w:r>
              <w:rPr>
                <w:sz w:val="21"/>
              </w:rPr>
              <w:t>本治理区工程为河道治理工程，工程运营期没有废气、废水、噪声、固体废弃物产生及排放；经治理后水生生态环境得到改善，生物量和净生产量会有所提高，生物</w:t>
            </w:r>
          </w:p>
          <w:p>
            <w:pPr>
              <w:pStyle w:val="TableParagraph"/>
              <w:spacing w:line="257" w:lineRule="exact"/>
              <w:ind w:left="114"/>
              <w:rPr>
                <w:sz w:val="21"/>
              </w:rPr>
            </w:pPr>
            <w:r>
              <w:rPr>
                <w:sz w:val="21"/>
              </w:rPr>
              <w:t>多样性和异质性增加，生态系统结构更完整。</w:t>
            </w:r>
          </w:p>
        </w:tc>
        <w:tc>
          <w:tcPr>
            <w:tcW w:w="125"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6187"/>
        </w:trPr>
        <w:tc>
          <w:tcPr>
            <w:tcW w:w="783" w:type="dxa"/>
            <w:vMerge/>
            <w:tcBorders>
              <w:top w:val="nil"/>
              <w:right w:val="single" w:sz="4" w:space="0" w:color="000000"/>
            </w:tcBorders>
          </w:tcPr>
          <w:p>
            <w:pPr>
              <w:rPr>
                <w:sz w:val="2"/>
                <w:szCs w:val="2"/>
              </w:rPr>
            </w:pPr>
          </w:p>
        </w:tc>
        <w:tc>
          <w:tcPr>
            <w:tcW w:w="8207" w:type="dxa"/>
            <w:gridSpan w:val="6"/>
            <w:tcBorders>
              <w:top w:val="single" w:sz="12" w:space="0" w:color="000000"/>
              <w:left w:val="single" w:sz="4" w:space="0" w:color="000000"/>
            </w:tcBorders>
          </w:tcPr>
          <w:p>
            <w:pPr>
              <w:pStyle w:val="TableParagraph"/>
              <w:spacing w:before="119"/>
              <w:ind w:left="590"/>
              <w:rPr>
                <w:b/>
                <w:sz w:val="24"/>
              </w:rPr>
            </w:pPr>
            <w:r>
              <w:rPr>
                <w:b/>
                <w:sz w:val="24"/>
              </w:rPr>
              <w:t>五、工程设计</w:t>
            </w:r>
          </w:p>
          <w:p>
            <w:pPr>
              <w:pStyle w:val="TableParagraph"/>
              <w:spacing w:before="158"/>
              <w:ind w:left="590"/>
              <w:rPr>
                <w:sz w:val="24"/>
              </w:rPr>
            </w:pPr>
            <w:r>
              <w:rPr>
                <w:rFonts w:ascii="Times New Roman" w:eastAsia="Times New Roman"/>
                <w:sz w:val="24"/>
              </w:rPr>
              <w:t>1</w:t>
            </w:r>
            <w:r>
              <w:rPr>
                <w:sz w:val="24"/>
              </w:rPr>
              <w:t>、河道设计</w:t>
            </w:r>
          </w:p>
          <w:p>
            <w:pPr>
              <w:pStyle w:val="TableParagraph"/>
              <w:spacing w:before="159"/>
              <w:ind w:left="590"/>
              <w:rPr>
                <w:sz w:val="24"/>
              </w:rPr>
            </w:pPr>
            <w:r>
              <w:rPr>
                <w:rFonts w:ascii="Times New Roman" w:eastAsia="Times New Roman"/>
                <w:sz w:val="24"/>
              </w:rPr>
              <w:t>1</w:t>
            </w:r>
            <w:r>
              <w:rPr>
                <w:sz w:val="24"/>
              </w:rPr>
              <w:t>）四支沟河道设计</w:t>
            </w:r>
          </w:p>
          <w:p>
            <w:pPr>
              <w:pStyle w:val="TableParagraph"/>
              <w:spacing w:before="163"/>
              <w:ind w:left="590"/>
              <w:rPr>
                <w:sz w:val="24"/>
              </w:rPr>
            </w:pPr>
            <w:r>
              <w:rPr>
                <w:sz w:val="24"/>
              </w:rPr>
              <w:t>①河道平面布置</w:t>
            </w:r>
          </w:p>
          <w:p>
            <w:pPr>
              <w:pStyle w:val="TableParagraph"/>
              <w:spacing w:before="158" w:line="364" w:lineRule="auto"/>
              <w:ind w:left="110" w:right="91" w:firstLine="480"/>
              <w:jc w:val="both"/>
              <w:rPr>
                <w:sz w:val="24"/>
              </w:rPr>
            </w:pPr>
            <w:r>
              <w:rPr>
                <w:spacing w:val="-6"/>
                <w:sz w:val="24"/>
              </w:rPr>
              <w:t xml:space="preserve">四支沟综合治理长度 </w:t>
            </w:r>
            <w:r>
              <w:rPr>
                <w:rFonts w:ascii="Times New Roman" w:eastAsia="Times New Roman"/>
                <w:spacing w:val="-11"/>
                <w:sz w:val="24"/>
              </w:rPr>
              <w:t>6.2km</w:t>
            </w:r>
            <w:r>
              <w:rPr>
                <w:spacing w:val="-9"/>
                <w:sz w:val="24"/>
              </w:rPr>
              <w:t>，工程以河道清淤为主，河道设计中心线基本</w:t>
            </w:r>
            <w:r>
              <w:rPr>
                <w:sz w:val="24"/>
              </w:rPr>
              <w:t>沿现状河道中心线布设，河道清淤疏浚时，以不侵占河道南岸的住宅和不破坏河道北岸的尚德三路为基本原则。</w:t>
            </w:r>
          </w:p>
          <w:p>
            <w:pPr>
              <w:pStyle w:val="TableParagraph"/>
              <w:ind w:left="590"/>
              <w:rPr>
                <w:sz w:val="24"/>
              </w:rPr>
            </w:pPr>
            <w:r>
              <w:rPr>
                <w:sz w:val="24"/>
              </w:rPr>
              <w:t>②河道纵断面设计</w:t>
            </w:r>
          </w:p>
          <w:p>
            <w:pPr>
              <w:pStyle w:val="TableParagraph"/>
              <w:spacing w:before="158" w:line="362" w:lineRule="auto"/>
              <w:ind w:left="110" w:right="100" w:firstLine="480"/>
              <w:rPr>
                <w:sz w:val="24"/>
              </w:rPr>
            </w:pPr>
            <w:r>
              <w:rPr>
                <w:sz w:val="24"/>
              </w:rPr>
              <w:t xml:space="preserve">四支沟主河槽不进行深挖，仅在现状河底高程的基础上，平整河底。本次设计河底高程采用 </w:t>
            </w:r>
            <w:r>
              <w:rPr>
                <w:rFonts w:ascii="Times New Roman" w:eastAsia="Times New Roman"/>
                <w:sz w:val="24"/>
              </w:rPr>
              <w:t>15.3m</w:t>
            </w:r>
            <w:r>
              <w:rPr>
                <w:sz w:val="24"/>
              </w:rPr>
              <w:t xml:space="preserve">，河底比降为 </w:t>
            </w:r>
            <w:r>
              <w:rPr>
                <w:rFonts w:ascii="Times New Roman" w:eastAsia="Times New Roman"/>
                <w:sz w:val="24"/>
              </w:rPr>
              <w:t>0</w:t>
            </w:r>
            <w:r>
              <w:rPr>
                <w:sz w:val="24"/>
              </w:rPr>
              <w:t>。</w:t>
            </w:r>
          </w:p>
          <w:p>
            <w:pPr>
              <w:pStyle w:val="TableParagraph"/>
              <w:spacing w:before="3"/>
              <w:ind w:left="590"/>
              <w:rPr>
                <w:sz w:val="24"/>
              </w:rPr>
            </w:pPr>
            <w:r>
              <w:rPr>
                <w:sz w:val="24"/>
              </w:rPr>
              <w:t>③河道横断面设计</w:t>
            </w:r>
          </w:p>
          <w:p>
            <w:pPr>
              <w:pStyle w:val="TableParagraph"/>
              <w:spacing w:before="10" w:line="460" w:lineRule="atLeast"/>
              <w:ind w:left="110" w:right="100" w:firstLine="480"/>
              <w:rPr>
                <w:sz w:val="24"/>
              </w:rPr>
            </w:pPr>
            <w:r>
              <w:rPr>
                <w:sz w:val="24"/>
              </w:rPr>
              <w:t xml:space="preserve">按照确定的设计河底高程和设计河底比降，采用梯形横断面型式，设计河底宽度取 </w:t>
            </w:r>
            <w:r>
              <w:rPr>
                <w:rFonts w:ascii="Times New Roman" w:eastAsia="Times New Roman"/>
                <w:sz w:val="24"/>
              </w:rPr>
              <w:t>7m</w:t>
            </w:r>
            <w:r>
              <w:rPr>
                <w:sz w:val="24"/>
              </w:rPr>
              <w:t xml:space="preserve">，边坡 </w:t>
            </w:r>
            <w:r>
              <w:rPr>
                <w:rFonts w:ascii="Times New Roman" w:eastAsia="Times New Roman"/>
                <w:sz w:val="24"/>
              </w:rPr>
              <w:t>1:2.5</w:t>
            </w:r>
            <w:r>
              <w:rPr>
                <w:sz w:val="24"/>
              </w:rPr>
              <w:t xml:space="preserve">，景观水水位为 </w:t>
            </w:r>
            <w:r>
              <w:rPr>
                <w:rFonts w:ascii="Times New Roman" w:eastAsia="Times New Roman"/>
                <w:sz w:val="24"/>
              </w:rPr>
              <w:t>18.50m</w:t>
            </w:r>
            <w:r>
              <w:rPr>
                <w:sz w:val="24"/>
              </w:rPr>
              <w:t>。</w:t>
            </w:r>
          </w:p>
        </w:tc>
      </w:tr>
    </w:tbl>
    <w:p>
      <w:pPr>
        <w:pStyle w:val="BodyText"/>
        <w:rPr>
          <w:sz w:val="20"/>
        </w:rPr>
      </w:pPr>
    </w:p>
    <w:p>
      <w:pPr>
        <w:pStyle w:val="BodyText"/>
        <w:rPr>
          <w:sz w:val="20"/>
        </w:rPr>
      </w:pPr>
    </w:p>
    <w:p>
      <w:pPr>
        <w:pStyle w:val="BodyText"/>
        <w:spacing w:before="10"/>
        <w:rPr>
          <w:sz w:val="29"/>
        </w:rPr>
      </w:pPr>
    </w:p>
    <w:p>
      <w:pPr>
        <w:spacing w:before="60"/>
        <w:ind w:left="551" w:right="0" w:firstLine="0"/>
        <w:jc w:val="left"/>
        <w:rPr>
          <w:sz w:val="28"/>
        </w:rPr>
      </w:pPr>
      <w:r>
        <w:rPr>
          <w:sz w:val="28"/>
        </w:rPr>
        <w:t>—</w:t>
      </w:r>
      <w:r>
        <w:rPr>
          <w:sz w:val="26"/>
        </w:rPr>
        <w:t>25</w:t>
      </w:r>
      <w:r>
        <w:rPr>
          <w:sz w:val="28"/>
        </w:rPr>
        <w:t>—</w:t>
      </w:r>
    </w:p>
    <w:p>
      <w:pPr>
        <w:spacing w:after="0"/>
        <w:jc w:val="left"/>
        <w:rPr>
          <w:sz w:val="28"/>
        </w:rPr>
        <w:sectPr>
          <w:pgSz w:w="11910" w:h="16840"/>
          <w:pgMar w:top="1580" w:right="820" w:bottom="280" w:left="980" w:header="720" w:footer="720" w:gutter="0"/>
          <w:pgNumType w:start="30"/>
          <w:cols w:num="1" w:space="720"/>
        </w:sectPr>
      </w:pPr>
    </w:p>
    <w:p>
      <w:pPr>
        <w:pStyle w:val="ListParagraph"/>
        <w:numPr>
          <w:ilvl w:val="0"/>
          <w:numId w:val="11"/>
        </w:numPr>
        <w:tabs>
          <w:tab w:val="left" w:pos="2210"/>
        </w:tabs>
        <w:spacing w:before="125" w:after="0" w:line="240" w:lineRule="auto"/>
        <w:ind w:left="2209" w:right="0" w:hanging="362"/>
        <w:jc w:val="left"/>
        <w:rPr>
          <w:sz w:val="24"/>
        </w:rPr>
      </w:pPr>
      <w:r>
        <w:pict>
          <v:group id="_x0000_s1049" o:spid="_x0000_s1039" style="width:450.45pt;height:672.2pt;margin-top:84.95pt;margin-left:72.5pt;mso-height-relative:page;mso-position-horizontal-relative:page;mso-position-vertical-relative:page;mso-width-relative:page;position:absolute;z-index:-251657216" coordorigin="1450,1700" coordsize="9009,13444">
            <v:rect id="_x0000_s1050" o:spid="_x0000_s1040" style="width:20;height:20;left:1450;position:absolute;top:1699" coordsize="21600,21600" filled="t" fillcolor="black" stroked="f"/>
            <v:line id="_x0000_s1051" o:spid="_x0000_s1041" style="position:absolute" from="1469,1709" to="2238,1709" coordsize="21600,21600" stroked="t" strokecolor="black"/>
            <v:rect id="_x0000_s1052" o:spid="_x0000_s1042" style="width:20;height:20;left:2237;position:absolute;top:1699" coordsize="21600,21600" filled="t" fillcolor="black" stroked="f"/>
            <v:line id="_x0000_s1053" o:spid="_x0000_s1043" style="position:absolute" from="2257,1709" to="10439,1709" coordsize="21600,21600" stroked="t" strokecolor="black"/>
            <v:rect id="_x0000_s1054" o:spid="_x0000_s1044" style="width:20;height:20;left:10439;position:absolute;top:1699" coordsize="21600,21600" filled="t" fillcolor="black" stroked="f"/>
            <v:line id="_x0000_s1055" o:spid="_x0000_s1045" style="position:absolute" from="1460,1719" to="1460,15124" coordsize="21600,21600" stroked="t" strokecolor="black"/>
            <v:rect id="_x0000_s1056" o:spid="_x0000_s1046" style="width:20;height:20;left:1450;position:absolute;top:15123" coordsize="21600,21600" filled="t" fillcolor="black" stroked="f"/>
            <v:line id="_x0000_s1057" o:spid="_x0000_s1047" style="position:absolute" from="1469,15133" to="2238,15133" coordsize="21600,21600" stroked="t" strokecolor="black"/>
            <v:line id="_x0000_s1058" o:spid="_x0000_s1048" style="position:absolute" from="2243,1719" to="2243,15124" coordsize="21600,21600" stroked="t" strokecolor="black"/>
            <v:rect id="_x0000_s1059" o:spid="_x0000_s1049" style="width:20;height:20;left:2237;position:absolute;top:15123" coordsize="21600,21600" filled="t" fillcolor="black" stroked="f"/>
            <v:line id="_x0000_s1060" o:spid="_x0000_s1050" style="position:absolute" from="2257,15133" to="10439,15133" coordsize="21600,21600" stroked="t" strokecolor="black"/>
            <v:line id="_x0000_s1061" o:spid="_x0000_s1051" style="position:absolute" from="10449,1719" to="10449,15124" coordsize="21600,21600" stroked="t" strokecolor="black"/>
            <v:rect id="_x0000_s1062" o:spid="_x0000_s1052" style="width:20;height:20;left:10439;position:absolute;top:15123" coordsize="21600,21600" filled="t" fillcolor="black" stroked="f"/>
          </v:group>
        </w:pict>
      </w:r>
      <w:r>
        <w:rPr>
          <w:sz w:val="24"/>
        </w:rPr>
        <w:t>站前沟河道设计</w:t>
      </w:r>
    </w:p>
    <w:p>
      <w:pPr>
        <w:pStyle w:val="BodyText"/>
        <w:spacing w:before="158"/>
        <w:ind w:left="1848"/>
      </w:pPr>
      <w:r>
        <w:t>①河道平面布置</w:t>
      </w:r>
    </w:p>
    <w:p>
      <w:pPr>
        <w:pStyle w:val="BodyText"/>
        <w:spacing w:before="159" w:line="364" w:lineRule="auto"/>
        <w:ind w:left="1368" w:right="745" w:firstLine="480"/>
        <w:jc w:val="both"/>
      </w:pPr>
      <w:r>
        <w:rPr>
          <w:spacing w:val="-6"/>
        </w:rPr>
        <w:t xml:space="preserve">站前沟综合治理长度 </w:t>
      </w:r>
      <w:r>
        <w:rPr>
          <w:rFonts w:ascii="Times New Roman" w:eastAsia="Times New Roman"/>
          <w:spacing w:val="-11"/>
        </w:rPr>
        <w:t>3.9km</w:t>
      </w:r>
      <w:r>
        <w:rPr>
          <w:spacing w:val="-9"/>
        </w:rPr>
        <w:t>，工程以河道清淤为主，河道设计中心线基本</w:t>
      </w:r>
      <w:r>
        <w:t>沿现状河道中心线布设，河道清淤疏浚时，以不破坏河道东岸的崇德十大道为基本原则。</w:t>
      </w:r>
    </w:p>
    <w:p>
      <w:pPr>
        <w:pStyle w:val="BodyText"/>
        <w:spacing w:line="307" w:lineRule="exact"/>
        <w:ind w:left="1848"/>
      </w:pPr>
      <w:r>
        <w:t>②河道纵断面设计</w:t>
      </w:r>
    </w:p>
    <w:p>
      <w:pPr>
        <w:pStyle w:val="BodyText"/>
        <w:spacing w:before="158" w:line="362" w:lineRule="auto"/>
        <w:ind w:left="1368" w:right="750" w:firstLine="480"/>
      </w:pPr>
      <w:r>
        <w:t xml:space="preserve">站前沟主河槽不进行深挖，仅在现状河底高程的基础上，平整河底。本次设计河底高程采用 </w:t>
      </w:r>
      <w:r>
        <w:rPr>
          <w:rFonts w:ascii="Times New Roman" w:eastAsia="Times New Roman"/>
        </w:rPr>
        <w:t>17.0m</w:t>
      </w:r>
      <w:r>
        <w:t xml:space="preserve">，河底比降为 </w:t>
      </w:r>
      <w:r>
        <w:rPr>
          <w:rFonts w:ascii="Times New Roman" w:eastAsia="Times New Roman"/>
        </w:rPr>
        <w:t>0</w:t>
      </w:r>
      <w:r>
        <w:t>。</w:t>
      </w:r>
    </w:p>
    <w:p>
      <w:pPr>
        <w:pStyle w:val="BodyText"/>
        <w:spacing w:before="8"/>
        <w:ind w:left="1848"/>
      </w:pPr>
      <w:r>
        <w:t>③河道横断面设计</w:t>
      </w:r>
    </w:p>
    <w:p>
      <w:pPr>
        <w:pStyle w:val="BodyText"/>
        <w:spacing w:before="158" w:line="364" w:lineRule="auto"/>
        <w:ind w:left="1368" w:right="624" w:firstLine="480"/>
        <w:jc w:val="both"/>
      </w:pPr>
      <w:r>
        <w:t>河道采用复式断面形式，主河槽采用矩形横断面型式，设计河底宽度取</w:t>
      </w:r>
      <w:r>
        <w:rPr>
          <w:rFonts w:ascii="Times New Roman" w:eastAsia="Times New Roman"/>
        </w:rPr>
        <w:t>15.0m</w:t>
      </w:r>
      <w:r>
        <w:rPr>
          <w:spacing w:val="-5"/>
        </w:rPr>
        <w:t xml:space="preserve">，主河槽深 </w:t>
      </w:r>
      <w:r>
        <w:rPr>
          <w:rFonts w:ascii="Times New Roman" w:eastAsia="Times New Roman"/>
        </w:rPr>
        <w:t>3m</w:t>
      </w:r>
      <w:r>
        <w:rPr>
          <w:spacing w:val="-5"/>
        </w:rPr>
        <w:t xml:space="preserve">，景观水位 </w:t>
      </w:r>
      <w:r>
        <w:rPr>
          <w:rFonts w:ascii="Times New Roman" w:eastAsia="Times New Roman"/>
        </w:rPr>
        <w:t>19.50m</w:t>
      </w:r>
      <w:r>
        <w:rPr>
          <w:spacing w:val="-3"/>
        </w:rPr>
        <w:t xml:space="preserve">，两侧戗台宽度均为 </w:t>
      </w:r>
      <w:r>
        <w:rPr>
          <w:rFonts w:ascii="Times New Roman" w:eastAsia="Times New Roman"/>
          <w:spacing w:val="-4"/>
        </w:rPr>
        <w:t>7m</w:t>
      </w:r>
      <w:r>
        <w:rPr>
          <w:spacing w:val="-2"/>
        </w:rPr>
        <w:t>，临河侧设</w:t>
      </w:r>
      <w:r>
        <w:rPr>
          <w:spacing w:val="-9"/>
        </w:rPr>
        <w:t xml:space="preserve">置护栏，戗台设彩色沥青健康步道，河道边坡比 </w:t>
      </w:r>
      <w:r>
        <w:rPr>
          <w:rFonts w:ascii="Times New Roman" w:eastAsia="Times New Roman"/>
          <w:spacing w:val="-5"/>
        </w:rPr>
        <w:t>1</w:t>
      </w:r>
      <w:r>
        <w:rPr>
          <w:spacing w:val="-5"/>
        </w:rPr>
        <w:t>：</w:t>
      </w:r>
      <w:r>
        <w:rPr>
          <w:rFonts w:ascii="Times New Roman" w:eastAsia="Times New Roman"/>
          <w:spacing w:val="-5"/>
        </w:rPr>
        <w:t>2.5</w:t>
      </w:r>
      <w:r>
        <w:rPr>
          <w:spacing w:val="-4"/>
        </w:rPr>
        <w:t>，边坡采用草皮护坡。</w:t>
      </w:r>
    </w:p>
    <w:p>
      <w:pPr>
        <w:pStyle w:val="ListParagraph"/>
        <w:numPr>
          <w:ilvl w:val="0"/>
          <w:numId w:val="11"/>
        </w:numPr>
        <w:tabs>
          <w:tab w:val="left" w:pos="2210"/>
        </w:tabs>
        <w:spacing w:before="0" w:after="0" w:line="240" w:lineRule="auto"/>
        <w:ind w:left="2209" w:right="0" w:hanging="362"/>
        <w:jc w:val="left"/>
        <w:rPr>
          <w:sz w:val="24"/>
        </w:rPr>
      </w:pPr>
      <w:r>
        <w:rPr>
          <w:sz w:val="24"/>
        </w:rPr>
        <w:t>杨庄河河道设计</w:t>
      </w:r>
    </w:p>
    <w:p>
      <w:pPr>
        <w:pStyle w:val="BodyText"/>
        <w:spacing w:before="158"/>
        <w:ind w:left="1848"/>
      </w:pPr>
      <w:r>
        <w:t>①河道平面布置</w:t>
      </w:r>
    </w:p>
    <w:p>
      <w:pPr>
        <w:pStyle w:val="BodyText"/>
        <w:spacing w:before="158" w:line="367" w:lineRule="auto"/>
        <w:ind w:left="1368" w:right="745" w:firstLine="480"/>
      </w:pPr>
      <w:r>
        <w:t xml:space="preserve">杨庄河综合治理长度 </w:t>
      </w:r>
      <w:r>
        <w:rPr>
          <w:rFonts w:ascii="Times New Roman" w:eastAsia="Times New Roman"/>
        </w:rPr>
        <w:t>5km</w:t>
      </w:r>
      <w:r>
        <w:t>，对减河东大道至崇德五大道，崇德七大道至马赞庄村南段进行清淤疏浚，河道设计中心线基本沿现状河道中心线布设。</w:t>
      </w:r>
    </w:p>
    <w:p>
      <w:pPr>
        <w:pStyle w:val="BodyText"/>
        <w:spacing w:line="303" w:lineRule="exact"/>
        <w:ind w:left="1848"/>
      </w:pPr>
      <w:r>
        <w:t>②河道纵断面设计</w:t>
      </w:r>
    </w:p>
    <w:p>
      <w:pPr>
        <w:pStyle w:val="BodyText"/>
        <w:spacing w:before="159" w:line="364" w:lineRule="auto"/>
        <w:ind w:left="1368" w:right="750" w:firstLine="480"/>
        <w:jc w:val="both"/>
      </w:pPr>
      <w:r>
        <w:t xml:space="preserve">站前沟主河槽不进行深挖，仅在现状河底高程的基础上，平整河底。杨庄河西侧设计河底高程采用 </w:t>
      </w:r>
      <w:r>
        <w:rPr>
          <w:rFonts w:ascii="Times New Roman" w:eastAsia="Times New Roman"/>
        </w:rPr>
        <w:t>15m</w:t>
      </w:r>
      <w:r>
        <w:t xml:space="preserve">，东侧设计河底高程 </w:t>
      </w:r>
      <w:r>
        <w:rPr>
          <w:rFonts w:ascii="Times New Roman" w:eastAsia="Times New Roman"/>
        </w:rPr>
        <w:t>15m</w:t>
      </w:r>
      <w:r>
        <w:t>，河底比降为</w:t>
      </w:r>
      <w:r>
        <w:rPr>
          <w:rFonts w:ascii="Times New Roman" w:eastAsia="Times New Roman"/>
        </w:rPr>
        <w:t>1/10000</w:t>
      </w:r>
      <w:r>
        <w:t>。</w:t>
      </w:r>
    </w:p>
    <w:p>
      <w:pPr>
        <w:pStyle w:val="BodyText"/>
        <w:spacing w:line="307" w:lineRule="exact"/>
        <w:ind w:left="1848"/>
      </w:pPr>
      <w:r>
        <w:t>③河道横断面设计</w:t>
      </w:r>
    </w:p>
    <w:p>
      <w:pPr>
        <w:pStyle w:val="BodyText"/>
        <w:spacing w:before="158" w:line="362" w:lineRule="auto"/>
        <w:ind w:left="1368" w:right="754" w:firstLine="480"/>
      </w:pPr>
      <w:r>
        <w:t xml:space="preserve">按照确定的设计河底高程和设计河底比降，采用梯形横断面型式，设计河底宽度取 </w:t>
      </w:r>
      <w:r>
        <w:rPr>
          <w:rFonts w:ascii="Times New Roman" w:eastAsia="Times New Roman"/>
        </w:rPr>
        <w:t>13~25m</w:t>
      </w:r>
      <w:r>
        <w:t xml:space="preserve">，边坡 </w:t>
      </w:r>
      <w:r>
        <w:rPr>
          <w:rFonts w:ascii="Times New Roman" w:eastAsia="Times New Roman"/>
        </w:rPr>
        <w:t>1:3</w:t>
      </w:r>
      <w:r>
        <w:t>。</w:t>
      </w:r>
    </w:p>
    <w:p>
      <w:pPr>
        <w:pStyle w:val="BodyText"/>
        <w:spacing w:before="8"/>
        <w:ind w:left="1848"/>
      </w:pPr>
      <w:r>
        <w:rPr>
          <w:rFonts w:ascii="Times New Roman" w:eastAsia="Times New Roman"/>
        </w:rPr>
        <w:t>2</w:t>
      </w:r>
      <w:r>
        <w:t>、新建道路设计</w:t>
      </w:r>
    </w:p>
    <w:p>
      <w:pPr>
        <w:pStyle w:val="BodyText"/>
        <w:spacing w:before="158"/>
        <w:ind w:left="1848"/>
        <w:jc w:val="both"/>
      </w:pPr>
      <w:r>
        <w:t xml:space="preserve">在四支沟南岸建设一条生态健康步道，长度 </w:t>
      </w:r>
      <w:r>
        <w:rPr>
          <w:rFonts w:ascii="Times New Roman" w:eastAsia="Times New Roman"/>
        </w:rPr>
        <w:t>6.2km</w:t>
      </w:r>
      <w:r>
        <w:t>，范围自入马赞河口处</w:t>
      </w:r>
    </w:p>
    <w:p>
      <w:pPr>
        <w:pStyle w:val="BodyText"/>
        <w:spacing w:before="158" w:line="364" w:lineRule="auto"/>
        <w:ind w:left="1368" w:right="628"/>
        <w:jc w:val="both"/>
      </w:pPr>
      <w:r>
        <w:rPr>
          <w:rFonts w:ascii="Times New Roman" w:eastAsia="Times New Roman"/>
        </w:rPr>
        <w:t>~</w:t>
      </w:r>
      <w:r>
        <w:rPr>
          <w:spacing w:val="-5"/>
        </w:rPr>
        <w:t xml:space="preserve">入减河口处；在站前沟西岸建设一条生态健康步道，长度 </w:t>
      </w:r>
      <w:r>
        <w:rPr>
          <w:rFonts w:ascii="Times New Roman" w:eastAsia="Times New Roman"/>
        </w:rPr>
        <w:t>0.6km</w:t>
      </w:r>
      <w:r>
        <w:t>，范围自入杨庄河口处</w:t>
      </w:r>
      <w:r>
        <w:rPr>
          <w:rFonts w:ascii="Times New Roman" w:eastAsia="Times New Roman"/>
        </w:rPr>
        <w:t>~</w:t>
      </w:r>
      <w:r>
        <w:rPr>
          <w:spacing w:val="-11"/>
        </w:rPr>
        <w:t xml:space="preserve">牟庄村。路基宽度为 </w:t>
      </w:r>
      <w:r>
        <w:rPr>
          <w:rFonts w:ascii="Times New Roman" w:eastAsia="Times New Roman"/>
          <w:spacing w:val="-10"/>
        </w:rPr>
        <w:t>5m</w:t>
      </w:r>
      <w:r>
        <w:rPr>
          <w:spacing w:val="-11"/>
        </w:rPr>
        <w:t xml:space="preserve">，路面宽度为 </w:t>
      </w:r>
      <w:r>
        <w:rPr>
          <w:rFonts w:ascii="Times New Roman" w:eastAsia="Times New Roman"/>
          <w:spacing w:val="-10"/>
        </w:rPr>
        <w:t>3m</w:t>
      </w:r>
      <w:r>
        <w:rPr>
          <w:spacing w:val="-3"/>
        </w:rPr>
        <w:t>，设计道路内缘线距离</w:t>
      </w:r>
      <w:r>
        <w:rPr>
          <w:spacing w:val="-18"/>
        </w:rPr>
        <w:t xml:space="preserve">河口按 </w:t>
      </w:r>
      <w:r>
        <w:rPr>
          <w:rFonts w:ascii="Times New Roman" w:eastAsia="Times New Roman"/>
        </w:rPr>
        <w:t>3m</w:t>
      </w:r>
      <w:r>
        <w:rPr>
          <w:rFonts w:ascii="Times New Roman" w:eastAsia="Times New Roman"/>
          <w:spacing w:val="-6"/>
        </w:rPr>
        <w:t xml:space="preserve"> </w:t>
      </w:r>
      <w:r>
        <w:rPr>
          <w:spacing w:val="-11"/>
        </w:rPr>
        <w:t>考虑，路线布置可根据现场实际情况灵活布设；自杨庄河至德州东</w:t>
      </w:r>
      <w:r>
        <w:rPr>
          <w:spacing w:val="-18"/>
          <w:w w:val="99"/>
        </w:rPr>
        <w:t xml:space="preserve">高铁站，东侧新建生态健康步道 </w:t>
      </w:r>
      <w:r>
        <w:rPr>
          <w:rFonts w:ascii="Times New Roman" w:eastAsia="Times New Roman"/>
          <w:w w:val="99"/>
        </w:rPr>
        <w:t>1</w:t>
      </w:r>
      <w:r>
        <w:rPr>
          <w:rFonts w:ascii="Times New Roman" w:eastAsia="Times New Roman"/>
          <w:spacing w:val="4"/>
          <w:w w:val="99"/>
        </w:rPr>
        <w:t>k</w:t>
      </w:r>
      <w:r>
        <w:rPr>
          <w:rFonts w:ascii="Times New Roman" w:eastAsia="Times New Roman"/>
          <w:spacing w:val="-9"/>
          <w:w w:val="99"/>
        </w:rPr>
        <w:t>m</w:t>
      </w:r>
      <w:r>
        <w:rPr>
          <w:spacing w:val="-26"/>
          <w:w w:val="99"/>
        </w:rPr>
        <w:t xml:space="preserve">，路面宽度为 </w:t>
      </w:r>
      <w:r>
        <w:rPr>
          <w:rFonts w:ascii="Times New Roman" w:eastAsia="Times New Roman"/>
          <w:spacing w:val="4"/>
          <w:w w:val="99"/>
        </w:rPr>
        <w:t>1</w:t>
      </w:r>
      <w:r>
        <w:rPr>
          <w:rFonts w:ascii="Times New Roman" w:eastAsia="Times New Roman"/>
          <w:spacing w:val="-10"/>
          <w:w w:val="99"/>
        </w:rPr>
        <w:t>m</w:t>
      </w:r>
      <w:r>
        <w:rPr>
          <w:spacing w:val="-22"/>
          <w:w w:val="99"/>
        </w:rPr>
        <w:t xml:space="preserve">。修复现状堤顶路 </w:t>
      </w:r>
      <w:r>
        <w:rPr>
          <w:rFonts w:ascii="Times New Roman" w:eastAsia="Times New Roman"/>
          <w:spacing w:val="-2"/>
          <w:w w:val="99"/>
        </w:rPr>
        <w:t>4</w:t>
      </w:r>
      <w:r>
        <w:rPr>
          <w:rFonts w:ascii="Times New Roman" w:eastAsia="Times New Roman"/>
          <w:spacing w:val="0"/>
          <w:w w:val="99"/>
        </w:rPr>
        <w:t>.</w:t>
      </w:r>
      <w:r>
        <w:rPr>
          <w:rFonts w:ascii="Times New Roman" w:eastAsia="Times New Roman"/>
          <w:spacing w:val="-2"/>
          <w:w w:val="99"/>
        </w:rPr>
        <w:t>0</w:t>
      </w:r>
      <w:r>
        <w:rPr>
          <w:rFonts w:ascii="Times New Roman" w:eastAsia="Times New Roman"/>
          <w:spacing w:val="2"/>
          <w:w w:val="99"/>
        </w:rPr>
        <w:t>k</w:t>
      </w:r>
      <w:r>
        <w:rPr>
          <w:rFonts w:ascii="Times New Roman" w:eastAsia="Times New Roman"/>
          <w:spacing w:val="-12"/>
          <w:w w:val="99"/>
        </w:rPr>
        <w:t>m</w:t>
      </w:r>
      <w:r>
        <w:rPr>
          <w:spacing w:val="-2"/>
          <w:w w:val="99"/>
        </w:rPr>
        <w:t>，</w:t>
      </w:r>
    </w:p>
    <w:p>
      <w:pPr>
        <w:pStyle w:val="BodyText"/>
        <w:rPr>
          <w:sz w:val="20"/>
        </w:rPr>
      </w:pPr>
    </w:p>
    <w:p>
      <w:pPr>
        <w:pStyle w:val="BodyText"/>
        <w:spacing w:before="12"/>
        <w:rPr>
          <w:sz w:val="15"/>
        </w:rPr>
      </w:pPr>
    </w:p>
    <w:p>
      <w:pPr>
        <w:spacing w:before="60"/>
        <w:ind w:left="0" w:right="705" w:firstLine="0"/>
        <w:jc w:val="right"/>
        <w:rPr>
          <w:sz w:val="28"/>
        </w:rPr>
      </w:pPr>
      <w:r>
        <w:rPr>
          <w:spacing w:val="-1"/>
          <w:sz w:val="28"/>
        </w:rPr>
        <w:t>—</w:t>
      </w:r>
      <w:r>
        <w:rPr>
          <w:spacing w:val="-1"/>
          <w:sz w:val="26"/>
        </w:rPr>
        <w:t>26</w:t>
      </w:r>
      <w:r>
        <w:rPr>
          <w:spacing w:val="-1"/>
          <w:sz w:val="28"/>
        </w:rPr>
        <w:t>—</w:t>
      </w:r>
    </w:p>
    <w:p>
      <w:pPr>
        <w:spacing w:after="0"/>
        <w:jc w:val="right"/>
        <w:rPr>
          <w:sz w:val="28"/>
        </w:rPr>
        <w:sectPr>
          <w:pgSz w:w="11910" w:h="16840"/>
          <w:pgMar w:top="1580" w:right="820" w:bottom="280" w:left="980" w:header="720" w:footer="720" w:gutter="0"/>
          <w:pgNumType w:start="31"/>
          <w:cols w:num="1" w:space="720"/>
        </w:sectPr>
      </w:pPr>
    </w:p>
    <w:p>
      <w:pPr>
        <w:pStyle w:val="BodyText"/>
        <w:spacing w:before="125" w:line="362" w:lineRule="auto"/>
        <w:ind w:left="1368" w:right="749"/>
        <w:jc w:val="both"/>
      </w:pPr>
      <w:r>
        <w:pict>
          <v:group id="_x0000_s1063" o:spid="_x0000_s1053" style="width:450.45pt;height:640.05pt;margin-top:5pt;margin-left:72.5pt;mso-height-relative:page;mso-position-horizontal-relative:page;mso-width-relative:page;position:absolute;z-index:-251656192" coordorigin="1450,101" coordsize="9009,12801">
            <v:line id="_x0000_s1064" o:spid="_x0000_s1054" style="position:absolute" from="1469,111" to="2238,111" coordsize="21600,21600" stroked="t" strokecolor="black"/>
            <v:rect id="_x0000_s1065" o:spid="_x0000_s1055" style="width:20;height:20;left:2237;position:absolute;top:101" coordsize="21600,21600" filled="t" fillcolor="black" stroked="f"/>
            <v:line id="_x0000_s1066" o:spid="_x0000_s1056" style="position:absolute" from="2257,111" to="10439,111" coordsize="21600,21600" stroked="t" strokecolor="black"/>
            <v:line id="_x0000_s1067" o:spid="_x0000_s1057" style="position:absolute" from="1460,101" to="1460,12901" coordsize="21600,21600" stroked="t" strokecolor="black"/>
            <v:line id="_x0000_s1068" o:spid="_x0000_s1058" style="position:absolute" from="1469,12892" to="2238,12892" coordsize="21600,21600" stroked="t" strokecolor="black"/>
            <v:line id="_x0000_s1069" o:spid="_x0000_s1059" style="position:absolute" from="2243,120" to="2243,12882" coordsize="21600,21600" stroked="t" strokecolor="black"/>
            <v:rect id="_x0000_s1070" o:spid="_x0000_s1060" style="width:20;height:20;left:2237;position:absolute;top:12882" coordsize="21600,21600" filled="t" fillcolor="black" stroked="f"/>
            <v:line id="_x0000_s1071" o:spid="_x0000_s1061" style="position:absolute" from="2257,12892" to="10439,12892" coordsize="21600,21600" stroked="t" strokecolor="black"/>
            <v:line id="_x0000_s1072" o:spid="_x0000_s1062" style="position:absolute" from="10449,101" to="10449,12901" coordsize="21600,21600" stroked="t" strokecolor="black"/>
          </v:group>
        </w:pict>
      </w:r>
      <w:r>
        <w:t xml:space="preserve">岔河堤顶路修复范围为河道东侧自北外环向北 </w:t>
      </w:r>
      <w:r>
        <w:rPr>
          <w:rFonts w:ascii="Times New Roman" w:eastAsia="Times New Roman"/>
        </w:rPr>
        <w:t>2km</w:t>
      </w:r>
      <w:r>
        <w:t xml:space="preserve">，减河堤顶路修复范围为河道西侧自东外环向东北 </w:t>
      </w:r>
      <w:r>
        <w:rPr>
          <w:rFonts w:ascii="Times New Roman" w:eastAsia="Times New Roman"/>
        </w:rPr>
        <w:t>2km</w:t>
      </w:r>
      <w:r>
        <w:t>。</w:t>
      </w:r>
    </w:p>
    <w:p>
      <w:pPr>
        <w:pStyle w:val="BodyText"/>
        <w:spacing w:before="3" w:line="364" w:lineRule="auto"/>
        <w:ind w:left="1368" w:right="740" w:firstLine="480"/>
        <w:jc w:val="both"/>
      </w:pPr>
      <w:r>
        <w:rPr>
          <w:spacing w:val="-2"/>
        </w:rPr>
        <w:t xml:space="preserve">生态健康步道沥青路面宽 </w:t>
      </w:r>
      <w:r>
        <w:rPr>
          <w:rFonts w:ascii="Times New Roman" w:eastAsia="Times New Roman" w:hAnsi="Times New Roman"/>
        </w:rPr>
        <w:t>3m</w:t>
      </w:r>
      <w:r>
        <w:t>，采用两层沥青混凝土</w:t>
      </w:r>
      <w:r>
        <w:rPr>
          <w:rFonts w:ascii="Times New Roman" w:eastAsia="Times New Roman" w:hAnsi="Times New Roman"/>
        </w:rPr>
        <w:t>+</w:t>
      </w:r>
      <w:r>
        <w:rPr>
          <w:spacing w:val="-2"/>
        </w:rPr>
        <w:t>两层水稳结构，路</w:t>
      </w:r>
      <w:r>
        <w:rPr>
          <w:spacing w:val="-10"/>
        </w:rPr>
        <w:t>面结构由上至下依次为：</w:t>
      </w:r>
      <w:r>
        <w:rPr>
          <w:rFonts w:ascii="Times New Roman" w:eastAsia="Times New Roman" w:hAnsi="Times New Roman"/>
        </w:rPr>
        <w:t>3</w:t>
      </w:r>
      <w:r>
        <w:rPr>
          <w:rFonts w:ascii="Times New Roman" w:eastAsia="Times New Roman" w:hAnsi="Times New Roman"/>
          <w:spacing w:val="3"/>
        </w:rPr>
        <w:t>c</w:t>
      </w:r>
      <w:r>
        <w:rPr>
          <w:rFonts w:ascii="Times New Roman" w:eastAsia="Times New Roman" w:hAnsi="Times New Roman"/>
        </w:rPr>
        <w:t xml:space="preserve">m </w:t>
      </w:r>
      <w:r>
        <w:rPr>
          <w:spacing w:val="-12"/>
        </w:rPr>
        <w:t>厚彩色细粒式沥青砼</w:t>
      </w:r>
      <w:r>
        <w:t>（</w:t>
      </w:r>
      <w:r>
        <w:rPr>
          <w:rFonts w:ascii="Times New Roman" w:eastAsia="Times New Roman" w:hAnsi="Times New Roman"/>
          <w:spacing w:val="-6"/>
          <w:w w:val="99"/>
        </w:rPr>
        <w:t>A</w:t>
      </w:r>
      <w:r>
        <w:rPr>
          <w:rFonts w:ascii="Times New Roman" w:eastAsia="Times New Roman" w:hAnsi="Times New Roman"/>
          <w:spacing w:val="-2"/>
          <w:w w:val="99"/>
        </w:rPr>
        <w:t>C</w:t>
      </w:r>
      <w:r>
        <w:rPr>
          <w:rFonts w:ascii="Times New Roman" w:eastAsia="Times New Roman" w:hAnsi="Times New Roman"/>
          <w:spacing w:val="1"/>
          <w:w w:val="99"/>
        </w:rPr>
        <w:t>-</w:t>
      </w:r>
      <w:r>
        <w:rPr>
          <w:rFonts w:ascii="Times New Roman" w:eastAsia="Times New Roman" w:hAnsi="Times New Roman"/>
        </w:rPr>
        <w:t>13</w:t>
      </w:r>
      <w:r>
        <w:rPr>
          <w:spacing w:val="-101"/>
        </w:rPr>
        <w:t>）</w:t>
      </w:r>
      <w:r>
        <w:rPr>
          <w:rFonts w:ascii="Times New Roman" w:eastAsia="Times New Roman" w:hAnsi="Times New Roman"/>
          <w:spacing w:val="-1"/>
        </w:rPr>
        <w:t>+</w:t>
      </w:r>
      <w:r>
        <w:rPr>
          <w:spacing w:val="1"/>
        </w:rPr>
        <w:t>沥青粘层油</w:t>
      </w:r>
      <w:r>
        <w:rPr>
          <w:rFonts w:ascii="Times New Roman" w:eastAsia="Times New Roman" w:hAnsi="Times New Roman"/>
          <w:spacing w:val="-1"/>
        </w:rPr>
        <w:t>+</w:t>
      </w:r>
      <w:r>
        <w:rPr>
          <w:rFonts w:ascii="Times New Roman" w:eastAsia="Times New Roman" w:hAnsi="Times New Roman"/>
        </w:rPr>
        <w:t>5</w:t>
      </w:r>
      <w:r>
        <w:rPr>
          <w:rFonts w:ascii="Times New Roman" w:eastAsia="Times New Roman" w:hAnsi="Times New Roman"/>
          <w:spacing w:val="3"/>
        </w:rPr>
        <w:t>c</w:t>
      </w:r>
      <w:r>
        <w:rPr>
          <w:rFonts w:ascii="Times New Roman" w:eastAsia="Times New Roman" w:hAnsi="Times New Roman"/>
        </w:rPr>
        <w:t>m</w:t>
      </w:r>
      <w:r>
        <w:t>厚中粒式沥青砼（</w:t>
      </w:r>
      <w:r>
        <w:rPr>
          <w:rFonts w:ascii="Times New Roman" w:eastAsia="Times New Roman" w:hAnsi="Times New Roman"/>
        </w:rPr>
        <w:t>AC-20</w:t>
      </w:r>
      <w:r>
        <w:t>）</w:t>
      </w:r>
      <w:r>
        <w:rPr>
          <w:rFonts w:ascii="Times New Roman" w:eastAsia="Times New Roman" w:hAnsi="Times New Roman"/>
        </w:rPr>
        <w:t>+</w:t>
      </w:r>
      <w:r>
        <w:t>沥青透层油</w:t>
      </w:r>
      <w:r>
        <w:rPr>
          <w:rFonts w:ascii="Times New Roman" w:eastAsia="Times New Roman" w:hAnsi="Times New Roman"/>
        </w:rPr>
        <w:t xml:space="preserve">+18cm </w:t>
      </w:r>
      <w:r>
        <w:rPr>
          <w:spacing w:val="-17"/>
        </w:rPr>
        <w:t xml:space="preserve">厚 </w:t>
      </w:r>
      <w:r>
        <w:rPr>
          <w:rFonts w:ascii="Times New Roman" w:eastAsia="Times New Roman" w:hAnsi="Times New Roman"/>
        </w:rPr>
        <w:t>5%</w:t>
      </w:r>
      <w:r>
        <w:t>水泥稳定碎石</w:t>
      </w:r>
      <w:r>
        <w:rPr>
          <w:rFonts w:ascii="Times New Roman" w:eastAsia="Times New Roman" w:hAnsi="Times New Roman"/>
        </w:rPr>
        <w:t xml:space="preserve">+18cm </w:t>
      </w:r>
      <w:r>
        <w:t>厚</w:t>
      </w:r>
      <w:r>
        <w:rPr>
          <w:rFonts w:ascii="Times New Roman" w:eastAsia="Times New Roman" w:hAnsi="Times New Roman"/>
        </w:rPr>
        <w:t>5%</w:t>
      </w:r>
      <w:r>
        <w:rPr>
          <w:spacing w:val="-9"/>
        </w:rPr>
        <w:t>水泥稳定碎石。</w:t>
      </w:r>
      <w:r>
        <w:rPr>
          <w:rFonts w:ascii="Times New Roman" w:eastAsia="Times New Roman" w:hAnsi="Times New Roman"/>
        </w:rPr>
        <w:t>5%</w:t>
      </w:r>
      <w:r>
        <w:rPr>
          <w:spacing w:val="-8"/>
        </w:rPr>
        <w:t xml:space="preserve">的水泥稳定碎石 </w:t>
      </w:r>
      <w:r>
        <w:rPr>
          <w:rFonts w:ascii="Times New Roman" w:eastAsia="Times New Roman" w:hAnsi="Times New Roman"/>
        </w:rPr>
        <w:t xml:space="preserve">7 </w:t>
      </w:r>
      <w:r>
        <w:rPr>
          <w:spacing w:val="-6"/>
        </w:rPr>
        <w:t xml:space="preserve">天无侧限抗压强度应为 </w:t>
      </w:r>
      <w:r>
        <w:rPr>
          <w:rFonts w:ascii="Times New Roman" w:eastAsia="Times New Roman" w:hAnsi="Times New Roman"/>
        </w:rPr>
        <w:t>3</w:t>
      </w:r>
      <w:r>
        <w:t>～</w:t>
      </w:r>
      <w:r>
        <w:rPr>
          <w:rFonts w:ascii="Times New Roman" w:eastAsia="Times New Roman" w:hAnsi="Times New Roman"/>
        </w:rPr>
        <w:t>5Mpa</w:t>
      </w:r>
      <w:r>
        <w:rPr>
          <w:spacing w:val="-58"/>
        </w:rPr>
        <w:t>。路</w:t>
      </w:r>
      <w:r>
        <w:rPr>
          <w:spacing w:val="-9"/>
        </w:rPr>
        <w:t xml:space="preserve">缘石规格选用 </w:t>
      </w:r>
      <w:r>
        <w:rPr>
          <w:rFonts w:ascii="Times New Roman" w:eastAsia="Times New Roman" w:hAnsi="Times New Roman"/>
        </w:rPr>
        <w:t>100cm</w:t>
      </w:r>
      <w:r>
        <w:t>×</w:t>
      </w:r>
      <w:r>
        <w:rPr>
          <w:rFonts w:ascii="Times New Roman" w:eastAsia="Times New Roman" w:hAnsi="Times New Roman"/>
        </w:rPr>
        <w:t>25cm</w:t>
      </w:r>
      <w:r>
        <w:t>×</w:t>
      </w:r>
      <w:r>
        <w:rPr>
          <w:rFonts w:ascii="Times New Roman" w:eastAsia="Times New Roman" w:hAnsi="Times New Roman"/>
        </w:rPr>
        <w:t xml:space="preserve">15cm </w:t>
      </w:r>
      <w:r>
        <w:rPr>
          <w:spacing w:val="-11"/>
        </w:rPr>
        <w:t>花岗岩路缘石。为便于路面排水，以道中</w:t>
      </w:r>
      <w:r>
        <w:rPr>
          <w:spacing w:val="-5"/>
        </w:rPr>
        <w:t xml:space="preserve">心线为中心向两侧路肩设置 </w:t>
      </w:r>
      <w:r>
        <w:rPr>
          <w:rFonts w:ascii="Times New Roman" w:eastAsia="Times New Roman" w:hAnsi="Times New Roman"/>
        </w:rPr>
        <w:t>2%</w:t>
      </w:r>
      <w:r>
        <w:t>纵坡。</w:t>
      </w:r>
    </w:p>
    <w:p>
      <w:pPr>
        <w:pStyle w:val="BodyText"/>
        <w:spacing w:line="307" w:lineRule="exact"/>
        <w:ind w:left="1848"/>
      </w:pPr>
      <w:r>
        <w:rPr>
          <w:rFonts w:ascii="Times New Roman" w:eastAsia="Times New Roman"/>
        </w:rPr>
        <w:t>3</w:t>
      </w:r>
      <w:r>
        <w:t>、四支沟水环境综合治理与再生资源循利用工程设计</w:t>
      </w:r>
    </w:p>
    <w:p>
      <w:pPr>
        <w:pStyle w:val="ListParagraph"/>
        <w:numPr>
          <w:ilvl w:val="0"/>
          <w:numId w:val="12"/>
        </w:numPr>
        <w:tabs>
          <w:tab w:val="left" w:pos="2450"/>
        </w:tabs>
        <w:spacing w:before="158" w:after="0" w:line="364" w:lineRule="auto"/>
        <w:ind w:left="1368" w:right="749" w:firstLine="480"/>
        <w:jc w:val="both"/>
        <w:rPr>
          <w:sz w:val="24"/>
        </w:rPr>
      </w:pPr>
      <w:r>
        <w:rPr>
          <w:spacing w:val="-1"/>
          <w:sz w:val="24"/>
        </w:rPr>
        <w:t>引水系统设计。本工程确定采用倒虹吸管道采用</w:t>
      </w:r>
      <w:r>
        <w:rPr>
          <w:rFonts w:ascii="Times New Roman" w:eastAsia="Times New Roman"/>
          <w:sz w:val="24"/>
        </w:rPr>
        <w:t>DN1200</w:t>
      </w:r>
      <w:r>
        <w:rPr>
          <w:rFonts w:ascii="Times New Roman" w:eastAsia="Times New Roman"/>
          <w:spacing w:val="-4"/>
          <w:sz w:val="24"/>
        </w:rPr>
        <w:t xml:space="preserve"> </w:t>
      </w:r>
      <w:r>
        <w:rPr>
          <w:spacing w:val="-4"/>
          <w:sz w:val="24"/>
        </w:rPr>
        <w:t>钢筋混凝</w:t>
      </w:r>
      <w:r>
        <w:rPr>
          <w:sz w:val="24"/>
        </w:rPr>
        <w:t>土管道，倒虹吸井采用钢筋混凝土结构。</w:t>
      </w:r>
    </w:p>
    <w:p>
      <w:pPr>
        <w:pStyle w:val="ListParagraph"/>
        <w:numPr>
          <w:ilvl w:val="0"/>
          <w:numId w:val="12"/>
        </w:numPr>
        <w:tabs>
          <w:tab w:val="left" w:pos="2450"/>
        </w:tabs>
        <w:spacing w:before="0" w:after="0" w:line="367" w:lineRule="auto"/>
        <w:ind w:left="1368" w:right="749" w:firstLine="480"/>
        <w:jc w:val="both"/>
        <w:rPr>
          <w:sz w:val="24"/>
        </w:rPr>
      </w:pPr>
      <w:r>
        <w:rPr>
          <w:spacing w:val="-6"/>
          <w:sz w:val="24"/>
        </w:rPr>
        <w:t xml:space="preserve">垂直潜流湿地设计。本工程建设垂直潜流湿地 </w:t>
      </w:r>
      <w:r>
        <w:rPr>
          <w:rFonts w:ascii="Times New Roman" w:eastAsia="Times New Roman"/>
          <w:sz w:val="24"/>
        </w:rPr>
        <w:t>40000m</w:t>
      </w:r>
      <w:r>
        <w:rPr>
          <w:rFonts w:ascii="Times New Roman" w:eastAsia="Times New Roman"/>
          <w:sz w:val="24"/>
          <w:vertAlign w:val="superscript"/>
        </w:rPr>
        <w:t>2</w:t>
      </w:r>
      <w:r>
        <w:rPr>
          <w:spacing w:val="-3"/>
          <w:sz w:val="24"/>
          <w:vertAlign w:val="baseline"/>
        </w:rPr>
        <w:t>，设计处净</w:t>
      </w:r>
      <w:r>
        <w:rPr>
          <w:spacing w:val="-16"/>
          <w:sz w:val="24"/>
          <w:vertAlign w:val="baseline"/>
        </w:rPr>
        <w:t xml:space="preserve">化能力 </w:t>
      </w:r>
      <w:r>
        <w:rPr>
          <w:rFonts w:ascii="Times New Roman" w:eastAsia="Times New Roman"/>
          <w:sz w:val="24"/>
          <w:vertAlign w:val="baseline"/>
        </w:rPr>
        <w:t>20000m</w:t>
      </w:r>
      <w:r>
        <w:rPr>
          <w:rFonts w:ascii="Times New Roman" w:eastAsia="Times New Roman"/>
          <w:sz w:val="24"/>
          <w:vertAlign w:val="superscript"/>
        </w:rPr>
        <w:t>3</w:t>
      </w:r>
      <w:r>
        <w:rPr>
          <w:rFonts w:ascii="Times New Roman" w:eastAsia="Times New Roman"/>
          <w:sz w:val="24"/>
          <w:vertAlign w:val="baseline"/>
        </w:rPr>
        <w:t>/d</w:t>
      </w:r>
      <w:r>
        <w:rPr>
          <w:sz w:val="24"/>
          <w:vertAlign w:val="baseline"/>
        </w:rPr>
        <w:t>。</w:t>
      </w:r>
    </w:p>
    <w:p>
      <w:pPr>
        <w:pStyle w:val="ListParagraph"/>
        <w:numPr>
          <w:ilvl w:val="0"/>
          <w:numId w:val="12"/>
        </w:numPr>
        <w:tabs>
          <w:tab w:val="left" w:pos="2450"/>
        </w:tabs>
        <w:spacing w:before="0" w:after="0" w:line="364" w:lineRule="auto"/>
        <w:ind w:left="1368" w:right="746" w:firstLine="480"/>
        <w:jc w:val="both"/>
        <w:rPr>
          <w:sz w:val="24"/>
        </w:rPr>
      </w:pPr>
      <w:r>
        <w:rPr>
          <w:spacing w:val="-4"/>
          <w:sz w:val="24"/>
        </w:rPr>
        <w:t>河道走廊湿地按表流湿地设计。垂直潜流湿地出水进入河道走廊湿</w:t>
      </w:r>
      <w:r>
        <w:rPr>
          <w:sz w:val="24"/>
        </w:rPr>
        <w:t>地，河道走廊湿地水力路径以地表推流为主，本项目河道走廊湿地建设总面</w:t>
      </w:r>
      <w:r>
        <w:rPr>
          <w:spacing w:val="-22"/>
          <w:sz w:val="24"/>
        </w:rPr>
        <w:t xml:space="preserve">积约 </w:t>
      </w:r>
      <w:r>
        <w:rPr>
          <w:rFonts w:ascii="Times New Roman" w:eastAsia="Times New Roman"/>
          <w:sz w:val="24"/>
        </w:rPr>
        <w:t>30000m</w:t>
      </w:r>
      <w:r>
        <w:rPr>
          <w:rFonts w:ascii="Times New Roman" w:eastAsia="Times New Roman"/>
          <w:sz w:val="24"/>
          <w:vertAlign w:val="superscript"/>
        </w:rPr>
        <w:t>2</w:t>
      </w:r>
      <w:r>
        <w:rPr>
          <w:sz w:val="24"/>
          <w:vertAlign w:val="baseline"/>
        </w:rPr>
        <w:t>。</w:t>
      </w:r>
    </w:p>
    <w:p>
      <w:pPr>
        <w:pStyle w:val="ListParagraph"/>
        <w:numPr>
          <w:ilvl w:val="0"/>
          <w:numId w:val="12"/>
        </w:numPr>
        <w:tabs>
          <w:tab w:val="left" w:pos="2450"/>
        </w:tabs>
        <w:spacing w:before="0" w:after="0" w:line="364" w:lineRule="auto"/>
        <w:ind w:left="1368" w:right="746" w:firstLine="480"/>
        <w:jc w:val="both"/>
        <w:rPr>
          <w:sz w:val="24"/>
        </w:rPr>
      </w:pPr>
      <w:r>
        <w:rPr>
          <w:spacing w:val="-5"/>
          <w:sz w:val="24"/>
        </w:rPr>
        <w:t>生态边坡设计。河道边坡近水区适宜水深种植挺水植物，远水区种</w:t>
      </w:r>
      <w:r>
        <w:rPr>
          <w:spacing w:val="-4"/>
          <w:sz w:val="24"/>
        </w:rPr>
        <w:t xml:space="preserve">植野花组合等地被植物及灌木，设计面积 </w:t>
      </w:r>
      <w:r>
        <w:rPr>
          <w:rFonts w:ascii="Times New Roman" w:eastAsia="Times New Roman"/>
          <w:sz w:val="24"/>
        </w:rPr>
        <w:t>42000m</w:t>
      </w:r>
      <w:r>
        <w:rPr>
          <w:rFonts w:ascii="Times New Roman" w:eastAsia="Times New Roman"/>
          <w:sz w:val="24"/>
          <w:vertAlign w:val="superscript"/>
        </w:rPr>
        <w:t>2</w:t>
      </w:r>
      <w:r>
        <w:rPr>
          <w:sz w:val="24"/>
          <w:vertAlign w:val="baseline"/>
        </w:rPr>
        <w:t>。</w:t>
      </w:r>
    </w:p>
    <w:p>
      <w:pPr>
        <w:pStyle w:val="ListParagraph"/>
        <w:numPr>
          <w:ilvl w:val="0"/>
          <w:numId w:val="12"/>
        </w:numPr>
        <w:tabs>
          <w:tab w:val="left" w:pos="2450"/>
        </w:tabs>
        <w:spacing w:before="0" w:after="0" w:line="367" w:lineRule="auto"/>
        <w:ind w:left="1848" w:right="1027" w:firstLine="0"/>
        <w:jc w:val="left"/>
        <w:rPr>
          <w:sz w:val="24"/>
        </w:rPr>
      </w:pPr>
      <w:r>
        <w:rPr>
          <w:spacing w:val="-5"/>
          <w:sz w:val="24"/>
        </w:rPr>
        <w:t xml:space="preserve">管理道路设计。沿湿地周边建设 </w:t>
      </w:r>
      <w:r>
        <w:rPr>
          <w:rFonts w:ascii="Times New Roman" w:eastAsia="Times New Roman"/>
          <w:sz w:val="24"/>
        </w:rPr>
        <w:t>1</w:t>
      </w:r>
      <w:r>
        <w:rPr>
          <w:rFonts w:ascii="Times New Roman" w:eastAsia="Times New Roman"/>
          <w:spacing w:val="-2"/>
          <w:sz w:val="24"/>
        </w:rPr>
        <w:t xml:space="preserve"> </w:t>
      </w:r>
      <w:r>
        <w:rPr>
          <w:spacing w:val="-7"/>
          <w:sz w:val="24"/>
        </w:rPr>
        <w:t xml:space="preserve">条管理道路，共计 </w:t>
      </w:r>
      <w:r>
        <w:rPr>
          <w:rFonts w:ascii="Times New Roman" w:eastAsia="Times New Roman"/>
          <w:sz w:val="24"/>
        </w:rPr>
        <w:t>6984</w:t>
      </w:r>
      <w:r>
        <w:rPr>
          <w:rFonts w:ascii="Times New Roman" w:eastAsia="Times New Roman"/>
          <w:spacing w:val="6"/>
          <w:sz w:val="24"/>
        </w:rPr>
        <w:t xml:space="preserve"> </w:t>
      </w:r>
      <w:r>
        <w:rPr>
          <w:rFonts w:ascii="Times New Roman" w:eastAsia="Times New Roman"/>
          <w:spacing w:val="-4"/>
          <w:sz w:val="24"/>
        </w:rPr>
        <w:t>m</w:t>
      </w:r>
      <w:r>
        <w:rPr>
          <w:rFonts w:ascii="Times New Roman" w:eastAsia="Times New Roman"/>
          <w:spacing w:val="-4"/>
          <w:sz w:val="24"/>
          <w:vertAlign w:val="superscript"/>
        </w:rPr>
        <w:t>2</w:t>
      </w:r>
      <w:r>
        <w:rPr>
          <w:spacing w:val="-11"/>
          <w:sz w:val="24"/>
          <w:vertAlign w:val="baseline"/>
        </w:rPr>
        <w:t>。</w:t>
      </w:r>
      <w:r>
        <w:rPr>
          <w:rFonts w:ascii="Times New Roman" w:eastAsia="Times New Roman"/>
          <w:sz w:val="24"/>
          <w:vertAlign w:val="baseline"/>
        </w:rPr>
        <w:t>4</w:t>
      </w:r>
      <w:r>
        <w:rPr>
          <w:sz w:val="24"/>
          <w:vertAlign w:val="baseline"/>
        </w:rPr>
        <w:t>、桥梁设计</w:t>
      </w:r>
    </w:p>
    <w:p>
      <w:pPr>
        <w:pStyle w:val="BodyText"/>
        <w:spacing w:line="303" w:lineRule="exact"/>
        <w:ind w:left="1848"/>
        <w:rPr>
          <w:rFonts w:ascii="Times New Roman" w:eastAsia="Times New Roman"/>
        </w:rPr>
      </w:pPr>
      <w:r>
        <w:t xml:space="preserve">根据工程布置，本次工程涉及桥梁共计 </w:t>
      </w:r>
      <w:r>
        <w:rPr>
          <w:rFonts w:ascii="Times New Roman" w:eastAsia="Times New Roman"/>
        </w:rPr>
        <w:t xml:space="preserve">4 </w:t>
      </w:r>
      <w:r>
        <w:t xml:space="preserve">座，其中四支沟拆除改建桥梁 </w:t>
      </w:r>
      <w:r>
        <w:rPr>
          <w:rFonts w:ascii="Times New Roman" w:eastAsia="Times New Roman"/>
        </w:rPr>
        <w:t>1</w:t>
      </w:r>
    </w:p>
    <w:p>
      <w:pPr>
        <w:pStyle w:val="BodyText"/>
        <w:spacing w:before="147"/>
        <w:ind w:left="1368"/>
        <w:jc w:val="both"/>
      </w:pPr>
      <w:r>
        <w:t xml:space="preserve">座、站前沟新建桥梁 </w:t>
      </w:r>
      <w:r>
        <w:rPr>
          <w:rFonts w:ascii="Times New Roman" w:eastAsia="Times New Roman"/>
        </w:rPr>
        <w:t xml:space="preserve">3 </w:t>
      </w:r>
      <w:r>
        <w:t>座。</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spacing w:before="60"/>
        <w:ind w:left="551" w:right="0" w:firstLine="0"/>
        <w:jc w:val="left"/>
        <w:rPr>
          <w:sz w:val="28"/>
        </w:rPr>
      </w:pPr>
      <w:r>
        <w:rPr>
          <w:sz w:val="28"/>
        </w:rPr>
        <w:t>—</w:t>
      </w:r>
      <w:r>
        <w:rPr>
          <w:sz w:val="26"/>
        </w:rPr>
        <w:t>27</w:t>
      </w:r>
      <w:r>
        <w:rPr>
          <w:sz w:val="28"/>
        </w:rPr>
        <w:t>—</w:t>
      </w:r>
    </w:p>
    <w:p>
      <w:pPr>
        <w:spacing w:after="0"/>
        <w:jc w:val="left"/>
        <w:rPr>
          <w:sz w:val="28"/>
        </w:rPr>
        <w:sectPr>
          <w:pgSz w:w="11910" w:h="16840"/>
          <w:pgMar w:top="1580" w:right="820" w:bottom="280" w:left="980" w:header="720" w:footer="720" w:gutter="0"/>
          <w:pgNumType w:start="32"/>
          <w:cols w:num="1" w:space="720"/>
        </w:sectPr>
      </w:pPr>
    </w:p>
    <w:p>
      <w:pPr>
        <w:pStyle w:val="BodyText"/>
        <w:spacing w:before="11"/>
        <w:rPr>
          <w:sz w:val="7"/>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8206"/>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3197"/>
        </w:trPr>
        <w:tc>
          <w:tcPr>
            <w:tcW w:w="783" w:type="dxa"/>
            <w:tcBorders>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34"/>
              </w:rPr>
            </w:pPr>
          </w:p>
          <w:p>
            <w:pPr>
              <w:pStyle w:val="TableParagraph"/>
              <w:spacing w:line="244" w:lineRule="auto"/>
              <w:ind w:left="148" w:right="137"/>
              <w:jc w:val="both"/>
              <w:rPr>
                <w:sz w:val="24"/>
              </w:rPr>
            </w:pPr>
            <w:r>
              <w:rPr>
                <w:sz w:val="24"/>
              </w:rPr>
              <w:t>总平面及现场布置</w:t>
            </w:r>
          </w:p>
        </w:tc>
        <w:tc>
          <w:tcPr>
            <w:tcW w:w="8206" w:type="dxa"/>
            <w:tcBorders>
              <w:left w:val="single" w:sz="4" w:space="0" w:color="000000"/>
            </w:tcBorders>
          </w:tcPr>
          <w:p>
            <w:pPr>
              <w:pStyle w:val="TableParagraph"/>
              <w:spacing w:before="124"/>
              <w:ind w:left="590"/>
              <w:rPr>
                <w:b/>
                <w:sz w:val="24"/>
              </w:rPr>
            </w:pPr>
            <w:r>
              <w:rPr>
                <w:b/>
                <w:sz w:val="24"/>
              </w:rPr>
              <w:t>工程布局：</w:t>
            </w:r>
            <w:r>
              <w:rPr>
                <w:b/>
                <w:w w:val="99"/>
                <w:sz w:val="24"/>
              </w:rPr>
              <w:t xml:space="preserve"> </w:t>
            </w:r>
          </w:p>
          <w:p>
            <w:pPr>
              <w:pStyle w:val="TableParagraph"/>
              <w:spacing w:before="158" w:line="364" w:lineRule="auto"/>
              <w:ind w:left="110" w:right="158" w:firstLine="480"/>
              <w:jc w:val="both"/>
              <w:rPr>
                <w:sz w:val="24"/>
              </w:rPr>
            </w:pPr>
            <w:r>
              <w:rPr>
                <w:sz w:val="24"/>
              </w:rPr>
              <w:t xml:space="preserve">本次工程位于山东省德州市经济技术开发区管辖范围内，涉及四支沟综合治理、站前沟综合治理、杨庄河综合治理、长河公园与岔河连通工程、岔河减河堤顶路改造工程五部分，共清淤疏浚河道 </w:t>
            </w:r>
            <w:r>
              <w:rPr>
                <w:rFonts w:ascii="Times New Roman" w:eastAsia="Times New Roman"/>
                <w:sz w:val="24"/>
              </w:rPr>
              <w:t>15.1km</w:t>
            </w:r>
            <w:r>
              <w:rPr>
                <w:sz w:val="24"/>
              </w:rPr>
              <w:t xml:space="preserve">，挡墙 </w:t>
            </w:r>
            <w:r>
              <w:rPr>
                <w:rFonts w:ascii="Times New Roman" w:eastAsia="Times New Roman"/>
                <w:sz w:val="24"/>
              </w:rPr>
              <w:t>3.9km</w:t>
            </w:r>
            <w:r>
              <w:rPr>
                <w:sz w:val="24"/>
              </w:rPr>
              <w:t>，</w:t>
            </w:r>
          </w:p>
          <w:p>
            <w:pPr>
              <w:pStyle w:val="TableParagraph"/>
              <w:spacing w:line="362" w:lineRule="auto"/>
              <w:ind w:left="110" w:right="117" w:firstLine="480"/>
              <w:rPr>
                <w:sz w:val="24"/>
              </w:rPr>
            </w:pPr>
            <w:r>
              <w:rPr>
                <w:spacing w:val="-7"/>
                <w:sz w:val="24"/>
              </w:rPr>
              <w:t xml:space="preserve">绿化景观健康步道 </w:t>
            </w:r>
            <w:r>
              <w:rPr>
                <w:rFonts w:ascii="Times New Roman" w:eastAsia="Times New Roman"/>
                <w:spacing w:val="-5"/>
                <w:sz w:val="24"/>
              </w:rPr>
              <w:t>7.8km</w:t>
            </w:r>
            <w:r>
              <w:rPr>
                <w:spacing w:val="-11"/>
                <w:sz w:val="24"/>
              </w:rPr>
              <w:t xml:space="preserve">，堤顶路改造 </w:t>
            </w:r>
            <w:r>
              <w:rPr>
                <w:rFonts w:ascii="Times New Roman" w:eastAsia="Times New Roman"/>
                <w:spacing w:val="-5"/>
                <w:sz w:val="24"/>
              </w:rPr>
              <w:t>4km</w:t>
            </w:r>
            <w:r>
              <w:rPr>
                <w:spacing w:val="-9"/>
                <w:sz w:val="24"/>
              </w:rPr>
              <w:t xml:space="preserve">，水环境综合治理 </w:t>
            </w:r>
            <w:r>
              <w:rPr>
                <w:rFonts w:ascii="Times New Roman" w:eastAsia="Times New Roman"/>
                <w:spacing w:val="-5"/>
                <w:sz w:val="24"/>
              </w:rPr>
              <w:t>1.4km</w:t>
            </w:r>
            <w:r>
              <w:rPr>
                <w:spacing w:val="-21"/>
                <w:sz w:val="24"/>
              </w:rPr>
              <w:t xml:space="preserve">，新建闸 </w:t>
            </w:r>
            <w:r>
              <w:rPr>
                <w:rFonts w:ascii="Times New Roman" w:eastAsia="Times New Roman"/>
                <w:sz w:val="24"/>
              </w:rPr>
              <w:t xml:space="preserve">2 </w:t>
            </w:r>
            <w:r>
              <w:rPr>
                <w:spacing w:val="-9"/>
                <w:sz w:val="24"/>
              </w:rPr>
              <w:t xml:space="preserve">座，新建泵站 </w:t>
            </w:r>
            <w:r>
              <w:rPr>
                <w:rFonts w:ascii="Times New Roman" w:eastAsia="Times New Roman"/>
                <w:sz w:val="24"/>
              </w:rPr>
              <w:t xml:space="preserve">1 </w:t>
            </w:r>
            <w:r>
              <w:rPr>
                <w:spacing w:val="-9"/>
                <w:sz w:val="24"/>
              </w:rPr>
              <w:t xml:space="preserve">座，新建涵洞 </w:t>
            </w:r>
            <w:r>
              <w:rPr>
                <w:rFonts w:ascii="Times New Roman" w:eastAsia="Times New Roman"/>
                <w:sz w:val="24"/>
              </w:rPr>
              <w:t xml:space="preserve">1 </w:t>
            </w:r>
            <w:r>
              <w:rPr>
                <w:spacing w:val="-9"/>
                <w:sz w:val="24"/>
              </w:rPr>
              <w:t xml:space="preserve">座，新建桥梁 </w:t>
            </w:r>
            <w:r>
              <w:rPr>
                <w:rFonts w:ascii="Times New Roman" w:eastAsia="Times New Roman"/>
                <w:sz w:val="24"/>
              </w:rPr>
              <w:t xml:space="preserve">3 </w:t>
            </w:r>
            <w:r>
              <w:rPr>
                <w:spacing w:val="-7"/>
                <w:sz w:val="24"/>
              </w:rPr>
              <w:t xml:space="preserve">座，拆除重建桥梁 </w:t>
            </w:r>
            <w:r>
              <w:rPr>
                <w:rFonts w:ascii="Times New Roman" w:eastAsia="Times New Roman"/>
                <w:sz w:val="24"/>
              </w:rPr>
              <w:t xml:space="preserve">1 </w:t>
            </w:r>
            <w:r>
              <w:rPr>
                <w:sz w:val="24"/>
              </w:rPr>
              <w:t>座。具体工程建设内容为：</w:t>
            </w:r>
          </w:p>
          <w:p>
            <w:pPr>
              <w:pStyle w:val="TableParagraph"/>
              <w:spacing w:before="4" w:line="364" w:lineRule="auto"/>
              <w:ind w:left="110" w:right="88" w:firstLine="480"/>
              <w:rPr>
                <w:sz w:val="24"/>
              </w:rPr>
            </w:pPr>
            <w:r>
              <w:rPr>
                <w:sz w:val="24"/>
              </w:rPr>
              <w:t>四支沟综合治理范围自入马赞河口～</w:t>
            </w:r>
            <w:r>
              <w:rPr>
                <w:spacing w:val="-13"/>
                <w:sz w:val="24"/>
              </w:rPr>
              <w:t xml:space="preserve">入减河口，治理长度为 </w:t>
            </w:r>
            <w:r>
              <w:rPr>
                <w:rFonts w:ascii="Times New Roman" w:eastAsia="Times New Roman"/>
                <w:sz w:val="24"/>
              </w:rPr>
              <w:t>6.2km</w:t>
            </w:r>
            <w:r>
              <w:rPr>
                <w:spacing w:val="-25"/>
                <w:sz w:val="24"/>
              </w:rPr>
              <w:t>。工程</w:t>
            </w:r>
            <w:r>
              <w:rPr>
                <w:spacing w:val="-6"/>
                <w:sz w:val="24"/>
              </w:rPr>
              <w:t xml:space="preserve">内容包括河道清淤疏浚 </w:t>
            </w:r>
            <w:r>
              <w:rPr>
                <w:rFonts w:ascii="Times New Roman" w:eastAsia="Times New Roman"/>
                <w:sz w:val="24"/>
              </w:rPr>
              <w:t>6.2km</w:t>
            </w:r>
            <w:r>
              <w:rPr>
                <w:spacing w:val="-16"/>
                <w:sz w:val="24"/>
              </w:rPr>
              <w:t xml:space="preserve">，南岸 </w:t>
            </w:r>
            <w:r>
              <w:rPr>
                <w:rFonts w:ascii="Times New Roman" w:eastAsia="Times New Roman"/>
                <w:spacing w:val="3"/>
                <w:sz w:val="24"/>
              </w:rPr>
              <w:t xml:space="preserve">10m </w:t>
            </w:r>
            <w:r>
              <w:rPr>
                <w:spacing w:val="-7"/>
                <w:sz w:val="24"/>
              </w:rPr>
              <w:t xml:space="preserve">宽绿化景观健康步道 </w:t>
            </w:r>
            <w:r>
              <w:rPr>
                <w:rFonts w:ascii="Times New Roman" w:eastAsia="Times New Roman"/>
                <w:sz w:val="24"/>
              </w:rPr>
              <w:t>6.2km</w:t>
            </w:r>
            <w:r>
              <w:rPr>
                <w:sz w:val="24"/>
              </w:rPr>
              <w:t>；拆除</w:t>
            </w:r>
            <w:r>
              <w:rPr>
                <w:spacing w:val="-3"/>
                <w:sz w:val="24"/>
              </w:rPr>
              <w:t xml:space="preserve">重建避雪店沟桥，西端入减河口处新建排涝泵站 </w:t>
            </w:r>
            <w:r>
              <w:rPr>
                <w:rFonts w:ascii="Times New Roman" w:eastAsia="Times New Roman"/>
                <w:sz w:val="24"/>
              </w:rPr>
              <w:t xml:space="preserve">1 </w:t>
            </w:r>
            <w:r>
              <w:rPr>
                <w:sz w:val="24"/>
              </w:rPr>
              <w:t>座。四支沟水环境综合治</w:t>
            </w:r>
            <w:r>
              <w:rPr>
                <w:spacing w:val="-5"/>
                <w:sz w:val="24"/>
              </w:rPr>
              <w:t xml:space="preserve">理与再生水资源循环利用工程 </w:t>
            </w:r>
            <w:r>
              <w:rPr>
                <w:rFonts w:ascii="Times New Roman" w:eastAsia="Times New Roman"/>
                <w:spacing w:val="-3"/>
                <w:sz w:val="24"/>
              </w:rPr>
              <w:t>1.4km</w:t>
            </w:r>
            <w:r>
              <w:rPr>
                <w:spacing w:val="-1"/>
                <w:sz w:val="24"/>
              </w:rPr>
              <w:t>，范围自尚德三路与崇德五大道交叉口</w:t>
            </w:r>
            <w:r>
              <w:rPr>
                <w:rFonts w:ascii="Times New Roman" w:eastAsia="Times New Roman"/>
                <w:spacing w:val="-14"/>
                <w:sz w:val="24"/>
              </w:rPr>
              <w:t xml:space="preserve">~ </w:t>
            </w:r>
            <w:r>
              <w:rPr>
                <w:sz w:val="24"/>
              </w:rPr>
              <w:t>减河东大道。</w:t>
            </w:r>
          </w:p>
          <w:p>
            <w:pPr>
              <w:pStyle w:val="TableParagraph"/>
              <w:spacing w:before="2" w:line="364" w:lineRule="auto"/>
              <w:ind w:left="110" w:right="-29" w:firstLine="480"/>
              <w:rPr>
                <w:sz w:val="24"/>
              </w:rPr>
            </w:pPr>
            <w:r>
              <w:rPr>
                <w:sz w:val="24"/>
              </w:rPr>
              <w:t>站前沟综合治理范围自入杨庄河口～</w:t>
            </w:r>
            <w:r>
              <w:rPr>
                <w:spacing w:val="-5"/>
                <w:sz w:val="24"/>
              </w:rPr>
              <w:t xml:space="preserve">入减马横河口，治理长度为 </w:t>
            </w:r>
            <w:r>
              <w:rPr>
                <w:rFonts w:ascii="Times New Roman" w:eastAsia="Times New Roman"/>
                <w:sz w:val="24"/>
              </w:rPr>
              <w:t>3.9km</w:t>
            </w:r>
            <w:r>
              <w:rPr>
                <w:spacing w:val="-14"/>
                <w:sz w:val="24"/>
              </w:rPr>
              <w:t>。</w:t>
            </w:r>
            <w:r>
              <w:rPr>
                <w:spacing w:val="-5"/>
                <w:sz w:val="24"/>
              </w:rPr>
              <w:t xml:space="preserve">工程内容包括河道清淤疏浚 </w:t>
            </w:r>
            <w:r>
              <w:rPr>
                <w:rFonts w:ascii="Times New Roman" w:eastAsia="Times New Roman"/>
                <w:sz w:val="24"/>
              </w:rPr>
              <w:t>3.9km</w:t>
            </w:r>
            <w:r>
              <w:rPr>
                <w:spacing w:val="-10"/>
                <w:sz w:val="24"/>
              </w:rPr>
              <w:t xml:space="preserve">，挡墙工程 </w:t>
            </w:r>
            <w:r>
              <w:rPr>
                <w:rFonts w:ascii="Times New Roman" w:eastAsia="Times New Roman"/>
                <w:sz w:val="24"/>
              </w:rPr>
              <w:t>3.9km</w:t>
            </w:r>
            <w:r>
              <w:rPr>
                <w:spacing w:val="-15"/>
                <w:sz w:val="24"/>
              </w:rPr>
              <w:t xml:space="preserve">；西岸 </w:t>
            </w:r>
            <w:r>
              <w:rPr>
                <w:rFonts w:ascii="Times New Roman" w:eastAsia="Times New Roman"/>
                <w:sz w:val="24"/>
              </w:rPr>
              <w:t>10m</w:t>
            </w:r>
            <w:r>
              <w:rPr>
                <w:rFonts w:ascii="Times New Roman" w:eastAsia="Times New Roman"/>
                <w:spacing w:val="-7"/>
                <w:sz w:val="24"/>
              </w:rPr>
              <w:t xml:space="preserve"> </w:t>
            </w:r>
            <w:r>
              <w:rPr>
                <w:sz w:val="24"/>
              </w:rPr>
              <w:t>宽绿化景观</w:t>
            </w:r>
            <w:r>
              <w:rPr>
                <w:spacing w:val="-13"/>
                <w:sz w:val="24"/>
              </w:rPr>
              <w:t xml:space="preserve">健康步道 </w:t>
            </w:r>
            <w:r>
              <w:rPr>
                <w:rFonts w:ascii="Times New Roman" w:eastAsia="Times New Roman"/>
                <w:sz w:val="24"/>
              </w:rPr>
              <w:t>1</w:t>
            </w:r>
            <w:r>
              <w:rPr>
                <w:rFonts w:ascii="Times New Roman" w:eastAsia="Times New Roman"/>
                <w:spacing w:val="2"/>
                <w:sz w:val="24"/>
              </w:rPr>
              <w:t>.</w:t>
            </w:r>
            <w:r>
              <w:rPr>
                <w:rFonts w:ascii="Times New Roman" w:eastAsia="Times New Roman"/>
                <w:sz w:val="24"/>
              </w:rPr>
              <w:t>8k</w:t>
            </w:r>
            <w:r>
              <w:rPr>
                <w:rFonts w:ascii="Times New Roman" w:eastAsia="Times New Roman"/>
                <w:spacing w:val="-9"/>
                <w:sz w:val="24"/>
              </w:rPr>
              <w:t>m</w:t>
            </w:r>
            <w:r>
              <w:rPr>
                <w:spacing w:val="-15"/>
                <w:sz w:val="24"/>
              </w:rPr>
              <w:t>，范围自入杨庄河口</w:t>
            </w:r>
            <w:r>
              <w:rPr>
                <w:sz w:val="24"/>
              </w:rPr>
              <w:t>～</w:t>
            </w:r>
            <w:r>
              <w:rPr>
                <w:spacing w:val="-15"/>
                <w:sz w:val="24"/>
              </w:rPr>
              <w:t xml:space="preserve">马颊河路；东岸新建生态健康步道 </w:t>
            </w:r>
            <w:r>
              <w:rPr>
                <w:rFonts w:ascii="Times New Roman" w:eastAsia="Times New Roman"/>
                <w:spacing w:val="-4"/>
                <w:sz w:val="24"/>
              </w:rPr>
              <w:t>1</w:t>
            </w:r>
            <w:r>
              <w:rPr>
                <w:rFonts w:ascii="Times New Roman" w:eastAsia="Times New Roman"/>
                <w:spacing w:val="0"/>
                <w:sz w:val="24"/>
              </w:rPr>
              <w:t>k</w:t>
            </w:r>
            <w:r>
              <w:rPr>
                <w:rFonts w:ascii="Times New Roman" w:eastAsia="Times New Roman"/>
                <w:spacing w:val="-13"/>
                <w:sz w:val="24"/>
              </w:rPr>
              <w:t>m</w:t>
            </w:r>
            <w:r>
              <w:rPr>
                <w:spacing w:val="-4"/>
                <w:sz w:val="24"/>
              </w:rPr>
              <w:t>，</w:t>
            </w:r>
            <w:r>
              <w:rPr>
                <w:spacing w:val="-8"/>
                <w:sz w:val="24"/>
              </w:rPr>
              <w:t xml:space="preserve">范围自杨庄河至德州东高铁站；新开挖明渠 </w:t>
            </w:r>
            <w:r>
              <w:rPr>
                <w:rFonts w:ascii="Times New Roman" w:eastAsia="Times New Roman"/>
                <w:spacing w:val="-11"/>
                <w:sz w:val="24"/>
              </w:rPr>
              <w:t>0.6km</w:t>
            </w:r>
            <w:r>
              <w:rPr>
                <w:spacing w:val="-3"/>
                <w:sz w:val="24"/>
              </w:rPr>
              <w:t>，范围为入减马横河口上游</w:t>
            </w:r>
            <w:r>
              <w:rPr>
                <w:rFonts w:ascii="Times New Roman" w:eastAsia="Times New Roman"/>
                <w:spacing w:val="-3"/>
                <w:sz w:val="24"/>
              </w:rPr>
              <w:t>0.6km</w:t>
            </w:r>
            <w:r>
              <w:rPr>
                <w:rFonts w:ascii="Times New Roman" w:eastAsia="Times New Roman"/>
                <w:spacing w:val="-10"/>
                <w:sz w:val="24"/>
              </w:rPr>
              <w:t xml:space="preserve"> </w:t>
            </w:r>
            <w:r>
              <w:rPr>
                <w:spacing w:val="-4"/>
                <w:sz w:val="24"/>
              </w:rPr>
              <w:t xml:space="preserve">段；北端入杨庄河口处新建闸 </w:t>
            </w:r>
            <w:r>
              <w:rPr>
                <w:rFonts w:ascii="Times New Roman" w:eastAsia="Times New Roman"/>
                <w:sz w:val="24"/>
              </w:rPr>
              <w:t>1</w:t>
            </w:r>
            <w:r>
              <w:rPr>
                <w:rFonts w:ascii="Times New Roman" w:eastAsia="Times New Roman"/>
                <w:spacing w:val="-2"/>
                <w:sz w:val="24"/>
              </w:rPr>
              <w:t xml:space="preserve"> </w:t>
            </w:r>
            <w:r>
              <w:rPr>
                <w:spacing w:val="-4"/>
                <w:sz w:val="24"/>
              </w:rPr>
              <w:t xml:space="preserve">座，德州理工学院处新建排涝闸 </w:t>
            </w:r>
            <w:r>
              <w:rPr>
                <w:rFonts w:ascii="Times New Roman" w:eastAsia="Times New Roman"/>
                <w:sz w:val="24"/>
              </w:rPr>
              <w:t>1</w:t>
            </w:r>
            <w:r>
              <w:rPr>
                <w:rFonts w:ascii="Times New Roman" w:eastAsia="Times New Roman"/>
                <w:spacing w:val="-2"/>
                <w:sz w:val="24"/>
              </w:rPr>
              <w:t xml:space="preserve"> </w:t>
            </w:r>
            <w:r>
              <w:rPr>
                <w:spacing w:val="-6"/>
                <w:sz w:val="24"/>
              </w:rPr>
              <w:t>座，</w:t>
            </w:r>
          </w:p>
          <w:p>
            <w:pPr>
              <w:pStyle w:val="TableParagraph"/>
              <w:spacing w:line="304" w:lineRule="exact"/>
              <w:ind w:left="110"/>
              <w:rPr>
                <w:sz w:val="24"/>
              </w:rPr>
            </w:pPr>
            <w:r>
              <w:rPr>
                <w:sz w:val="24"/>
              </w:rPr>
              <w:t xml:space="preserve">新建桥梁 </w:t>
            </w:r>
            <w:r>
              <w:rPr>
                <w:rFonts w:ascii="Times New Roman" w:eastAsia="Times New Roman"/>
                <w:sz w:val="24"/>
              </w:rPr>
              <w:t xml:space="preserve">3 </w:t>
            </w:r>
            <w:r>
              <w:rPr>
                <w:sz w:val="24"/>
              </w:rPr>
              <w:t>座。</w:t>
            </w:r>
          </w:p>
          <w:p>
            <w:pPr>
              <w:pStyle w:val="TableParagraph"/>
              <w:spacing w:before="158" w:line="367" w:lineRule="auto"/>
              <w:ind w:left="110" w:right="158" w:firstLine="480"/>
              <w:rPr>
                <w:sz w:val="24"/>
              </w:rPr>
            </w:pPr>
            <w:r>
              <w:rPr>
                <w:sz w:val="24"/>
              </w:rPr>
              <w:t xml:space="preserve">杨庄河综合治理范围为自减河东大道至崇德五大道，崇德七大道至马赞庄村南段，清淤疏浚长度为 </w:t>
            </w:r>
            <w:r>
              <w:rPr>
                <w:rFonts w:ascii="Times New Roman" w:eastAsia="Times New Roman"/>
                <w:sz w:val="24"/>
              </w:rPr>
              <w:t>5km</w:t>
            </w:r>
            <w:r>
              <w:rPr>
                <w:sz w:val="24"/>
              </w:rPr>
              <w:t>。</w:t>
            </w:r>
          </w:p>
          <w:p>
            <w:pPr>
              <w:pStyle w:val="TableParagraph"/>
              <w:spacing w:line="364" w:lineRule="auto"/>
              <w:ind w:left="110" w:right="158" w:firstLine="480"/>
              <w:rPr>
                <w:sz w:val="24"/>
              </w:rPr>
            </w:pPr>
            <w:r>
              <w:rPr>
                <w:sz w:val="24"/>
              </w:rPr>
              <w:t>长河公园与岔河连通工程位于长河公园与岔河连接处，工程内容是新建涵洞连通岔河与长河公园。</w:t>
            </w:r>
          </w:p>
          <w:p>
            <w:pPr>
              <w:pStyle w:val="TableParagraph"/>
              <w:spacing w:line="367" w:lineRule="auto"/>
              <w:ind w:left="110" w:right="85" w:firstLine="480"/>
              <w:rPr>
                <w:sz w:val="24"/>
              </w:rPr>
            </w:pPr>
            <w:r>
              <w:rPr>
                <w:sz w:val="24"/>
              </w:rPr>
              <w:t xml:space="preserve">岔河、减河堤顶路改造工程包括堤顶路改造 </w:t>
            </w:r>
            <w:r>
              <w:rPr>
                <w:rFonts w:ascii="Times New Roman" w:eastAsia="Times New Roman"/>
                <w:sz w:val="24"/>
              </w:rPr>
              <w:t>4km</w:t>
            </w:r>
            <w:r>
              <w:rPr>
                <w:sz w:val="24"/>
              </w:rPr>
              <w:t xml:space="preserve">，主要是对现状堤顶土路提升改造。 </w:t>
            </w:r>
          </w:p>
          <w:p>
            <w:pPr>
              <w:pStyle w:val="TableParagraph"/>
              <w:spacing w:line="303" w:lineRule="exact"/>
              <w:ind w:left="590"/>
              <w:rPr>
                <w:b/>
                <w:sz w:val="24"/>
              </w:rPr>
            </w:pPr>
            <w:r>
              <w:rPr>
                <w:b/>
                <w:sz w:val="24"/>
              </w:rPr>
              <w:t>施工总布置：</w:t>
            </w:r>
          </w:p>
          <w:p>
            <w:pPr>
              <w:pStyle w:val="TableParagraph"/>
              <w:spacing w:before="150"/>
              <w:ind w:left="590"/>
              <w:rPr>
                <w:sz w:val="24"/>
              </w:rPr>
            </w:pPr>
            <w:r>
              <w:rPr>
                <w:rFonts w:ascii="Times New Roman" w:eastAsia="Times New Roman"/>
                <w:sz w:val="24"/>
              </w:rPr>
              <w:t>1</w:t>
            </w:r>
            <w:r>
              <w:rPr>
                <w:sz w:val="24"/>
              </w:rPr>
              <w:t>、布置原则</w:t>
            </w:r>
          </w:p>
          <w:p>
            <w:pPr>
              <w:pStyle w:val="TableParagraph"/>
              <w:spacing w:before="22" w:line="470" w:lineRule="exact"/>
              <w:ind w:left="110" w:right="26" w:firstLine="480"/>
              <w:rPr>
                <w:sz w:val="24"/>
              </w:rPr>
            </w:pPr>
            <w:r>
              <w:rPr>
                <w:sz w:val="24"/>
              </w:rPr>
              <w:t>（</w:t>
            </w:r>
            <w:r>
              <w:rPr>
                <w:rFonts w:ascii="Times New Roman" w:eastAsia="Times New Roman"/>
                <w:sz w:val="24"/>
              </w:rPr>
              <w:t>1</w:t>
            </w:r>
            <w:r>
              <w:rPr>
                <w:sz w:val="24"/>
              </w:rPr>
              <w:t>）工程布置时充分考虑施工期洪水的影响，合理利用工程区附近的有利地形。</w:t>
            </w:r>
          </w:p>
        </w:tc>
      </w:tr>
    </w:tbl>
    <w:p>
      <w:pPr>
        <w:pStyle w:val="BodyText"/>
        <w:rPr>
          <w:sz w:val="20"/>
        </w:rPr>
      </w:pPr>
    </w:p>
    <w:p>
      <w:pPr>
        <w:pStyle w:val="BodyText"/>
        <w:rPr>
          <w:sz w:val="20"/>
        </w:rPr>
      </w:pPr>
    </w:p>
    <w:p>
      <w:pPr>
        <w:pStyle w:val="BodyText"/>
        <w:spacing w:before="7"/>
        <w:rPr>
          <w:sz w:val="21"/>
        </w:rPr>
      </w:pPr>
    </w:p>
    <w:p>
      <w:pPr>
        <w:spacing w:before="60"/>
        <w:ind w:left="0" w:right="705" w:firstLine="0"/>
        <w:jc w:val="right"/>
        <w:rPr>
          <w:sz w:val="28"/>
        </w:rPr>
      </w:pPr>
      <w:r>
        <w:rPr>
          <w:sz w:val="28"/>
        </w:rPr>
        <w:t>—</w:t>
      </w:r>
      <w:r>
        <w:rPr>
          <w:sz w:val="26"/>
        </w:rPr>
        <w:t>28</w:t>
      </w:r>
      <w:r>
        <w:rPr>
          <w:sz w:val="28"/>
        </w:rPr>
        <w:t>—</w:t>
      </w:r>
    </w:p>
    <w:p>
      <w:pPr>
        <w:spacing w:after="0"/>
        <w:jc w:val="right"/>
        <w:rPr>
          <w:sz w:val="28"/>
        </w:rPr>
        <w:sectPr>
          <w:pgSz w:w="11910" w:h="16840"/>
          <w:pgMar w:top="1580" w:right="820" w:bottom="280" w:left="980" w:header="720" w:footer="720" w:gutter="0"/>
          <w:pgNumType w:start="33"/>
          <w:cols w:num="1" w:space="720"/>
        </w:sectPr>
      </w:pPr>
    </w:p>
    <w:p>
      <w:pPr>
        <w:pStyle w:val="ListParagraph"/>
        <w:numPr>
          <w:ilvl w:val="0"/>
          <w:numId w:val="13"/>
        </w:numPr>
        <w:tabs>
          <w:tab w:val="left" w:pos="2450"/>
        </w:tabs>
        <w:spacing w:before="125" w:after="0" w:line="362" w:lineRule="auto"/>
        <w:ind w:left="1368" w:right="746" w:firstLine="480"/>
        <w:jc w:val="left"/>
        <w:rPr>
          <w:sz w:val="24"/>
        </w:rPr>
      </w:pPr>
      <w:r>
        <w:pict>
          <v:group id="_x0000_s1073" o:spid="_x0000_s1063" style="width:450.45pt;height:672.2pt;margin-top:84.95pt;margin-left:72.5pt;mso-height-relative:page;mso-position-horizontal-relative:page;mso-position-vertical-relative:page;mso-width-relative:page;position:absolute;z-index:-251655168" coordorigin="1450,1700" coordsize="9009,13444">
            <v:rect id="_x0000_s1074" o:spid="_x0000_s1064" style="width:20;height:20;left:1450;position:absolute;top:1699" coordsize="21600,21600" filled="t" fillcolor="black" stroked="f"/>
            <v:line id="_x0000_s1075" o:spid="_x0000_s1065" style="position:absolute" from="1469,1709" to="2238,1709" coordsize="21600,21600" stroked="t" strokecolor="black"/>
            <v:rect id="_x0000_s1076" o:spid="_x0000_s1066" style="width:20;height:20;left:2237;position:absolute;top:1699" coordsize="21600,21600" filled="t" fillcolor="black" stroked="f"/>
            <v:line id="_x0000_s1077" o:spid="_x0000_s1067" style="position:absolute" from="2257,1709" to="10439,1709" coordsize="21600,21600" stroked="t" strokecolor="black"/>
            <v:rect id="_x0000_s1078" o:spid="_x0000_s1068" style="width:20;height:20;left:10439;position:absolute;top:1699" coordsize="21600,21600" filled="t" fillcolor="black" stroked="f"/>
            <v:line id="_x0000_s1079" o:spid="_x0000_s1069" style="position:absolute" from="1460,1719" to="1460,15124" coordsize="21600,21600" stroked="t" strokecolor="black"/>
            <v:rect id="_x0000_s1080" o:spid="_x0000_s1070" style="width:20;height:20;left:1450;position:absolute;top:15123" coordsize="21600,21600" filled="t" fillcolor="black" stroked="f"/>
            <v:line id="_x0000_s1081" o:spid="_x0000_s1071" style="position:absolute" from="1469,15133" to="2238,15133" coordsize="21600,21600" stroked="t" strokecolor="black"/>
            <v:line id="_x0000_s1082" o:spid="_x0000_s1072" style="position:absolute" from="2243,1719" to="2243,15124" coordsize="21600,21600" stroked="t" strokecolor="black"/>
            <v:rect id="_x0000_s1083" o:spid="_x0000_s1073" style="width:20;height:20;left:2237;position:absolute;top:15123" coordsize="21600,21600" filled="t" fillcolor="black" stroked="f"/>
            <v:line id="_x0000_s1084" o:spid="_x0000_s1074" style="position:absolute" from="2257,15133" to="10439,15133" coordsize="21600,21600" stroked="t" strokecolor="black"/>
            <v:line id="_x0000_s1085" o:spid="_x0000_s1075" style="position:absolute" from="10449,1719" to="10449,15124" coordsize="21600,21600" stroked="t" strokecolor="black"/>
            <v:rect id="_x0000_s1086" o:spid="_x0000_s1076" style="width:20;height:20;left:10439;position:absolute;top:15123" coordsize="21600,21600" filled="t" fillcolor="black" stroked="f"/>
          </v:group>
        </w:pict>
      </w:r>
      <w:r>
        <w:rPr>
          <w:spacing w:val="-6"/>
          <w:sz w:val="24"/>
        </w:rPr>
        <w:t>遵循有利生产、方便生活、易于管理的原则，施工布置力求紧凑合</w:t>
      </w:r>
      <w:r>
        <w:rPr>
          <w:sz w:val="24"/>
        </w:rPr>
        <w:t>理，交通运输畅通，占用耕地少，相互干扰小，符合环保要求。</w:t>
      </w:r>
    </w:p>
    <w:p>
      <w:pPr>
        <w:pStyle w:val="ListParagraph"/>
        <w:numPr>
          <w:ilvl w:val="0"/>
          <w:numId w:val="13"/>
        </w:numPr>
        <w:tabs>
          <w:tab w:val="left" w:pos="2450"/>
        </w:tabs>
        <w:spacing w:before="3" w:after="0" w:line="240" w:lineRule="auto"/>
        <w:ind w:left="2449" w:right="0" w:hanging="602"/>
        <w:jc w:val="left"/>
        <w:rPr>
          <w:sz w:val="24"/>
        </w:rPr>
      </w:pPr>
      <w:r>
        <w:rPr>
          <w:spacing w:val="-7"/>
          <w:sz w:val="24"/>
        </w:rPr>
        <w:t>充分利用当地可为工程服务的建筑、加工制造、修配及运输等企业。</w:t>
      </w:r>
    </w:p>
    <w:p>
      <w:pPr>
        <w:pStyle w:val="ListParagraph"/>
        <w:numPr>
          <w:ilvl w:val="0"/>
          <w:numId w:val="13"/>
        </w:numPr>
        <w:tabs>
          <w:tab w:val="left" w:pos="2450"/>
        </w:tabs>
        <w:spacing w:before="158" w:after="0" w:line="240" w:lineRule="auto"/>
        <w:ind w:left="2449" w:right="0" w:hanging="602"/>
        <w:jc w:val="left"/>
        <w:rPr>
          <w:sz w:val="24"/>
        </w:rPr>
      </w:pPr>
      <w:r>
        <w:rPr>
          <w:sz w:val="24"/>
        </w:rPr>
        <w:t>结合当地及有关部门对工程施工的要求。</w:t>
      </w:r>
    </w:p>
    <w:p>
      <w:pPr>
        <w:pStyle w:val="BodyText"/>
        <w:spacing w:before="163"/>
        <w:ind w:left="1848"/>
      </w:pPr>
      <w:r>
        <w:rPr>
          <w:rFonts w:ascii="Times New Roman" w:eastAsia="Times New Roman"/>
        </w:rPr>
        <w:t>2</w:t>
      </w:r>
      <w:r>
        <w:t>、施工临时设施</w:t>
      </w:r>
    </w:p>
    <w:p>
      <w:pPr>
        <w:pStyle w:val="ListParagraph"/>
        <w:numPr>
          <w:ilvl w:val="0"/>
          <w:numId w:val="14"/>
        </w:numPr>
        <w:tabs>
          <w:tab w:val="left" w:pos="2450"/>
        </w:tabs>
        <w:spacing w:before="158" w:after="0" w:line="240" w:lineRule="auto"/>
        <w:ind w:left="2449" w:right="0" w:hanging="602"/>
        <w:jc w:val="left"/>
        <w:rPr>
          <w:sz w:val="24"/>
        </w:rPr>
      </w:pPr>
      <w:r>
        <w:rPr>
          <w:sz w:val="24"/>
        </w:rPr>
        <w:t>砂石料加工系统</w:t>
      </w:r>
    </w:p>
    <w:p>
      <w:pPr>
        <w:pStyle w:val="BodyText"/>
        <w:spacing w:before="159" w:line="364" w:lineRule="auto"/>
        <w:ind w:left="1368" w:right="751" w:firstLine="480"/>
        <w:jc w:val="both"/>
      </w:pPr>
      <w:r>
        <w:t>工程所用砂石料均采用外购解决，不再设置砂石料加工系统，因此施工期间只需设置成品料的堆放场即可。为了施工期间方便管理、便于调配，减少施工临时占地，节约工程投资，砂石料堆放区根据工程规模大小采用分段集中布设方式。</w:t>
      </w:r>
    </w:p>
    <w:p>
      <w:pPr>
        <w:pStyle w:val="ListParagraph"/>
        <w:numPr>
          <w:ilvl w:val="0"/>
          <w:numId w:val="14"/>
        </w:numPr>
        <w:tabs>
          <w:tab w:val="left" w:pos="2450"/>
        </w:tabs>
        <w:spacing w:before="0" w:after="0" w:line="306" w:lineRule="exact"/>
        <w:ind w:left="2449" w:right="0" w:hanging="602"/>
        <w:jc w:val="left"/>
        <w:rPr>
          <w:sz w:val="24"/>
        </w:rPr>
      </w:pPr>
      <w:r>
        <w:rPr>
          <w:sz w:val="24"/>
        </w:rPr>
        <w:t>混凝土加工系统</w:t>
      </w:r>
    </w:p>
    <w:p>
      <w:pPr>
        <w:pStyle w:val="BodyText"/>
        <w:spacing w:before="158" w:line="367" w:lineRule="auto"/>
        <w:ind w:left="1368" w:right="754" w:firstLine="480"/>
      </w:pPr>
      <w:r>
        <w:t>本工程所需混凝土全部自工程附近的商品混凝土生产厂家购买，不再单独布设混凝土加工系统。</w:t>
      </w:r>
    </w:p>
    <w:p>
      <w:pPr>
        <w:pStyle w:val="ListParagraph"/>
        <w:numPr>
          <w:ilvl w:val="0"/>
          <w:numId w:val="14"/>
        </w:numPr>
        <w:tabs>
          <w:tab w:val="left" w:pos="2450"/>
        </w:tabs>
        <w:spacing w:before="0" w:after="0" w:line="303" w:lineRule="exact"/>
        <w:ind w:left="2449" w:right="0" w:hanging="602"/>
        <w:jc w:val="left"/>
        <w:rPr>
          <w:sz w:val="24"/>
        </w:rPr>
      </w:pPr>
      <w:r>
        <w:rPr>
          <w:sz w:val="24"/>
        </w:rPr>
        <w:t>综合加工厂、机械修配厂</w:t>
      </w:r>
    </w:p>
    <w:p>
      <w:pPr>
        <w:pStyle w:val="BodyText"/>
        <w:spacing w:before="158" w:line="364" w:lineRule="auto"/>
        <w:ind w:left="1368" w:right="754" w:firstLine="480"/>
        <w:jc w:val="both"/>
      </w:pPr>
      <w:r>
        <w:t>本工程施工期间主要施工机械包括：土石方工程施工机械、混凝土工程施工机械以及材料加工运输机械，大型施工机械和汽车的大、中修理均在当地修理厂进行，大型施工机械和汽车的小修、保养工作及部分车辆停放可在各工程自建的机械修配厂内进行。</w:t>
      </w:r>
    </w:p>
    <w:p>
      <w:pPr>
        <w:pStyle w:val="BodyText"/>
        <w:spacing w:line="367" w:lineRule="auto"/>
        <w:ind w:left="1368" w:right="754" w:firstLine="480"/>
      </w:pPr>
      <w:r>
        <w:t>本工程综合加工厂包括：混凝土预制厂、钢筋加工厂、木材加工厂等； 施工仓库包括：水泥仓库、油料库和其他零星材料库等。</w:t>
      </w:r>
    </w:p>
    <w:p>
      <w:pPr>
        <w:pStyle w:val="BodyText"/>
        <w:spacing w:line="364" w:lineRule="auto"/>
        <w:ind w:left="1368" w:right="564" w:firstLine="480"/>
      </w:pPr>
      <w:r>
        <w:t>为了施工期间方便管理、便于调配，减少施工临时占地，节约工程投资， 机械修配及综合加工系统根据工程规模大小采用集中布设方式。</w:t>
      </w:r>
    </w:p>
    <w:p>
      <w:pPr>
        <w:pStyle w:val="ListParagraph"/>
        <w:numPr>
          <w:ilvl w:val="0"/>
          <w:numId w:val="14"/>
        </w:numPr>
        <w:tabs>
          <w:tab w:val="left" w:pos="2450"/>
        </w:tabs>
        <w:spacing w:before="0" w:after="0" w:line="305" w:lineRule="exact"/>
        <w:ind w:left="2449" w:right="0" w:hanging="602"/>
        <w:jc w:val="left"/>
        <w:rPr>
          <w:sz w:val="24"/>
        </w:rPr>
      </w:pPr>
      <w:r>
        <w:rPr>
          <w:sz w:val="24"/>
        </w:rPr>
        <w:t>生活区</w:t>
      </w:r>
    </w:p>
    <w:p>
      <w:pPr>
        <w:pStyle w:val="BodyText"/>
        <w:spacing w:before="156" w:line="362" w:lineRule="auto"/>
        <w:ind w:left="1368" w:right="754" w:firstLine="480"/>
      </w:pPr>
      <w:r>
        <w:t>施工临时生活区靠近综合加工厂、机械修配厂布置；或自工程区附近村镇租用民房。</w:t>
      </w:r>
    </w:p>
    <w:p>
      <w:pPr>
        <w:pStyle w:val="BodyText"/>
        <w:spacing w:before="3"/>
        <w:ind w:left="1848"/>
      </w:pPr>
      <w:r>
        <w:rPr>
          <w:rFonts w:ascii="Times New Roman" w:eastAsia="Times New Roman"/>
        </w:rPr>
        <w:t>2</w:t>
      </w:r>
      <w:r>
        <w:t>、土方挖填及拆除平衡</w:t>
      </w:r>
    </w:p>
    <w:p>
      <w:pPr>
        <w:pStyle w:val="BodyText"/>
        <w:spacing w:before="158"/>
        <w:ind w:left="1848"/>
      </w:pPr>
      <w:r>
        <w:t>（</w:t>
      </w:r>
      <w:r>
        <w:rPr>
          <w:rFonts w:ascii="Times New Roman" w:eastAsia="Times New Roman"/>
        </w:rPr>
        <w:t>1</w:t>
      </w:r>
      <w:r>
        <w:t>）土方及拆除工程概述</w:t>
      </w:r>
    </w:p>
    <w:p>
      <w:pPr>
        <w:pStyle w:val="BodyText"/>
        <w:spacing w:before="163"/>
        <w:ind w:left="1848"/>
      </w:pPr>
      <w:r>
        <w:t>根据本工程设计，经开区支流水系连通综合治理工程共开挖土方</w:t>
      </w:r>
    </w:p>
    <w:p>
      <w:pPr>
        <w:pStyle w:val="BodyText"/>
        <w:spacing w:before="158"/>
        <w:ind w:left="1368"/>
      </w:pPr>
      <w:r>
        <w:rPr>
          <w:rFonts w:ascii="Times New Roman" w:eastAsia="Times New Roman"/>
        </w:rPr>
        <w:t>840889m</w:t>
      </w:r>
      <w:r>
        <w:rPr>
          <w:rFonts w:ascii="Times New Roman" w:eastAsia="Times New Roman"/>
          <w:vertAlign w:val="superscript"/>
        </w:rPr>
        <w:t>3</w:t>
      </w:r>
      <w:r>
        <w:rPr>
          <w:vertAlign w:val="baseline"/>
        </w:rPr>
        <w:t xml:space="preserve">（自然方），回填土方 </w:t>
      </w:r>
      <w:r>
        <w:rPr>
          <w:rFonts w:ascii="Times New Roman" w:eastAsia="Times New Roman"/>
          <w:vertAlign w:val="baseline"/>
        </w:rPr>
        <w:t>323811m</w:t>
      </w:r>
      <w:r>
        <w:rPr>
          <w:rFonts w:ascii="Times New Roman" w:eastAsia="Times New Roman"/>
          <w:vertAlign w:val="superscript"/>
        </w:rPr>
        <w:t>3</w:t>
      </w:r>
      <w:r>
        <w:rPr>
          <w:vertAlign w:val="baseline"/>
        </w:rPr>
        <w:t xml:space="preserve">（实方），折 </w:t>
      </w:r>
      <w:r>
        <w:rPr>
          <w:rFonts w:ascii="Times New Roman" w:eastAsia="Times New Roman"/>
          <w:vertAlign w:val="baseline"/>
        </w:rPr>
        <w:t>380941m</w:t>
      </w:r>
      <w:r>
        <w:rPr>
          <w:rFonts w:ascii="Times New Roman" w:eastAsia="Times New Roman"/>
          <w:vertAlign w:val="superscript"/>
        </w:rPr>
        <w:t>3</w:t>
      </w:r>
      <w:r>
        <w:rPr>
          <w:vertAlign w:val="baseline"/>
        </w:rPr>
        <w:t>（自然方）；</w:t>
      </w:r>
    </w:p>
    <w:p>
      <w:pPr>
        <w:pStyle w:val="BodyText"/>
        <w:rPr>
          <w:sz w:val="20"/>
        </w:rPr>
      </w:pPr>
    </w:p>
    <w:p>
      <w:pPr>
        <w:pStyle w:val="BodyText"/>
        <w:spacing w:before="6"/>
        <w:rPr>
          <w:sz w:val="28"/>
        </w:rPr>
      </w:pPr>
    </w:p>
    <w:p>
      <w:pPr>
        <w:spacing w:before="59"/>
        <w:ind w:left="551" w:right="0" w:firstLine="0"/>
        <w:jc w:val="left"/>
        <w:rPr>
          <w:sz w:val="28"/>
        </w:rPr>
      </w:pPr>
      <w:r>
        <w:rPr>
          <w:sz w:val="28"/>
        </w:rPr>
        <w:t>—</w:t>
      </w:r>
      <w:r>
        <w:rPr>
          <w:sz w:val="26"/>
        </w:rPr>
        <w:t>29</w:t>
      </w:r>
      <w:r>
        <w:rPr>
          <w:sz w:val="28"/>
        </w:rPr>
        <w:t>—</w:t>
      </w:r>
    </w:p>
    <w:p>
      <w:pPr>
        <w:spacing w:after="0"/>
        <w:jc w:val="left"/>
        <w:rPr>
          <w:sz w:val="28"/>
        </w:rPr>
        <w:sectPr>
          <w:pgSz w:w="11910" w:h="16840"/>
          <w:pgMar w:top="1580" w:right="820" w:bottom="280" w:left="980" w:header="720" w:footer="720" w:gutter="0"/>
          <w:pgNumType w:start="34"/>
          <w:cols w:num="1" w:space="720"/>
        </w:sectPr>
      </w:pPr>
    </w:p>
    <w:p>
      <w:pPr>
        <w:pStyle w:val="BodyText"/>
        <w:spacing w:before="11"/>
        <w:rPr>
          <w:sz w:val="7"/>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133"/>
        <w:gridCol w:w="1978"/>
        <w:gridCol w:w="1989"/>
        <w:gridCol w:w="1989"/>
        <w:gridCol w:w="1996"/>
        <w:gridCol w:w="126"/>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11483"/>
        </w:trPr>
        <w:tc>
          <w:tcPr>
            <w:tcW w:w="783" w:type="dxa"/>
            <w:vMerge w:val="restart"/>
            <w:tcBorders>
              <w:right w:val="single" w:sz="4" w:space="0" w:color="000000"/>
            </w:tcBorders>
          </w:tcPr>
          <w:p>
            <w:pPr>
              <w:pStyle w:val="TableParagraph"/>
              <w:rPr>
                <w:rFonts w:ascii="Times New Roman"/>
                <w:sz w:val="22"/>
              </w:rPr>
            </w:pPr>
          </w:p>
        </w:tc>
        <w:tc>
          <w:tcPr>
            <w:tcW w:w="8211" w:type="dxa"/>
            <w:gridSpan w:val="6"/>
            <w:tcBorders>
              <w:left w:val="single" w:sz="4" w:space="0" w:color="000000"/>
              <w:bottom w:val="single" w:sz="12" w:space="0" w:color="000000"/>
            </w:tcBorders>
          </w:tcPr>
          <w:p>
            <w:pPr>
              <w:pStyle w:val="TableParagraph"/>
              <w:spacing w:before="4"/>
              <w:ind w:left="110"/>
              <w:rPr>
                <w:sz w:val="24"/>
              </w:rPr>
            </w:pPr>
            <w:r>
              <w:rPr>
                <w:sz w:val="24"/>
              </w:rPr>
              <w:t>以下无特别说明开挖方均为自然方。</w:t>
            </w:r>
          </w:p>
          <w:p>
            <w:pPr>
              <w:pStyle w:val="TableParagraph"/>
              <w:numPr>
                <w:ilvl w:val="0"/>
                <w:numId w:val="48"/>
              </w:numPr>
              <w:tabs>
                <w:tab w:val="left" w:pos="1192"/>
              </w:tabs>
              <w:spacing w:before="158" w:after="0" w:line="240" w:lineRule="auto"/>
              <w:ind w:left="1191" w:right="0" w:hanging="602"/>
              <w:jc w:val="left"/>
              <w:rPr>
                <w:sz w:val="24"/>
              </w:rPr>
            </w:pPr>
            <w:r>
              <w:rPr>
                <w:sz w:val="24"/>
              </w:rPr>
              <w:t>土方平衡</w:t>
            </w:r>
          </w:p>
          <w:p>
            <w:pPr>
              <w:pStyle w:val="TableParagraph"/>
              <w:spacing w:before="159" w:line="362" w:lineRule="auto"/>
              <w:ind w:left="110" w:right="104" w:firstLine="480"/>
              <w:rPr>
                <w:sz w:val="24"/>
              </w:rPr>
            </w:pPr>
            <w:r>
              <w:rPr>
                <w:sz w:val="24"/>
              </w:rPr>
              <w:t>由于本工程土石方挖填工程量较大，为节省工程投资，必须进行合理平衡与调配。平衡与调配的原则如下：</w:t>
            </w:r>
          </w:p>
          <w:p>
            <w:pPr>
              <w:pStyle w:val="TableParagraph"/>
              <w:spacing w:before="7" w:line="362" w:lineRule="auto"/>
              <w:ind w:left="110" w:right="108" w:firstLine="480"/>
              <w:rPr>
                <w:sz w:val="24"/>
              </w:rPr>
            </w:pPr>
            <w:r>
              <w:rPr>
                <w:sz w:val="24"/>
              </w:rPr>
              <w:t>①工程自身开挖土方在满足填筑质量的前提下应首先满足自身填筑要求，充分利用自身开挖方。</w:t>
            </w:r>
          </w:p>
          <w:p>
            <w:pPr>
              <w:pStyle w:val="TableParagraph"/>
              <w:spacing w:before="3" w:line="362" w:lineRule="auto"/>
              <w:ind w:left="110" w:right="100" w:firstLine="480"/>
              <w:rPr>
                <w:sz w:val="24"/>
              </w:rPr>
            </w:pPr>
            <w:r>
              <w:rPr>
                <w:sz w:val="24"/>
              </w:rPr>
              <w:t>②挖填平衡后，剩余土方应运至弃渣场内弃置，最终将剩余弃渣运至减河右大堤堤防加宽工程需土段。</w:t>
            </w:r>
          </w:p>
          <w:p>
            <w:pPr>
              <w:pStyle w:val="TableParagraph"/>
              <w:spacing w:before="8"/>
              <w:ind w:left="590"/>
              <w:rPr>
                <w:sz w:val="24"/>
              </w:rPr>
            </w:pPr>
            <w:r>
              <w:rPr>
                <w:sz w:val="24"/>
              </w:rPr>
              <w:t>③主体工程项目完成后的零星项目开挖剩余方就近弃置。</w:t>
            </w:r>
          </w:p>
          <w:p>
            <w:pPr>
              <w:pStyle w:val="TableParagraph"/>
              <w:numPr>
                <w:ilvl w:val="0"/>
                <w:numId w:val="48"/>
              </w:numPr>
              <w:tabs>
                <w:tab w:val="left" w:pos="1192"/>
              </w:tabs>
              <w:spacing w:before="158" w:after="0" w:line="240" w:lineRule="auto"/>
              <w:ind w:left="1191" w:right="0" w:hanging="602"/>
              <w:jc w:val="left"/>
              <w:rPr>
                <w:sz w:val="24"/>
              </w:rPr>
            </w:pPr>
            <w:r>
              <w:rPr>
                <w:sz w:val="24"/>
              </w:rPr>
              <w:t>机械选型</w:t>
            </w:r>
          </w:p>
          <w:p>
            <w:pPr>
              <w:pStyle w:val="TableParagraph"/>
              <w:spacing w:before="158" w:line="364" w:lineRule="auto"/>
              <w:ind w:left="110" w:right="93" w:firstLine="480"/>
              <w:jc w:val="both"/>
              <w:rPr>
                <w:sz w:val="24"/>
              </w:rPr>
            </w:pPr>
            <w:r>
              <w:rPr>
                <w:sz w:val="24"/>
              </w:rPr>
              <w:t xml:space="preserve">根据土方挖填及拆除平衡调配方案和施工总体进度安排，综合考虑各种机械的性能特点，确定土方及拆除工程主要施工机械为 </w:t>
            </w:r>
            <w:r>
              <w:rPr>
                <w:rFonts w:ascii="Times New Roman" w:eastAsia="Times New Roman"/>
                <w:sz w:val="24"/>
              </w:rPr>
              <w:t xml:space="preserve">74kw </w:t>
            </w:r>
            <w:r>
              <w:rPr>
                <w:sz w:val="24"/>
              </w:rPr>
              <w:t>推土机、</w:t>
            </w:r>
            <w:r>
              <w:rPr>
                <w:rFonts w:ascii="Times New Roman" w:eastAsia="Times New Roman"/>
                <w:sz w:val="24"/>
              </w:rPr>
              <w:t xml:space="preserve">88kw </w:t>
            </w:r>
            <w:r>
              <w:rPr>
                <w:sz w:val="24"/>
              </w:rPr>
              <w:t>推土机、</w:t>
            </w:r>
            <w:r>
              <w:rPr>
                <w:rFonts w:ascii="Times New Roman" w:eastAsia="Times New Roman"/>
                <w:sz w:val="24"/>
              </w:rPr>
              <w:t>1m</w:t>
            </w:r>
            <w:r>
              <w:rPr>
                <w:rFonts w:ascii="Times New Roman" w:eastAsia="Times New Roman"/>
                <w:sz w:val="24"/>
                <w:vertAlign w:val="superscript"/>
              </w:rPr>
              <w:t>3</w:t>
            </w:r>
            <w:r>
              <w:rPr>
                <w:rFonts w:ascii="Times New Roman" w:eastAsia="Times New Roman"/>
                <w:sz w:val="24"/>
                <w:vertAlign w:val="baseline"/>
              </w:rPr>
              <w:t xml:space="preserve"> </w:t>
            </w:r>
            <w:r>
              <w:rPr>
                <w:sz w:val="24"/>
                <w:vertAlign w:val="baseline"/>
              </w:rPr>
              <w:t>挖掘机、</w:t>
            </w:r>
            <w:r>
              <w:rPr>
                <w:rFonts w:ascii="Times New Roman" w:eastAsia="Times New Roman"/>
                <w:sz w:val="24"/>
                <w:vertAlign w:val="baseline"/>
              </w:rPr>
              <w:t xml:space="preserve">8t </w:t>
            </w:r>
            <w:r>
              <w:rPr>
                <w:sz w:val="24"/>
                <w:vertAlign w:val="baseline"/>
              </w:rPr>
              <w:t>自卸车、</w:t>
            </w:r>
            <w:r>
              <w:rPr>
                <w:rFonts w:ascii="Times New Roman" w:eastAsia="Times New Roman"/>
                <w:sz w:val="24"/>
                <w:vertAlign w:val="baseline"/>
              </w:rPr>
              <w:t xml:space="preserve">2.8kw </w:t>
            </w:r>
            <w:r>
              <w:rPr>
                <w:sz w:val="24"/>
                <w:vertAlign w:val="baseline"/>
              </w:rPr>
              <w:t>蛙式打夯机、</w:t>
            </w:r>
            <w:r>
              <w:rPr>
                <w:rFonts w:ascii="Times New Roman" w:eastAsia="Times New Roman"/>
                <w:sz w:val="24"/>
                <w:vertAlign w:val="baseline"/>
              </w:rPr>
              <w:t xml:space="preserve">74kw </w:t>
            </w:r>
            <w:r>
              <w:rPr>
                <w:sz w:val="24"/>
                <w:vertAlign w:val="baseline"/>
              </w:rPr>
              <w:t>拖拉机等。</w:t>
            </w:r>
          </w:p>
          <w:p>
            <w:pPr>
              <w:pStyle w:val="TableParagraph"/>
              <w:numPr>
                <w:ilvl w:val="0"/>
                <w:numId w:val="16"/>
              </w:numPr>
              <w:tabs>
                <w:tab w:val="left" w:pos="1192"/>
              </w:tabs>
              <w:spacing w:before="0" w:after="0" w:line="240" w:lineRule="auto"/>
              <w:ind w:left="1191" w:right="0" w:hanging="602"/>
              <w:jc w:val="left"/>
              <w:rPr>
                <w:sz w:val="24"/>
              </w:rPr>
            </w:pPr>
            <w:r>
              <w:rPr>
                <w:sz w:val="24"/>
              </w:rPr>
              <w:t>堆放区</w:t>
            </w:r>
          </w:p>
          <w:p>
            <w:pPr>
              <w:pStyle w:val="TableParagraph"/>
              <w:spacing w:before="158" w:line="367" w:lineRule="auto"/>
              <w:ind w:left="110" w:right="104" w:firstLine="480"/>
              <w:rPr>
                <w:sz w:val="24"/>
              </w:rPr>
            </w:pPr>
            <w:r>
              <w:rPr>
                <w:sz w:val="24"/>
              </w:rPr>
              <w:t>堆放区用于回填所需临时堆存土方就近临时堆放于开挖基坑周边，应预留一定的安全距离，防止临时堆存土方边坡失稳滑入基坑造成安全事故。</w:t>
            </w:r>
          </w:p>
          <w:p>
            <w:pPr>
              <w:pStyle w:val="TableParagraph"/>
              <w:spacing w:line="362" w:lineRule="auto"/>
              <w:ind w:left="110" w:right="104" w:firstLine="480"/>
              <w:jc w:val="both"/>
              <w:rPr>
                <w:sz w:val="24"/>
              </w:rPr>
            </w:pPr>
            <w:r>
              <w:rPr>
                <w:sz w:val="24"/>
              </w:rPr>
              <w:t xml:space="preserve">建筑物工程回填土料应尽量堆存于开挖基坑周边已征用的占地范围内， 超出部分再计列临时占地，本次建筑物工程临时堆土区占地按利用自身开挖土料回填的 </w:t>
            </w:r>
            <w:r>
              <w:rPr>
                <w:rFonts w:ascii="Times New Roman" w:eastAsia="Times New Roman"/>
                <w:sz w:val="24"/>
              </w:rPr>
              <w:t>50%</w:t>
            </w:r>
            <w:r>
              <w:rPr>
                <w:sz w:val="24"/>
              </w:rPr>
              <w:t xml:space="preserve">计算，松方系数 </w:t>
            </w:r>
            <w:r>
              <w:rPr>
                <w:rFonts w:ascii="Times New Roman" w:eastAsia="Times New Roman"/>
                <w:sz w:val="24"/>
              </w:rPr>
              <w:t>1.20</w:t>
            </w:r>
            <w:r>
              <w:rPr>
                <w:sz w:val="24"/>
              </w:rPr>
              <w:t xml:space="preserve">，堆高 </w:t>
            </w:r>
            <w:r>
              <w:rPr>
                <w:rFonts w:ascii="Times New Roman" w:eastAsia="Times New Roman"/>
                <w:sz w:val="24"/>
              </w:rPr>
              <w:t>3.0m</w:t>
            </w:r>
            <w:r>
              <w:rPr>
                <w:sz w:val="24"/>
              </w:rPr>
              <w:t xml:space="preserve">，边坡 </w:t>
            </w:r>
            <w:r>
              <w:rPr>
                <w:rFonts w:ascii="Times New Roman" w:eastAsia="Times New Roman"/>
                <w:sz w:val="24"/>
              </w:rPr>
              <w:t>1:3</w:t>
            </w:r>
            <w:r>
              <w:rPr>
                <w:sz w:val="24"/>
              </w:rPr>
              <w:t>。</w:t>
            </w:r>
          </w:p>
          <w:p>
            <w:pPr>
              <w:pStyle w:val="TableParagraph"/>
              <w:numPr>
                <w:ilvl w:val="0"/>
                <w:numId w:val="16"/>
              </w:numPr>
              <w:tabs>
                <w:tab w:val="left" w:pos="1192"/>
              </w:tabs>
              <w:spacing w:before="4" w:after="0" w:line="240" w:lineRule="auto"/>
              <w:ind w:left="1191" w:right="0" w:hanging="602"/>
              <w:jc w:val="left"/>
              <w:rPr>
                <w:sz w:val="24"/>
              </w:rPr>
            </w:pPr>
            <w:r>
              <w:rPr>
                <w:sz w:val="24"/>
              </w:rPr>
              <w:t>弃渣场</w:t>
            </w:r>
          </w:p>
          <w:p>
            <w:pPr>
              <w:pStyle w:val="TableParagraph"/>
              <w:spacing w:before="158" w:line="364" w:lineRule="auto"/>
              <w:ind w:left="110" w:right="98" w:firstLine="480"/>
              <w:jc w:val="both"/>
              <w:rPr>
                <w:sz w:val="24"/>
              </w:rPr>
            </w:pPr>
            <w:r>
              <w:rPr>
                <w:sz w:val="24"/>
              </w:rPr>
              <w:t xml:space="preserve">根据现场查看，并经建设单位确认，本工程剩余弃渣运至减河右大堤堤防加宽工程需土段，综合运距 </w:t>
            </w:r>
            <w:r>
              <w:rPr>
                <w:rFonts w:ascii="Times New Roman" w:eastAsia="Times New Roman"/>
                <w:sz w:val="24"/>
              </w:rPr>
              <w:t>15km</w:t>
            </w:r>
            <w:r>
              <w:rPr>
                <w:sz w:val="24"/>
              </w:rPr>
              <w:t xml:space="preserve">，弃渣区临时占地松方系数 </w:t>
            </w:r>
            <w:r>
              <w:rPr>
                <w:rFonts w:ascii="Times New Roman" w:eastAsia="Times New Roman"/>
                <w:sz w:val="24"/>
              </w:rPr>
              <w:t>1.20</w:t>
            </w:r>
            <w:r>
              <w:rPr>
                <w:sz w:val="24"/>
              </w:rPr>
              <w:t>，堆高</w:t>
            </w:r>
            <w:r>
              <w:rPr>
                <w:rFonts w:ascii="Times New Roman" w:eastAsia="Times New Roman"/>
                <w:sz w:val="24"/>
              </w:rPr>
              <w:t>3.0m</w:t>
            </w:r>
            <w:r>
              <w:rPr>
                <w:sz w:val="24"/>
              </w:rPr>
              <w:t xml:space="preserve">，边坡 </w:t>
            </w:r>
            <w:r>
              <w:rPr>
                <w:rFonts w:ascii="Times New Roman" w:eastAsia="Times New Roman"/>
                <w:sz w:val="24"/>
              </w:rPr>
              <w:t>1:3</w:t>
            </w:r>
            <w:r>
              <w:rPr>
                <w:sz w:val="24"/>
              </w:rPr>
              <w:t>。</w:t>
            </w:r>
          </w:p>
          <w:p>
            <w:pPr>
              <w:pStyle w:val="TableParagraph"/>
              <w:numPr>
                <w:ilvl w:val="0"/>
                <w:numId w:val="16"/>
              </w:numPr>
              <w:tabs>
                <w:tab w:val="left" w:pos="1192"/>
              </w:tabs>
              <w:spacing w:before="0" w:after="0" w:line="240" w:lineRule="auto"/>
              <w:ind w:left="1191" w:right="0" w:hanging="602"/>
              <w:jc w:val="left"/>
              <w:rPr>
                <w:sz w:val="24"/>
              </w:rPr>
            </w:pPr>
            <w:r>
              <w:rPr>
                <w:sz w:val="24"/>
              </w:rPr>
              <w:t>施工临时占地汇总表</w:t>
            </w:r>
          </w:p>
          <w:p>
            <w:pPr>
              <w:pStyle w:val="TableParagraph"/>
              <w:spacing w:before="155" w:line="257" w:lineRule="exact"/>
              <w:ind w:left="2721" w:right="2747"/>
              <w:jc w:val="center"/>
              <w:rPr>
                <w:sz w:val="24"/>
              </w:rPr>
            </w:pPr>
            <w:r>
              <w:rPr>
                <w:b/>
                <w:sz w:val="21"/>
              </w:rPr>
              <w:t>表</w:t>
            </w:r>
            <w:r>
              <w:rPr>
                <w:rFonts w:ascii="Times New Roman" w:eastAsia="Times New Roman"/>
                <w:b/>
                <w:sz w:val="21"/>
              </w:rPr>
              <w:t xml:space="preserve">5 </w:t>
            </w:r>
            <w:r>
              <w:rPr>
                <w:b/>
                <w:sz w:val="21"/>
              </w:rPr>
              <w:t>施工临时占地汇总一览表</w:t>
            </w:r>
            <w:r>
              <w:rPr>
                <w:sz w:val="24"/>
              </w:rPr>
              <w:t xml:space="preserve"> </w:t>
            </w:r>
          </w:p>
        </w:tc>
      </w:tr>
      <w:tr>
        <w:tblPrEx>
          <w:tblW w:w="0" w:type="auto"/>
          <w:tblInd w:w="490" w:type="dxa"/>
          <w:tblLayout w:type="fixed"/>
          <w:tblCellMar>
            <w:top w:w="0" w:type="dxa"/>
            <w:left w:w="0" w:type="dxa"/>
            <w:bottom w:w="0" w:type="dxa"/>
            <w:right w:w="0" w:type="dxa"/>
          </w:tblCellMar>
        </w:tblPrEx>
        <w:trPr>
          <w:trHeight w:val="395"/>
        </w:trPr>
        <w:tc>
          <w:tcPr>
            <w:tcW w:w="783" w:type="dxa"/>
            <w:vMerge/>
            <w:tcBorders>
              <w:top w:val="nil"/>
              <w:right w:val="single" w:sz="4" w:space="0" w:color="000000"/>
            </w:tcBorders>
          </w:tcPr>
          <w:p>
            <w:pPr>
              <w:rPr>
                <w:sz w:val="2"/>
                <w:szCs w:val="2"/>
              </w:rPr>
            </w:pPr>
          </w:p>
        </w:tc>
        <w:tc>
          <w:tcPr>
            <w:tcW w:w="133" w:type="dxa"/>
            <w:vMerge w:val="restart"/>
            <w:tcBorders>
              <w:top w:val="nil"/>
              <w:left w:val="single" w:sz="4" w:space="0" w:color="000000"/>
              <w:right w:val="single" w:sz="12" w:space="0" w:color="000000"/>
            </w:tcBorders>
          </w:tcPr>
          <w:p>
            <w:pPr>
              <w:pStyle w:val="TableParagraph"/>
              <w:rPr>
                <w:rFonts w:ascii="Times New Roman"/>
                <w:sz w:val="22"/>
              </w:rPr>
            </w:pPr>
          </w:p>
        </w:tc>
        <w:tc>
          <w:tcPr>
            <w:tcW w:w="1978" w:type="dxa"/>
            <w:tcBorders>
              <w:top w:val="single" w:sz="12" w:space="0" w:color="000000"/>
              <w:left w:val="single" w:sz="12" w:space="0" w:color="000000"/>
              <w:bottom w:val="single" w:sz="6" w:space="0" w:color="000000"/>
              <w:right w:val="single" w:sz="6" w:space="0" w:color="000000"/>
            </w:tcBorders>
          </w:tcPr>
          <w:p>
            <w:pPr>
              <w:pStyle w:val="TableParagraph"/>
              <w:spacing w:before="58"/>
              <w:ind w:left="745" w:right="748"/>
              <w:jc w:val="center"/>
              <w:rPr>
                <w:b/>
                <w:sz w:val="21"/>
              </w:rPr>
            </w:pPr>
            <w:r>
              <w:rPr>
                <w:b/>
                <w:sz w:val="21"/>
              </w:rPr>
              <w:t>序号</w:t>
            </w:r>
          </w:p>
        </w:tc>
        <w:tc>
          <w:tcPr>
            <w:tcW w:w="1989" w:type="dxa"/>
            <w:tcBorders>
              <w:top w:val="single" w:sz="12" w:space="0" w:color="000000"/>
              <w:left w:val="single" w:sz="6" w:space="0" w:color="000000"/>
              <w:bottom w:val="single" w:sz="6" w:space="0" w:color="000000"/>
              <w:right w:val="single" w:sz="6" w:space="0" w:color="000000"/>
            </w:tcBorders>
          </w:tcPr>
          <w:p>
            <w:pPr>
              <w:pStyle w:val="TableParagraph"/>
              <w:spacing w:before="58"/>
              <w:ind w:left="570"/>
              <w:rPr>
                <w:b/>
                <w:sz w:val="21"/>
              </w:rPr>
            </w:pPr>
            <w:r>
              <w:rPr>
                <w:b/>
                <w:sz w:val="21"/>
              </w:rPr>
              <w:t>项目名称</w:t>
            </w:r>
          </w:p>
        </w:tc>
        <w:tc>
          <w:tcPr>
            <w:tcW w:w="1989" w:type="dxa"/>
            <w:tcBorders>
              <w:top w:val="single" w:sz="12" w:space="0" w:color="000000"/>
              <w:left w:val="single" w:sz="6" w:space="0" w:color="000000"/>
              <w:bottom w:val="single" w:sz="6" w:space="0" w:color="000000"/>
              <w:right w:val="single" w:sz="6" w:space="0" w:color="000000"/>
            </w:tcBorders>
          </w:tcPr>
          <w:p>
            <w:pPr>
              <w:pStyle w:val="TableParagraph"/>
              <w:spacing w:before="58"/>
              <w:ind w:left="238" w:right="220"/>
              <w:jc w:val="center"/>
              <w:rPr>
                <w:b/>
                <w:sz w:val="21"/>
              </w:rPr>
            </w:pPr>
            <w:r>
              <w:rPr>
                <w:b/>
                <w:sz w:val="21"/>
              </w:rPr>
              <w:t>占地面积（亩）</w:t>
            </w:r>
          </w:p>
        </w:tc>
        <w:tc>
          <w:tcPr>
            <w:tcW w:w="1996" w:type="dxa"/>
            <w:tcBorders>
              <w:top w:val="single" w:sz="12" w:space="0" w:color="000000"/>
              <w:left w:val="single" w:sz="6" w:space="0" w:color="000000"/>
              <w:bottom w:val="single" w:sz="6" w:space="0" w:color="000000"/>
              <w:right w:val="single" w:sz="12" w:space="0" w:color="000000"/>
            </w:tcBorders>
          </w:tcPr>
          <w:p>
            <w:pPr>
              <w:pStyle w:val="TableParagraph"/>
              <w:spacing w:before="58"/>
              <w:ind w:left="347" w:right="321"/>
              <w:jc w:val="center"/>
              <w:rPr>
                <w:b/>
                <w:sz w:val="21"/>
              </w:rPr>
            </w:pPr>
            <w:r>
              <w:rPr>
                <w:b/>
                <w:sz w:val="21"/>
              </w:rPr>
              <w:t>占用期（月）</w:t>
            </w:r>
          </w:p>
        </w:tc>
        <w:tc>
          <w:tcPr>
            <w:tcW w:w="126"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388"/>
        </w:trPr>
        <w:tc>
          <w:tcPr>
            <w:tcW w:w="783" w:type="dxa"/>
            <w:vMerge/>
            <w:tcBorders>
              <w:top w:val="nil"/>
              <w:right w:val="single" w:sz="4" w:space="0" w:color="000000"/>
            </w:tcBorders>
          </w:tcPr>
          <w:p>
            <w:pPr>
              <w:rPr>
                <w:sz w:val="2"/>
                <w:szCs w:val="2"/>
              </w:rPr>
            </w:pPr>
          </w:p>
        </w:tc>
        <w:tc>
          <w:tcPr>
            <w:tcW w:w="133" w:type="dxa"/>
            <w:vMerge/>
            <w:tcBorders>
              <w:top w:val="nil"/>
              <w:left w:val="single" w:sz="4" w:space="0" w:color="000000"/>
              <w:right w:val="single" w:sz="12" w:space="0" w:color="000000"/>
            </w:tcBorders>
          </w:tcPr>
          <w:p>
            <w:pPr>
              <w:rPr>
                <w:sz w:val="2"/>
                <w:szCs w:val="2"/>
              </w:rPr>
            </w:pPr>
          </w:p>
        </w:tc>
        <w:tc>
          <w:tcPr>
            <w:tcW w:w="1978" w:type="dxa"/>
            <w:tcBorders>
              <w:top w:val="single" w:sz="6" w:space="0" w:color="000000"/>
              <w:left w:val="single" w:sz="12" w:space="0" w:color="000000"/>
              <w:bottom w:val="single" w:sz="6" w:space="0" w:color="000000"/>
              <w:right w:val="single" w:sz="6" w:space="0" w:color="000000"/>
            </w:tcBorders>
          </w:tcPr>
          <w:p>
            <w:pPr>
              <w:pStyle w:val="TableParagraph"/>
              <w:spacing w:before="65"/>
              <w:ind w:right="2"/>
              <w:jc w:val="center"/>
              <w:rPr>
                <w:rFonts w:ascii="Times New Roman"/>
                <w:sz w:val="21"/>
              </w:rPr>
            </w:pPr>
            <w:r>
              <w:rPr>
                <w:rFonts w:ascii="Times New Roman"/>
                <w:w w:val="100"/>
                <w:sz w:val="21"/>
              </w:rPr>
              <w:t>1</w:t>
            </w:r>
          </w:p>
        </w:tc>
        <w:tc>
          <w:tcPr>
            <w:tcW w:w="1989" w:type="dxa"/>
            <w:tcBorders>
              <w:top w:val="single" w:sz="6" w:space="0" w:color="000000"/>
              <w:left w:val="single" w:sz="6" w:space="0" w:color="000000"/>
              <w:bottom w:val="single" w:sz="6" w:space="0" w:color="000000"/>
              <w:right w:val="single" w:sz="6" w:space="0" w:color="000000"/>
            </w:tcBorders>
          </w:tcPr>
          <w:p>
            <w:pPr>
              <w:pStyle w:val="TableParagraph"/>
              <w:spacing w:before="56"/>
              <w:ind w:left="152"/>
              <w:rPr>
                <w:sz w:val="21"/>
              </w:rPr>
            </w:pPr>
            <w:r>
              <w:rPr>
                <w:sz w:val="21"/>
              </w:rPr>
              <w:t>场内施工临时道路</w:t>
            </w:r>
          </w:p>
        </w:tc>
        <w:tc>
          <w:tcPr>
            <w:tcW w:w="1989" w:type="dxa"/>
            <w:tcBorders>
              <w:top w:val="single" w:sz="6" w:space="0" w:color="000000"/>
              <w:left w:val="single" w:sz="6" w:space="0" w:color="000000"/>
              <w:bottom w:val="single" w:sz="6" w:space="0" w:color="000000"/>
              <w:right w:val="single" w:sz="6" w:space="0" w:color="000000"/>
            </w:tcBorders>
          </w:tcPr>
          <w:p>
            <w:pPr>
              <w:pStyle w:val="TableParagraph"/>
              <w:spacing w:before="65"/>
              <w:ind w:left="238" w:right="214"/>
              <w:jc w:val="center"/>
              <w:rPr>
                <w:rFonts w:ascii="Times New Roman"/>
                <w:sz w:val="21"/>
              </w:rPr>
            </w:pPr>
            <w:r>
              <w:rPr>
                <w:rFonts w:ascii="Times New Roman"/>
                <w:sz w:val="21"/>
              </w:rPr>
              <w:t>211.5</w:t>
            </w:r>
          </w:p>
        </w:tc>
        <w:tc>
          <w:tcPr>
            <w:tcW w:w="1996" w:type="dxa"/>
            <w:tcBorders>
              <w:top w:val="single" w:sz="6" w:space="0" w:color="000000"/>
              <w:left w:val="single" w:sz="6" w:space="0" w:color="000000"/>
              <w:bottom w:val="single" w:sz="6" w:space="0" w:color="000000"/>
              <w:right w:val="single" w:sz="12" w:space="0" w:color="000000"/>
            </w:tcBorders>
          </w:tcPr>
          <w:p>
            <w:pPr>
              <w:pStyle w:val="TableParagraph"/>
              <w:spacing w:before="65"/>
              <w:ind w:left="347" w:right="321"/>
              <w:jc w:val="center"/>
              <w:rPr>
                <w:rFonts w:ascii="Times New Roman"/>
                <w:sz w:val="21"/>
              </w:rPr>
            </w:pPr>
            <w:r>
              <w:rPr>
                <w:rFonts w:ascii="Times New Roman"/>
                <w:sz w:val="21"/>
              </w:rPr>
              <w:t>24</w:t>
            </w:r>
          </w:p>
        </w:tc>
        <w:tc>
          <w:tcPr>
            <w:tcW w:w="126"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392"/>
        </w:trPr>
        <w:tc>
          <w:tcPr>
            <w:tcW w:w="783" w:type="dxa"/>
            <w:vMerge/>
            <w:tcBorders>
              <w:top w:val="nil"/>
              <w:right w:val="single" w:sz="4" w:space="0" w:color="000000"/>
            </w:tcBorders>
          </w:tcPr>
          <w:p>
            <w:pPr>
              <w:rPr>
                <w:sz w:val="2"/>
                <w:szCs w:val="2"/>
              </w:rPr>
            </w:pPr>
          </w:p>
        </w:tc>
        <w:tc>
          <w:tcPr>
            <w:tcW w:w="133" w:type="dxa"/>
            <w:vMerge/>
            <w:tcBorders>
              <w:top w:val="nil"/>
              <w:left w:val="single" w:sz="4" w:space="0" w:color="000000"/>
              <w:right w:val="single" w:sz="12" w:space="0" w:color="000000"/>
            </w:tcBorders>
          </w:tcPr>
          <w:p>
            <w:pPr>
              <w:rPr>
                <w:sz w:val="2"/>
                <w:szCs w:val="2"/>
              </w:rPr>
            </w:pPr>
          </w:p>
        </w:tc>
        <w:tc>
          <w:tcPr>
            <w:tcW w:w="1978" w:type="dxa"/>
            <w:tcBorders>
              <w:top w:val="single" w:sz="6" w:space="0" w:color="000000"/>
              <w:left w:val="single" w:sz="12" w:space="0" w:color="000000"/>
              <w:bottom w:val="single" w:sz="6" w:space="0" w:color="000000"/>
              <w:right w:val="single" w:sz="6" w:space="0" w:color="000000"/>
            </w:tcBorders>
          </w:tcPr>
          <w:p>
            <w:pPr>
              <w:pStyle w:val="TableParagraph"/>
              <w:spacing w:before="70"/>
              <w:ind w:right="2"/>
              <w:jc w:val="center"/>
              <w:rPr>
                <w:rFonts w:ascii="Times New Roman"/>
                <w:sz w:val="21"/>
              </w:rPr>
            </w:pPr>
            <w:r>
              <w:rPr>
                <w:rFonts w:ascii="Times New Roman"/>
                <w:w w:val="100"/>
                <w:sz w:val="21"/>
              </w:rPr>
              <w:t>2</w:t>
            </w:r>
          </w:p>
        </w:tc>
        <w:tc>
          <w:tcPr>
            <w:tcW w:w="1989" w:type="dxa"/>
            <w:tcBorders>
              <w:top w:val="single" w:sz="6" w:space="0" w:color="000000"/>
              <w:left w:val="single" w:sz="6" w:space="0" w:color="000000"/>
              <w:bottom w:val="single" w:sz="6" w:space="0" w:color="000000"/>
              <w:right w:val="single" w:sz="6" w:space="0" w:color="000000"/>
            </w:tcBorders>
          </w:tcPr>
          <w:p>
            <w:pPr>
              <w:pStyle w:val="TableParagraph"/>
              <w:spacing w:before="60"/>
              <w:ind w:left="109"/>
              <w:rPr>
                <w:sz w:val="21"/>
              </w:rPr>
            </w:pPr>
            <w:r>
              <w:rPr>
                <w:sz w:val="21"/>
              </w:rPr>
              <w:t>弃土堆放区（</w:t>
            </w:r>
            <w:r>
              <w:rPr>
                <w:rFonts w:ascii="Times New Roman" w:eastAsia="Times New Roman"/>
                <w:sz w:val="21"/>
              </w:rPr>
              <w:t>6</w:t>
            </w:r>
            <w:r>
              <w:rPr>
                <w:sz w:val="21"/>
              </w:rPr>
              <w:t>个）</w:t>
            </w:r>
          </w:p>
        </w:tc>
        <w:tc>
          <w:tcPr>
            <w:tcW w:w="1989" w:type="dxa"/>
            <w:tcBorders>
              <w:top w:val="single" w:sz="6" w:space="0" w:color="000000"/>
              <w:left w:val="single" w:sz="6" w:space="0" w:color="000000"/>
              <w:bottom w:val="single" w:sz="6" w:space="0" w:color="000000"/>
              <w:right w:val="single" w:sz="6" w:space="0" w:color="000000"/>
            </w:tcBorders>
          </w:tcPr>
          <w:p>
            <w:pPr>
              <w:pStyle w:val="TableParagraph"/>
              <w:spacing w:before="70"/>
              <w:ind w:left="238" w:right="214"/>
              <w:jc w:val="center"/>
              <w:rPr>
                <w:rFonts w:ascii="Times New Roman"/>
                <w:sz w:val="21"/>
              </w:rPr>
            </w:pPr>
            <w:r>
              <w:rPr>
                <w:rFonts w:ascii="Times New Roman"/>
                <w:sz w:val="21"/>
              </w:rPr>
              <w:t>191.9</w:t>
            </w:r>
          </w:p>
        </w:tc>
        <w:tc>
          <w:tcPr>
            <w:tcW w:w="1996" w:type="dxa"/>
            <w:tcBorders>
              <w:top w:val="single" w:sz="6" w:space="0" w:color="000000"/>
              <w:left w:val="single" w:sz="6" w:space="0" w:color="000000"/>
              <w:bottom w:val="single" w:sz="6" w:space="0" w:color="000000"/>
              <w:right w:val="single" w:sz="12" w:space="0" w:color="000000"/>
            </w:tcBorders>
          </w:tcPr>
          <w:p>
            <w:pPr>
              <w:pStyle w:val="TableParagraph"/>
              <w:spacing w:before="70"/>
              <w:ind w:left="347" w:right="321"/>
              <w:jc w:val="center"/>
              <w:rPr>
                <w:rFonts w:ascii="Times New Roman"/>
                <w:sz w:val="21"/>
              </w:rPr>
            </w:pPr>
            <w:r>
              <w:rPr>
                <w:rFonts w:ascii="Times New Roman"/>
                <w:sz w:val="21"/>
              </w:rPr>
              <w:t>24</w:t>
            </w:r>
          </w:p>
        </w:tc>
        <w:tc>
          <w:tcPr>
            <w:tcW w:w="126"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399"/>
        </w:trPr>
        <w:tc>
          <w:tcPr>
            <w:tcW w:w="783" w:type="dxa"/>
            <w:vMerge/>
            <w:tcBorders>
              <w:top w:val="nil"/>
              <w:right w:val="single" w:sz="4" w:space="0" w:color="000000"/>
            </w:tcBorders>
          </w:tcPr>
          <w:p>
            <w:pPr>
              <w:rPr>
                <w:sz w:val="2"/>
                <w:szCs w:val="2"/>
              </w:rPr>
            </w:pPr>
          </w:p>
        </w:tc>
        <w:tc>
          <w:tcPr>
            <w:tcW w:w="133" w:type="dxa"/>
            <w:vMerge/>
            <w:tcBorders>
              <w:top w:val="nil"/>
              <w:left w:val="single" w:sz="4" w:space="0" w:color="000000"/>
              <w:right w:val="single" w:sz="12" w:space="0" w:color="000000"/>
            </w:tcBorders>
          </w:tcPr>
          <w:p>
            <w:pPr>
              <w:rPr>
                <w:sz w:val="2"/>
                <w:szCs w:val="2"/>
              </w:rPr>
            </w:pPr>
          </w:p>
        </w:tc>
        <w:tc>
          <w:tcPr>
            <w:tcW w:w="1978" w:type="dxa"/>
            <w:tcBorders>
              <w:top w:val="single" w:sz="6" w:space="0" w:color="000000"/>
              <w:left w:val="single" w:sz="12" w:space="0" w:color="000000"/>
              <w:bottom w:val="thinThickMediumGap" w:sz="6" w:space="0" w:color="000000"/>
              <w:right w:val="single" w:sz="6" w:space="0" w:color="000000"/>
            </w:tcBorders>
          </w:tcPr>
          <w:p>
            <w:pPr>
              <w:pStyle w:val="TableParagraph"/>
              <w:spacing w:before="70"/>
              <w:ind w:right="2"/>
              <w:jc w:val="center"/>
              <w:rPr>
                <w:rFonts w:ascii="Times New Roman"/>
                <w:sz w:val="21"/>
              </w:rPr>
            </w:pPr>
            <w:r>
              <w:rPr>
                <w:rFonts w:ascii="Times New Roman"/>
                <w:w w:val="100"/>
                <w:sz w:val="21"/>
              </w:rPr>
              <w:t>3</w:t>
            </w:r>
          </w:p>
        </w:tc>
        <w:tc>
          <w:tcPr>
            <w:tcW w:w="1989" w:type="dxa"/>
            <w:tcBorders>
              <w:top w:val="single" w:sz="6" w:space="0" w:color="000000"/>
              <w:left w:val="single" w:sz="6" w:space="0" w:color="000000"/>
              <w:bottom w:val="thinThickMediumGap" w:sz="6" w:space="0" w:color="000000"/>
              <w:right w:val="single" w:sz="6" w:space="0" w:color="000000"/>
            </w:tcBorders>
          </w:tcPr>
          <w:p>
            <w:pPr>
              <w:pStyle w:val="TableParagraph"/>
              <w:spacing w:before="56"/>
              <w:ind w:left="109"/>
              <w:rPr>
                <w:sz w:val="21"/>
              </w:rPr>
            </w:pPr>
            <w:r>
              <w:rPr>
                <w:sz w:val="21"/>
              </w:rPr>
              <w:t>临时堆放区（</w:t>
            </w:r>
            <w:r>
              <w:rPr>
                <w:rFonts w:ascii="Times New Roman" w:eastAsia="Times New Roman"/>
                <w:sz w:val="21"/>
              </w:rPr>
              <w:t>6</w:t>
            </w:r>
            <w:r>
              <w:rPr>
                <w:sz w:val="21"/>
              </w:rPr>
              <w:t>个）</w:t>
            </w:r>
          </w:p>
        </w:tc>
        <w:tc>
          <w:tcPr>
            <w:tcW w:w="1989" w:type="dxa"/>
            <w:tcBorders>
              <w:top w:val="single" w:sz="6" w:space="0" w:color="000000"/>
              <w:left w:val="single" w:sz="6" w:space="0" w:color="000000"/>
              <w:bottom w:val="thinThickMediumGap" w:sz="6" w:space="0" w:color="000000"/>
              <w:right w:val="single" w:sz="6" w:space="0" w:color="000000"/>
            </w:tcBorders>
          </w:tcPr>
          <w:p>
            <w:pPr>
              <w:pStyle w:val="TableParagraph"/>
              <w:spacing w:before="70"/>
              <w:ind w:left="234" w:right="220"/>
              <w:jc w:val="center"/>
              <w:rPr>
                <w:rFonts w:ascii="Times New Roman"/>
                <w:sz w:val="21"/>
              </w:rPr>
            </w:pPr>
            <w:r>
              <w:rPr>
                <w:rFonts w:ascii="Times New Roman"/>
                <w:sz w:val="21"/>
              </w:rPr>
              <w:t>10.5</w:t>
            </w:r>
          </w:p>
        </w:tc>
        <w:tc>
          <w:tcPr>
            <w:tcW w:w="1996" w:type="dxa"/>
            <w:tcBorders>
              <w:top w:val="single" w:sz="6" w:space="0" w:color="000000"/>
              <w:left w:val="single" w:sz="6" w:space="0" w:color="000000"/>
              <w:bottom w:val="thinThickMediumGap" w:sz="6" w:space="0" w:color="000000"/>
              <w:right w:val="single" w:sz="12" w:space="0" w:color="000000"/>
            </w:tcBorders>
          </w:tcPr>
          <w:p>
            <w:pPr>
              <w:pStyle w:val="TableParagraph"/>
              <w:spacing w:before="70"/>
              <w:ind w:left="347" w:right="321"/>
              <w:jc w:val="center"/>
              <w:rPr>
                <w:rFonts w:ascii="Times New Roman"/>
                <w:sz w:val="21"/>
              </w:rPr>
            </w:pPr>
            <w:r>
              <w:rPr>
                <w:rFonts w:ascii="Times New Roman"/>
                <w:sz w:val="21"/>
              </w:rPr>
              <w:t>12</w:t>
            </w:r>
          </w:p>
        </w:tc>
        <w:tc>
          <w:tcPr>
            <w:tcW w:w="126" w:type="dxa"/>
            <w:tcBorders>
              <w:top w:val="nil"/>
              <w:left w:val="single" w:sz="12" w:space="0" w:color="000000"/>
            </w:tcBorders>
          </w:tcPr>
          <w:p>
            <w:pPr>
              <w:pStyle w:val="TableParagraph"/>
              <w:rPr>
                <w:rFonts w:ascii="Times New Roman"/>
                <w:sz w:val="22"/>
              </w:rPr>
            </w:pPr>
          </w:p>
        </w:tc>
      </w:tr>
    </w:tbl>
    <w:p>
      <w:pPr>
        <w:pStyle w:val="BodyText"/>
        <w:rPr>
          <w:sz w:val="20"/>
        </w:rPr>
      </w:pPr>
    </w:p>
    <w:p>
      <w:pPr>
        <w:pStyle w:val="BodyText"/>
        <w:rPr>
          <w:sz w:val="20"/>
        </w:rPr>
      </w:pPr>
    </w:p>
    <w:p>
      <w:pPr>
        <w:pStyle w:val="BodyText"/>
      </w:pPr>
    </w:p>
    <w:p>
      <w:pPr>
        <w:spacing w:before="59"/>
        <w:ind w:left="0" w:right="705" w:firstLine="0"/>
        <w:jc w:val="right"/>
        <w:rPr>
          <w:sz w:val="28"/>
        </w:rPr>
      </w:pPr>
      <w:r>
        <w:rPr>
          <w:sz w:val="28"/>
        </w:rPr>
        <w:t>—</w:t>
      </w:r>
      <w:r>
        <w:rPr>
          <w:sz w:val="26"/>
        </w:rPr>
        <w:t>30</w:t>
      </w:r>
      <w:r>
        <w:rPr>
          <w:sz w:val="28"/>
        </w:rPr>
        <w:t>—</w:t>
      </w:r>
    </w:p>
    <w:p>
      <w:pPr>
        <w:spacing w:after="0"/>
        <w:jc w:val="right"/>
        <w:rPr>
          <w:sz w:val="28"/>
        </w:rPr>
        <w:sectPr>
          <w:pgSz w:w="11910" w:h="16840"/>
          <w:pgMar w:top="1580" w:right="820" w:bottom="280" w:left="980" w:header="720" w:footer="720" w:gutter="0"/>
          <w:pgNumType w:start="35"/>
          <w:cols w:num="1" w:space="720"/>
        </w:sectPr>
      </w:pPr>
    </w:p>
    <w:p>
      <w:pPr>
        <w:pStyle w:val="BodyText"/>
        <w:spacing w:before="10"/>
        <w:rPr>
          <w:sz w:val="8"/>
        </w:rPr>
      </w:pPr>
    </w:p>
    <w:tbl>
      <w:tblPr>
        <w:tblStyle w:val="TableNormal"/>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783"/>
        <w:gridCol w:w="120"/>
        <w:gridCol w:w="1990"/>
        <w:gridCol w:w="1988"/>
        <w:gridCol w:w="1988"/>
        <w:gridCol w:w="1995"/>
        <w:gridCol w:w="125"/>
      </w:tblGrid>
      <w:tr>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trHeight w:val="545"/>
        </w:trPr>
        <w:tc>
          <w:tcPr>
            <w:tcW w:w="783" w:type="dxa"/>
            <w:vMerge w:val="restart"/>
            <w:tcBorders>
              <w:bottom w:val="single" w:sz="4" w:space="0" w:color="000000"/>
              <w:right w:val="single" w:sz="4" w:space="0" w:color="000000"/>
            </w:tcBorders>
          </w:tcPr>
          <w:p>
            <w:pPr>
              <w:pStyle w:val="TableParagraph"/>
              <w:rPr>
                <w:rFonts w:ascii="Times New Roman"/>
                <w:sz w:val="22"/>
              </w:rPr>
            </w:pPr>
          </w:p>
        </w:tc>
        <w:tc>
          <w:tcPr>
            <w:tcW w:w="120" w:type="dxa"/>
            <w:vMerge w:val="restart"/>
            <w:tcBorders>
              <w:left w:val="single" w:sz="4" w:space="0" w:color="000000"/>
              <w:bottom w:val="nil"/>
              <w:right w:val="single" w:sz="12" w:space="0" w:color="000000"/>
            </w:tcBorders>
          </w:tcPr>
          <w:p>
            <w:pPr>
              <w:pStyle w:val="TableParagraph"/>
              <w:rPr>
                <w:rFonts w:ascii="Times New Roman"/>
                <w:sz w:val="22"/>
              </w:rPr>
            </w:pPr>
          </w:p>
        </w:tc>
        <w:tc>
          <w:tcPr>
            <w:tcW w:w="1990" w:type="dxa"/>
            <w:tcBorders>
              <w:top w:val="thinThickMediumGap" w:sz="6" w:space="0" w:color="000000"/>
              <w:left w:val="single" w:sz="12" w:space="0" w:color="000000"/>
              <w:bottom w:val="single" w:sz="6" w:space="0" w:color="000000"/>
              <w:right w:val="single" w:sz="6" w:space="0" w:color="000000"/>
            </w:tcBorders>
          </w:tcPr>
          <w:p>
            <w:pPr>
              <w:pStyle w:val="TableParagraph"/>
              <w:spacing w:before="144"/>
              <w:ind w:left="9"/>
              <w:jc w:val="center"/>
              <w:rPr>
                <w:rFonts w:ascii="Times New Roman"/>
                <w:sz w:val="21"/>
              </w:rPr>
            </w:pPr>
            <w:r>
              <w:rPr>
                <w:rFonts w:ascii="Times New Roman"/>
                <w:w w:val="100"/>
                <w:sz w:val="21"/>
              </w:rPr>
              <w:t>4</w:t>
            </w:r>
          </w:p>
        </w:tc>
        <w:tc>
          <w:tcPr>
            <w:tcW w:w="1988" w:type="dxa"/>
            <w:tcBorders>
              <w:top w:val="thinThickMediumGap" w:sz="6" w:space="0" w:color="000000"/>
              <w:left w:val="single" w:sz="6" w:space="0" w:color="000000"/>
              <w:bottom w:val="single" w:sz="6" w:space="0" w:color="000000"/>
              <w:right w:val="single" w:sz="6" w:space="0" w:color="000000"/>
            </w:tcBorders>
          </w:tcPr>
          <w:p>
            <w:pPr>
              <w:pStyle w:val="TableParagraph"/>
              <w:ind w:left="136" w:right="117"/>
              <w:jc w:val="center"/>
              <w:rPr>
                <w:sz w:val="21"/>
              </w:rPr>
            </w:pPr>
            <w:r>
              <w:rPr>
                <w:sz w:val="21"/>
              </w:rPr>
              <w:t>施工临时设施及生</w:t>
            </w:r>
          </w:p>
          <w:p>
            <w:pPr>
              <w:pStyle w:val="TableParagraph"/>
              <w:spacing w:before="5" w:line="252" w:lineRule="exact"/>
              <w:ind w:left="136" w:right="112"/>
              <w:jc w:val="center"/>
              <w:rPr>
                <w:sz w:val="21"/>
              </w:rPr>
            </w:pPr>
            <w:r>
              <w:rPr>
                <w:sz w:val="21"/>
              </w:rPr>
              <w:t>活区（</w:t>
            </w:r>
            <w:r>
              <w:rPr>
                <w:rFonts w:ascii="Times New Roman" w:eastAsia="Times New Roman"/>
                <w:sz w:val="21"/>
              </w:rPr>
              <w:t>6</w:t>
            </w:r>
            <w:r>
              <w:rPr>
                <w:sz w:val="21"/>
              </w:rPr>
              <w:t>个）</w:t>
            </w:r>
          </w:p>
        </w:tc>
        <w:tc>
          <w:tcPr>
            <w:tcW w:w="1988" w:type="dxa"/>
            <w:tcBorders>
              <w:top w:val="thinThickMediumGap" w:sz="6" w:space="0" w:color="000000"/>
              <w:left w:val="single" w:sz="6" w:space="0" w:color="000000"/>
              <w:bottom w:val="single" w:sz="6" w:space="0" w:color="000000"/>
              <w:right w:val="single" w:sz="6" w:space="0" w:color="000000"/>
            </w:tcBorders>
          </w:tcPr>
          <w:p>
            <w:pPr>
              <w:pStyle w:val="TableParagraph"/>
              <w:spacing w:before="144"/>
              <w:ind w:left="811"/>
              <w:rPr>
                <w:rFonts w:ascii="Times New Roman"/>
                <w:sz w:val="21"/>
              </w:rPr>
            </w:pPr>
            <w:r>
              <w:rPr>
                <w:rFonts w:ascii="Times New Roman"/>
                <w:sz w:val="21"/>
              </w:rPr>
              <w:t>45.0</w:t>
            </w:r>
          </w:p>
        </w:tc>
        <w:tc>
          <w:tcPr>
            <w:tcW w:w="1995" w:type="dxa"/>
            <w:tcBorders>
              <w:top w:val="thinThickMediumGap" w:sz="6" w:space="0" w:color="000000"/>
              <w:left w:val="single" w:sz="6" w:space="0" w:color="000000"/>
              <w:bottom w:val="single" w:sz="6" w:space="0" w:color="000000"/>
              <w:right w:val="single" w:sz="12" w:space="0" w:color="000000"/>
            </w:tcBorders>
          </w:tcPr>
          <w:p>
            <w:pPr>
              <w:pStyle w:val="TableParagraph"/>
              <w:spacing w:before="144"/>
              <w:ind w:left="877" w:right="844"/>
              <w:jc w:val="center"/>
              <w:rPr>
                <w:rFonts w:ascii="Times New Roman"/>
                <w:sz w:val="21"/>
              </w:rPr>
            </w:pPr>
            <w:r>
              <w:rPr>
                <w:rFonts w:ascii="Times New Roman"/>
                <w:sz w:val="21"/>
              </w:rPr>
              <w:t>24</w:t>
            </w:r>
          </w:p>
        </w:tc>
        <w:tc>
          <w:tcPr>
            <w:tcW w:w="125" w:type="dxa"/>
            <w:tcBorders>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398"/>
        </w:trPr>
        <w:tc>
          <w:tcPr>
            <w:tcW w:w="783" w:type="dxa"/>
            <w:vMerge/>
            <w:tcBorders>
              <w:top w:val="nil"/>
              <w:bottom w:val="single" w:sz="4" w:space="0" w:color="000000"/>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1990" w:type="dxa"/>
            <w:tcBorders>
              <w:top w:val="single" w:sz="6" w:space="0" w:color="000000"/>
              <w:left w:val="single" w:sz="12" w:space="0" w:color="000000"/>
              <w:bottom w:val="single" w:sz="6" w:space="0" w:color="000000"/>
              <w:right w:val="single" w:sz="6" w:space="0" w:color="000000"/>
            </w:tcBorders>
          </w:tcPr>
          <w:p>
            <w:pPr>
              <w:pStyle w:val="TableParagraph"/>
              <w:spacing w:before="72"/>
              <w:ind w:left="9"/>
              <w:jc w:val="center"/>
              <w:rPr>
                <w:rFonts w:ascii="Times New Roman"/>
                <w:sz w:val="21"/>
              </w:rPr>
            </w:pPr>
            <w:r>
              <w:rPr>
                <w:rFonts w:ascii="Times New Roman"/>
                <w:w w:val="100"/>
                <w:sz w:val="21"/>
              </w:rPr>
              <w:t>5</w:t>
            </w:r>
          </w:p>
        </w:tc>
        <w:tc>
          <w:tcPr>
            <w:tcW w:w="1988" w:type="dxa"/>
            <w:tcBorders>
              <w:top w:val="single" w:sz="6" w:space="0" w:color="000000"/>
              <w:left w:val="single" w:sz="6" w:space="0" w:color="000000"/>
              <w:bottom w:val="single" w:sz="6" w:space="0" w:color="000000"/>
              <w:right w:val="single" w:sz="6" w:space="0" w:color="000000"/>
            </w:tcBorders>
          </w:tcPr>
          <w:p>
            <w:pPr>
              <w:pStyle w:val="TableParagraph"/>
              <w:spacing w:before="58"/>
              <w:ind w:left="136" w:right="117"/>
              <w:jc w:val="center"/>
              <w:rPr>
                <w:sz w:val="21"/>
              </w:rPr>
            </w:pPr>
            <w:r>
              <w:rPr>
                <w:sz w:val="21"/>
              </w:rPr>
              <w:t>施工导流及其他</w:t>
            </w:r>
          </w:p>
        </w:tc>
        <w:tc>
          <w:tcPr>
            <w:tcW w:w="1988" w:type="dxa"/>
            <w:tcBorders>
              <w:top w:val="single" w:sz="6" w:space="0" w:color="000000"/>
              <w:left w:val="single" w:sz="6" w:space="0" w:color="000000"/>
              <w:bottom w:val="single" w:sz="6" w:space="0" w:color="000000"/>
              <w:right w:val="single" w:sz="6" w:space="0" w:color="000000"/>
            </w:tcBorders>
          </w:tcPr>
          <w:p>
            <w:pPr>
              <w:pStyle w:val="TableParagraph"/>
              <w:spacing w:before="72"/>
              <w:ind w:left="811"/>
              <w:rPr>
                <w:rFonts w:ascii="Times New Roman"/>
                <w:sz w:val="21"/>
              </w:rPr>
            </w:pPr>
            <w:r>
              <w:rPr>
                <w:rFonts w:ascii="Times New Roman"/>
                <w:sz w:val="21"/>
              </w:rPr>
              <w:t>68.8</w:t>
            </w:r>
          </w:p>
        </w:tc>
        <w:tc>
          <w:tcPr>
            <w:tcW w:w="1995" w:type="dxa"/>
            <w:tcBorders>
              <w:top w:val="single" w:sz="6" w:space="0" w:color="000000"/>
              <w:left w:val="single" w:sz="6" w:space="0" w:color="000000"/>
              <w:bottom w:val="single" w:sz="6" w:space="0" w:color="000000"/>
              <w:right w:val="single" w:sz="12" w:space="0" w:color="000000"/>
            </w:tcBorders>
          </w:tcPr>
          <w:p>
            <w:pPr>
              <w:pStyle w:val="TableParagraph"/>
              <w:spacing w:before="72"/>
              <w:ind w:left="877" w:right="844"/>
              <w:jc w:val="center"/>
              <w:rPr>
                <w:rFonts w:ascii="Times New Roman"/>
                <w:sz w:val="21"/>
              </w:rPr>
            </w:pPr>
            <w:r>
              <w:rPr>
                <w:rFonts w:ascii="Times New Roman"/>
                <w:sz w:val="21"/>
              </w:rPr>
              <w:t>24</w:t>
            </w:r>
          </w:p>
        </w:tc>
        <w:tc>
          <w:tcPr>
            <w:tcW w:w="125"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397"/>
        </w:trPr>
        <w:tc>
          <w:tcPr>
            <w:tcW w:w="783" w:type="dxa"/>
            <w:vMerge/>
            <w:tcBorders>
              <w:top w:val="nil"/>
              <w:bottom w:val="single" w:sz="4" w:space="0" w:color="000000"/>
              <w:right w:val="single" w:sz="4" w:space="0" w:color="000000"/>
            </w:tcBorders>
          </w:tcPr>
          <w:p>
            <w:pPr>
              <w:rPr>
                <w:sz w:val="2"/>
                <w:szCs w:val="2"/>
              </w:rPr>
            </w:pPr>
          </w:p>
        </w:tc>
        <w:tc>
          <w:tcPr>
            <w:tcW w:w="120" w:type="dxa"/>
            <w:vMerge/>
            <w:tcBorders>
              <w:top w:val="nil"/>
              <w:left w:val="single" w:sz="4" w:space="0" w:color="000000"/>
              <w:bottom w:val="nil"/>
              <w:right w:val="single" w:sz="12" w:space="0" w:color="000000"/>
            </w:tcBorders>
          </w:tcPr>
          <w:p>
            <w:pPr>
              <w:rPr>
                <w:sz w:val="2"/>
                <w:szCs w:val="2"/>
              </w:rPr>
            </w:pPr>
          </w:p>
        </w:tc>
        <w:tc>
          <w:tcPr>
            <w:tcW w:w="1990" w:type="dxa"/>
            <w:tcBorders>
              <w:top w:val="single" w:sz="6" w:space="0" w:color="000000"/>
              <w:left w:val="single" w:sz="12" w:space="0" w:color="000000"/>
              <w:bottom w:val="single" w:sz="12" w:space="0" w:color="000000"/>
              <w:right w:val="single" w:sz="6" w:space="0" w:color="000000"/>
            </w:tcBorders>
          </w:tcPr>
          <w:p>
            <w:pPr>
              <w:pStyle w:val="TableParagraph"/>
              <w:spacing w:before="67"/>
              <w:ind w:left="9"/>
              <w:jc w:val="center"/>
              <w:rPr>
                <w:rFonts w:ascii="Times New Roman"/>
                <w:sz w:val="21"/>
              </w:rPr>
            </w:pPr>
            <w:r>
              <w:rPr>
                <w:rFonts w:ascii="Times New Roman"/>
                <w:w w:val="100"/>
                <w:sz w:val="21"/>
              </w:rPr>
              <w:t>6</w:t>
            </w:r>
          </w:p>
        </w:tc>
        <w:tc>
          <w:tcPr>
            <w:tcW w:w="1988" w:type="dxa"/>
            <w:tcBorders>
              <w:top w:val="single" w:sz="6" w:space="0" w:color="000000"/>
              <w:left w:val="single" w:sz="6" w:space="0" w:color="000000"/>
              <w:bottom w:val="single" w:sz="12" w:space="0" w:color="000000"/>
              <w:right w:val="single" w:sz="6" w:space="0" w:color="000000"/>
            </w:tcBorders>
          </w:tcPr>
          <w:p>
            <w:pPr>
              <w:pStyle w:val="TableParagraph"/>
              <w:spacing w:before="58"/>
              <w:ind w:left="136" w:right="112"/>
              <w:jc w:val="center"/>
              <w:rPr>
                <w:sz w:val="21"/>
              </w:rPr>
            </w:pPr>
            <w:r>
              <w:rPr>
                <w:sz w:val="21"/>
              </w:rPr>
              <w:t>合计</w:t>
            </w:r>
          </w:p>
        </w:tc>
        <w:tc>
          <w:tcPr>
            <w:tcW w:w="1988" w:type="dxa"/>
            <w:tcBorders>
              <w:top w:val="single" w:sz="6" w:space="0" w:color="000000"/>
              <w:left w:val="single" w:sz="6" w:space="0" w:color="000000"/>
              <w:bottom w:val="single" w:sz="12" w:space="0" w:color="000000"/>
              <w:right w:val="single" w:sz="6" w:space="0" w:color="000000"/>
            </w:tcBorders>
          </w:tcPr>
          <w:p>
            <w:pPr>
              <w:pStyle w:val="TableParagraph"/>
              <w:spacing w:before="67"/>
              <w:ind w:left="763"/>
              <w:rPr>
                <w:rFonts w:ascii="Times New Roman"/>
                <w:sz w:val="21"/>
              </w:rPr>
            </w:pPr>
            <w:r>
              <w:rPr>
                <w:rFonts w:ascii="Times New Roman"/>
                <w:sz w:val="21"/>
              </w:rPr>
              <w:t>527.7</w:t>
            </w:r>
          </w:p>
        </w:tc>
        <w:tc>
          <w:tcPr>
            <w:tcW w:w="1995" w:type="dxa"/>
            <w:tcBorders>
              <w:top w:val="single" w:sz="6" w:space="0" w:color="000000"/>
              <w:left w:val="single" w:sz="6" w:space="0" w:color="000000"/>
              <w:bottom w:val="single" w:sz="12" w:space="0" w:color="000000"/>
              <w:right w:val="single" w:sz="12" w:space="0" w:color="000000"/>
            </w:tcBorders>
          </w:tcPr>
          <w:p>
            <w:pPr>
              <w:pStyle w:val="TableParagraph"/>
              <w:spacing w:before="67"/>
              <w:ind w:left="877" w:right="844"/>
              <w:jc w:val="center"/>
              <w:rPr>
                <w:rFonts w:ascii="Times New Roman"/>
                <w:sz w:val="21"/>
              </w:rPr>
            </w:pPr>
            <w:r>
              <w:rPr>
                <w:rFonts w:ascii="Times New Roman"/>
                <w:sz w:val="21"/>
              </w:rPr>
              <w:t>--</w:t>
            </w:r>
          </w:p>
        </w:tc>
        <w:tc>
          <w:tcPr>
            <w:tcW w:w="125" w:type="dxa"/>
            <w:tcBorders>
              <w:top w:val="nil"/>
              <w:left w:val="single" w:sz="12" w:space="0" w:color="000000"/>
              <w:bottom w:val="nil"/>
            </w:tcBorders>
          </w:tcPr>
          <w:p>
            <w:pPr>
              <w:pStyle w:val="TableParagraph"/>
              <w:rPr>
                <w:rFonts w:ascii="Times New Roman"/>
                <w:sz w:val="22"/>
              </w:rPr>
            </w:pPr>
          </w:p>
        </w:tc>
      </w:tr>
      <w:tr>
        <w:tblPrEx>
          <w:tblW w:w="0" w:type="auto"/>
          <w:tblInd w:w="490" w:type="dxa"/>
          <w:tblLayout w:type="fixed"/>
          <w:tblCellMar>
            <w:top w:w="0" w:type="dxa"/>
            <w:left w:w="0" w:type="dxa"/>
            <w:bottom w:w="0" w:type="dxa"/>
            <w:right w:w="0" w:type="dxa"/>
          </w:tblCellMar>
        </w:tblPrEx>
        <w:trPr>
          <w:trHeight w:val="11329"/>
        </w:trPr>
        <w:tc>
          <w:tcPr>
            <w:tcW w:w="783" w:type="dxa"/>
            <w:vMerge/>
            <w:tcBorders>
              <w:top w:val="nil"/>
              <w:bottom w:val="single" w:sz="4" w:space="0" w:color="000000"/>
              <w:right w:val="single" w:sz="4" w:space="0" w:color="000000"/>
            </w:tcBorders>
          </w:tcPr>
          <w:p>
            <w:pPr>
              <w:rPr>
                <w:sz w:val="2"/>
                <w:szCs w:val="2"/>
              </w:rPr>
            </w:pPr>
          </w:p>
        </w:tc>
        <w:tc>
          <w:tcPr>
            <w:tcW w:w="8206" w:type="dxa"/>
            <w:gridSpan w:val="6"/>
            <w:tcBorders>
              <w:top w:val="single" w:sz="12" w:space="0" w:color="000000"/>
              <w:left w:val="single" w:sz="4" w:space="0" w:color="000000"/>
              <w:bottom w:val="single" w:sz="4" w:space="0" w:color="000000"/>
            </w:tcBorders>
          </w:tcPr>
          <w:p>
            <w:pPr>
              <w:pStyle w:val="TableParagraph"/>
              <w:spacing w:before="119"/>
              <w:ind w:left="590"/>
              <w:rPr>
                <w:sz w:val="24"/>
              </w:rPr>
            </w:pPr>
            <w:r>
              <w:rPr>
                <w:rFonts w:ascii="Times New Roman" w:eastAsia="Times New Roman"/>
                <w:sz w:val="24"/>
              </w:rPr>
              <w:t>3</w:t>
            </w:r>
            <w:r>
              <w:rPr>
                <w:sz w:val="24"/>
              </w:rPr>
              <w:t>、占地复垦</w:t>
            </w:r>
          </w:p>
          <w:p>
            <w:pPr>
              <w:pStyle w:val="TableParagraph"/>
              <w:spacing w:before="158" w:line="367" w:lineRule="auto"/>
              <w:ind w:left="110" w:right="97" w:firstLine="480"/>
              <w:rPr>
                <w:sz w:val="24"/>
              </w:rPr>
            </w:pPr>
            <w:r>
              <w:rPr>
                <w:sz w:val="24"/>
              </w:rPr>
              <w:t xml:space="preserve">工程临时用地主要包括弃土堆放区、临时堆放区及施工临时设施及生活区用地。 </w:t>
            </w:r>
          </w:p>
          <w:p>
            <w:pPr>
              <w:pStyle w:val="TableParagraph"/>
              <w:spacing w:line="303" w:lineRule="exact"/>
              <w:ind w:left="590"/>
              <w:rPr>
                <w:sz w:val="24"/>
              </w:rPr>
            </w:pPr>
            <w:r>
              <w:rPr>
                <w:sz w:val="24"/>
              </w:rPr>
              <w:t xml:space="preserve">（一）施工临时用地复垦 </w:t>
            </w:r>
          </w:p>
          <w:p>
            <w:pPr>
              <w:pStyle w:val="TableParagraph"/>
              <w:spacing w:before="158" w:line="364" w:lineRule="auto"/>
              <w:ind w:left="110" w:right="-44" w:firstLine="480"/>
              <w:rPr>
                <w:sz w:val="24"/>
              </w:rPr>
            </w:pPr>
            <w:r>
              <w:rPr>
                <w:spacing w:val="-6"/>
                <w:sz w:val="24"/>
              </w:rPr>
              <w:t xml:space="preserve">施工道路、办公及生活区是施工单位项目部日常办公、居住生活的区域， </w:t>
            </w:r>
            <w:r>
              <w:rPr>
                <w:spacing w:val="-2"/>
                <w:sz w:val="24"/>
              </w:rPr>
              <w:t>土地容易板结；拌合站、综合加工厂及砼预制厂和油库主要用来进行堆放砂</w:t>
            </w:r>
            <w:r>
              <w:rPr>
                <w:sz w:val="24"/>
              </w:rPr>
              <w:t>石料、混凝土搅拌、砼预制件加工及存放，土地易受砂石料及混凝土废液等污染。其他施工临时用地复垦分两个阶段，第一阶段是主体工程完成后将生</w:t>
            </w:r>
            <w:r>
              <w:rPr>
                <w:spacing w:val="-2"/>
                <w:sz w:val="24"/>
              </w:rPr>
              <w:t>活垃圾和建筑垃圾清理外运</w:t>
            </w:r>
            <w:r>
              <w:rPr>
                <w:sz w:val="24"/>
              </w:rPr>
              <w:t>（计入环境保护部分</w:t>
            </w:r>
            <w:r>
              <w:rPr>
                <w:spacing w:val="-20"/>
                <w:sz w:val="24"/>
              </w:rPr>
              <w:t>），</w:t>
            </w:r>
            <w:r>
              <w:rPr>
                <w:sz w:val="24"/>
              </w:rPr>
              <w:t xml:space="preserve">并结合原有高程及坡向， 对多余土方摊平处理，同时恢复沟路渠等原有地貌，本阶段内容由主体工程施工企业完成，投资计列在主体工程、环境保护与水土保持投资中。恢复完毕后由当地政府组织验收；第二阶段是在第一阶段完成并交地的基础上进行的复垦，主要是结合邻近地块坡向、高程及种植习惯由土地所有者对土地自行精细整平并恢复原有田埂。 </w:t>
            </w:r>
          </w:p>
          <w:p>
            <w:pPr>
              <w:pStyle w:val="TableParagraph"/>
              <w:spacing w:line="305" w:lineRule="exact"/>
              <w:ind w:left="590"/>
              <w:rPr>
                <w:sz w:val="24"/>
              </w:rPr>
            </w:pPr>
            <w:r>
              <w:rPr>
                <w:sz w:val="24"/>
              </w:rPr>
              <w:t xml:space="preserve">（二）弃土区临时用地复垦 </w:t>
            </w:r>
          </w:p>
          <w:p>
            <w:pPr>
              <w:pStyle w:val="TableParagraph"/>
              <w:spacing w:before="158" w:line="364" w:lineRule="auto"/>
              <w:ind w:left="110" w:right="95" w:firstLine="480"/>
              <w:jc w:val="both"/>
              <w:rPr>
                <w:sz w:val="24"/>
              </w:rPr>
            </w:pPr>
            <w:r>
              <w:rPr>
                <w:sz w:val="24"/>
              </w:rPr>
              <w:t>弃土区临时用地复垦共分四个阶段，第一阶段是临时用地表层土（耕作层）的剥离、集中堆放、看护和表层土回填整平等，第二阶段是土方堆填工程，第三阶段是表层土回覆、平整处理工程，同时将生活垃圾和建筑垃圾清理外运，并结合原有高程及坡向，对多余土方摊平处理，同时恢复沟路渠等原有地貌，本阶段内容由主体工程施工企业完成，投资计列在主体工程、环境保护与水土保持投资中，恢复完毕后由当地政府组织验收；第四阶段是在第一、二、三阶段完成并交地的基础上进行的复垦，主要是结合邻近地块坡向、高程及种植习惯由土地所有者对土地自行精细整平并恢复原有田埂、灌</w:t>
            </w:r>
          </w:p>
          <w:p>
            <w:pPr>
              <w:pStyle w:val="TableParagraph"/>
              <w:spacing w:line="304" w:lineRule="exact"/>
              <w:ind w:left="110"/>
              <w:rPr>
                <w:sz w:val="24"/>
              </w:rPr>
            </w:pPr>
            <w:r>
              <w:rPr>
                <w:sz w:val="24"/>
              </w:rPr>
              <w:t xml:space="preserve">排设施。 </w:t>
            </w:r>
          </w:p>
        </w:tc>
      </w:tr>
      <w:tr>
        <w:tblPrEx>
          <w:tblW w:w="0" w:type="auto"/>
          <w:tblInd w:w="490" w:type="dxa"/>
          <w:tblLayout w:type="fixed"/>
          <w:tblCellMar>
            <w:top w:w="0" w:type="dxa"/>
            <w:left w:w="0" w:type="dxa"/>
            <w:bottom w:w="0" w:type="dxa"/>
            <w:right w:w="0" w:type="dxa"/>
          </w:tblCellMar>
        </w:tblPrEx>
        <w:trPr>
          <w:trHeight w:val="618"/>
        </w:trPr>
        <w:tc>
          <w:tcPr>
            <w:tcW w:w="783" w:type="dxa"/>
            <w:tcBorders>
              <w:top w:val="single" w:sz="4" w:space="0" w:color="000000"/>
              <w:right w:val="single" w:sz="4" w:space="0" w:color="000000"/>
            </w:tcBorders>
          </w:tcPr>
          <w:p>
            <w:pPr>
              <w:pStyle w:val="TableParagraph"/>
              <w:spacing w:line="302" w:lineRule="exact"/>
              <w:ind w:left="148"/>
              <w:rPr>
                <w:sz w:val="24"/>
              </w:rPr>
            </w:pPr>
            <w:r>
              <w:rPr>
                <w:sz w:val="24"/>
              </w:rPr>
              <w:t>施工</w:t>
            </w:r>
          </w:p>
          <w:p>
            <w:pPr>
              <w:pStyle w:val="TableParagraph"/>
              <w:spacing w:line="296" w:lineRule="exact"/>
              <w:ind w:left="148"/>
              <w:rPr>
                <w:sz w:val="24"/>
              </w:rPr>
            </w:pPr>
            <w:r>
              <w:rPr>
                <w:sz w:val="24"/>
              </w:rPr>
              <w:t>方案</w:t>
            </w:r>
          </w:p>
        </w:tc>
        <w:tc>
          <w:tcPr>
            <w:tcW w:w="8206" w:type="dxa"/>
            <w:gridSpan w:val="6"/>
            <w:tcBorders>
              <w:top w:val="single" w:sz="4" w:space="0" w:color="000000"/>
              <w:left w:val="single" w:sz="4" w:space="0" w:color="000000"/>
            </w:tcBorders>
          </w:tcPr>
          <w:p>
            <w:pPr>
              <w:pStyle w:val="TableParagraph"/>
              <w:spacing w:before="120"/>
              <w:ind w:left="590"/>
              <w:rPr>
                <w:b/>
                <w:sz w:val="24"/>
              </w:rPr>
            </w:pPr>
            <w:r>
              <w:rPr>
                <w:b/>
                <w:sz w:val="24"/>
              </w:rPr>
              <w:t>一、工程概况及对外交通条件</w:t>
            </w:r>
          </w:p>
        </w:tc>
      </w:tr>
    </w:tbl>
    <w:p>
      <w:pPr>
        <w:pStyle w:val="BodyText"/>
        <w:rPr>
          <w:sz w:val="20"/>
        </w:rPr>
      </w:pPr>
    </w:p>
    <w:p>
      <w:pPr>
        <w:pStyle w:val="BodyText"/>
        <w:spacing w:before="7"/>
        <w:rPr>
          <w:sz w:val="26"/>
        </w:rPr>
      </w:pPr>
    </w:p>
    <w:p>
      <w:pPr>
        <w:spacing w:before="60"/>
        <w:ind w:left="551" w:right="0" w:firstLine="0"/>
        <w:jc w:val="left"/>
        <w:rPr>
          <w:sz w:val="28"/>
        </w:rPr>
      </w:pPr>
      <w:r>
        <w:rPr>
          <w:sz w:val="28"/>
        </w:rPr>
        <w:t>—</w:t>
      </w:r>
      <w:r>
        <w:rPr>
          <w:sz w:val="26"/>
        </w:rPr>
        <w:t>31</w:t>
      </w:r>
      <w:r>
        <w:rPr>
          <w:sz w:val="28"/>
        </w:rPr>
        <w:t>—</w:t>
      </w:r>
    </w:p>
    <w:p>
      <w:pPr>
        <w:spacing w:after="0"/>
        <w:jc w:val="left"/>
        <w:rPr>
          <w:sz w:val="28"/>
        </w:rPr>
        <w:sectPr>
          <w:pgSz w:w="11910" w:h="16840"/>
          <w:pgMar w:top="1580" w:right="820" w:bottom="280" w:left="980" w:header="720" w:footer="720" w:gutter="0"/>
          <w:pgNumType w:start="36"/>
          <w:cols w:num="1" w:space="720"/>
        </w:sectPr>
      </w:pPr>
    </w:p>
    <w:p>
      <w:pPr>
        <w:pStyle w:val="BodyText"/>
        <w:spacing w:before="125" w:line="364" w:lineRule="auto"/>
        <w:ind w:left="1368" w:right="754" w:firstLine="480"/>
        <w:jc w:val="both"/>
      </w:pPr>
      <w:r>
        <w:pict>
          <v:group id="_x0000_s1087" o:spid="_x0000_s1077" style="width:450.45pt;height:655.85pt;margin-top:5pt;margin-left:72.5pt;mso-height-relative:page;mso-position-horizontal-relative:page;mso-width-relative:page;position:absolute;z-index:-251654144" coordorigin="1450,101" coordsize="9009,13117">
            <v:rect id="_x0000_s1088" o:spid="_x0000_s1078" style="width:20;height:20;left:1450;position:absolute;top:101" coordsize="21600,21600" filled="t" fillcolor="black" stroked="f"/>
            <v:line id="_x0000_s1089" o:spid="_x0000_s1079" style="position:absolute" from="1469,111" to="2238,111" coordsize="21600,21600" stroked="t" strokecolor="black"/>
            <v:rect id="_x0000_s1090" o:spid="_x0000_s1080" style="width:20;height:20;left:2237;position:absolute;top:101" coordsize="21600,21600" filled="t" fillcolor="black" stroked="f"/>
            <v:line id="_x0000_s1091" o:spid="_x0000_s1081" style="position:absolute" from="2257,111" to="10439,111" coordsize="21600,21600" stroked="t" strokecolor="black"/>
            <v:rect id="_x0000_s1092" o:spid="_x0000_s1082" style="width:20;height:20;left:10439;position:absolute;top:101" coordsize="21600,21600" filled="t" fillcolor="black" stroked="f"/>
            <v:line id="_x0000_s1093" o:spid="_x0000_s1083" style="position:absolute" from="1460,120" to="1460,13218" coordsize="21600,21600" stroked="t" strokecolor="black"/>
            <v:line id="_x0000_s1094" o:spid="_x0000_s1084" style="position:absolute" from="1469,13208" to="2238,13208" coordsize="21600,21600" stroked="t" strokecolor="black"/>
            <v:line id="_x0000_s1095" o:spid="_x0000_s1085" style="position:absolute" from="2243,120" to="2243,13199" coordsize="21600,21600" stroked="t" strokecolor="black"/>
            <v:rect id="_x0000_s1096" o:spid="_x0000_s1086" style="width:20;height:20;left:2237;position:absolute;top:13198" coordsize="21600,21600" filled="t" fillcolor="black" stroked="f"/>
            <v:line id="_x0000_s1097" o:spid="_x0000_s1087" style="position:absolute" from="2257,13208" to="10439,13208" coordsize="21600,21600" stroked="t" strokecolor="black"/>
            <v:line id="_x0000_s1098" o:spid="_x0000_s1088" style="position:absolute" from="10449,120" to="10449,13218" coordsize="21600,21600" stroked="t" strokecolor="black"/>
          </v:group>
        </w:pict>
      </w:r>
      <w:r>
        <w:t>德州经济技术开发区引调水工程主要包括四支沟综合治理、站前沟综合治理、杨庄河综合治理、长河公园岔河连通工程、岔河减河堤顶路改造工程五部分。</w:t>
      </w:r>
    </w:p>
    <w:p>
      <w:pPr>
        <w:pStyle w:val="BodyText"/>
        <w:spacing w:line="364" w:lineRule="auto"/>
        <w:ind w:left="1368" w:right="745" w:firstLine="480"/>
        <w:jc w:val="both"/>
      </w:pPr>
      <w:r>
        <w:t>工程区位于德州经济技术开发区境内，京台高速公路、滨德高速公路、</w:t>
      </w:r>
      <w:r>
        <w:rPr>
          <w:rFonts w:ascii="Times New Roman" w:eastAsia="Times New Roman"/>
        </w:rPr>
        <w:t>513</w:t>
      </w:r>
      <w:r>
        <w:rPr>
          <w:rFonts w:ascii="Times New Roman" w:eastAsia="Times New Roman"/>
          <w:spacing w:val="-3"/>
        </w:rPr>
        <w:t xml:space="preserve"> </w:t>
      </w:r>
      <w:r>
        <w:rPr>
          <w:spacing w:val="-7"/>
        </w:rPr>
        <w:t>国道、</w:t>
      </w:r>
      <w:r>
        <w:rPr>
          <w:rFonts w:ascii="Times New Roman" w:eastAsia="Times New Roman"/>
        </w:rPr>
        <w:t>324</w:t>
      </w:r>
      <w:r>
        <w:rPr>
          <w:rFonts w:ascii="Times New Roman" w:eastAsia="Times New Roman"/>
          <w:spacing w:val="-3"/>
        </w:rPr>
        <w:t xml:space="preserve"> </w:t>
      </w:r>
      <w:r>
        <w:rPr>
          <w:spacing w:val="-5"/>
        </w:rPr>
        <w:t>省道自境内穿过，县乡公路四通八达，且辖区内的乡镇实现了</w:t>
      </w:r>
      <w:r>
        <w:t>村村通公路，可与工程区附近的主干道相连接，对外交通条件十分便利，因此工程施工所需施工设备、砂石料、生活物资和其他建筑材料，均可由以上交通道路运至工程区附近。</w:t>
      </w:r>
    </w:p>
    <w:p>
      <w:pPr>
        <w:pStyle w:val="Heading4"/>
      </w:pPr>
      <w:r>
        <w:rPr>
          <w:w w:val="95"/>
        </w:rPr>
        <w:t>二、主要建筑材料供应</w:t>
      </w:r>
    </w:p>
    <w:p>
      <w:pPr>
        <w:pStyle w:val="BodyText"/>
        <w:spacing w:before="154" w:line="364" w:lineRule="auto"/>
        <w:ind w:left="1368" w:right="754" w:firstLine="480"/>
        <w:jc w:val="both"/>
      </w:pPr>
      <w:r>
        <w:t>工程区主要位于经开区境内，工程所需钢筋、水泥、柴油、汽油、木材及其他建筑材料均可自工程区附近的乡镇或城区正规厂家购买，无论产量还是质量均能满足本工程施工期间设计指标的需求；混凝土可自距施工现场较近的正规商品混凝土生产厂家购买；工程所需的块石、混凝土骨料等均自料场购买。</w:t>
      </w:r>
    </w:p>
    <w:p>
      <w:pPr>
        <w:pStyle w:val="Heading4"/>
        <w:spacing w:line="304" w:lineRule="exact"/>
      </w:pPr>
      <w:r>
        <w:t>三、施工供电及供水</w:t>
      </w:r>
    </w:p>
    <w:p>
      <w:pPr>
        <w:pStyle w:val="BodyText"/>
        <w:spacing w:before="163"/>
        <w:ind w:left="1848"/>
      </w:pPr>
      <w:r>
        <w:rPr>
          <w:rFonts w:ascii="Times New Roman" w:eastAsia="Times New Roman"/>
        </w:rPr>
        <w:t>1</w:t>
      </w:r>
      <w:r>
        <w:t>、施工供电</w:t>
      </w:r>
    </w:p>
    <w:p>
      <w:pPr>
        <w:pStyle w:val="BodyText"/>
        <w:spacing w:before="158" w:line="362" w:lineRule="auto"/>
        <w:ind w:left="1368" w:right="754" w:firstLine="480"/>
        <w:jc w:val="both"/>
      </w:pPr>
      <w:r>
        <w:t>经开区城市与农村的电网电已全部覆盖，用电相当方便，因此本工程施工生产和生活用电均使用网电，并尽可能与永久供电相结合，部分远离电源点的工程可考虑采用自发电供应。</w:t>
      </w:r>
    </w:p>
    <w:p>
      <w:pPr>
        <w:pStyle w:val="BodyText"/>
        <w:spacing w:before="9" w:line="362" w:lineRule="auto"/>
        <w:ind w:left="1368" w:right="580" w:firstLine="480"/>
      </w:pPr>
      <w:r>
        <w:t>施工用电主要采用电网电与自发电相结合的供电方式。工程沿线施工供电可自工程区附近的</w:t>
      </w:r>
      <w:r>
        <w:rPr>
          <w:rFonts w:ascii="Times New Roman" w:eastAsia="Times New Roman"/>
        </w:rPr>
        <w:t>10kv</w:t>
      </w:r>
      <w:r>
        <w:t>供电线路引接，通过临时配备的变配电设施变电后， 经临时低压线路向各用电点供电，并配备柴油发电机组作为施工期备用电源； 沿线无法直接利用网电的施工场区可利用柴油发电机组作为施工期电源。</w:t>
      </w:r>
    </w:p>
    <w:p>
      <w:pPr>
        <w:pStyle w:val="BodyText"/>
        <w:spacing w:before="11"/>
        <w:ind w:left="1848"/>
      </w:pPr>
      <w:r>
        <w:rPr>
          <w:rFonts w:ascii="Times New Roman" w:eastAsia="Times New Roman"/>
        </w:rPr>
        <w:t>2</w:t>
      </w:r>
      <w:r>
        <w:t>、施工供水</w:t>
      </w:r>
    </w:p>
    <w:p>
      <w:pPr>
        <w:pStyle w:val="BodyText"/>
        <w:spacing w:before="158" w:line="364" w:lineRule="auto"/>
        <w:ind w:left="1368" w:right="754" w:firstLine="480"/>
        <w:jc w:val="both"/>
      </w:pPr>
      <w:r>
        <w:t>工程沿线施工用水可根据各单项工程实际情况分别考虑施工用水方式， 离地表水源地较近且施工期内水源充足的可利用水泵抽水解决，离地表水源地较远且施工期内水源不能满足施工要求的可自工程区附近的村镇接运自来水解决；生活用水自工程区沿线附近的乡镇或村庄接运自来水解决。</w:t>
      </w:r>
    </w:p>
    <w:p>
      <w:pPr>
        <w:pStyle w:val="BodyText"/>
        <w:rPr>
          <w:sz w:val="20"/>
        </w:rPr>
      </w:pPr>
    </w:p>
    <w:p>
      <w:pPr>
        <w:pStyle w:val="BodyText"/>
        <w:rPr>
          <w:sz w:val="20"/>
        </w:rPr>
      </w:pPr>
    </w:p>
    <w:p>
      <w:pPr>
        <w:pStyle w:val="BodyText"/>
        <w:rPr>
          <w:sz w:val="20"/>
        </w:rPr>
      </w:pPr>
    </w:p>
    <w:p>
      <w:pPr>
        <w:spacing w:before="217"/>
        <w:ind w:left="0" w:right="705" w:firstLine="0"/>
        <w:jc w:val="right"/>
        <w:rPr>
          <w:sz w:val="28"/>
        </w:rPr>
      </w:pPr>
      <w:r>
        <w:rPr>
          <w:sz w:val="28"/>
        </w:rPr>
        <w:t>—</w:t>
      </w:r>
      <w:r>
        <w:rPr>
          <w:sz w:val="26"/>
        </w:rPr>
        <w:t>32</w:t>
      </w:r>
      <w:r>
        <w:rPr>
          <w:sz w:val="28"/>
        </w:rPr>
        <w:t>—</w:t>
      </w:r>
    </w:p>
    <w:p>
      <w:pPr>
        <w:spacing w:after="0"/>
        <w:jc w:val="right"/>
        <w:rPr>
          <w:sz w:val="28"/>
        </w:rPr>
        <w:sectPr>
          <w:pgSz w:w="11910" w:h="16840"/>
          <w:pgMar w:top="1580" w:right="820" w:bottom="280" w:left="980" w:header="720" w:footer="720" w:gutter="0"/>
          <w:pgNumType w:start="37"/>
          <w:cols w:num="1" w:space="720"/>
        </w:sectPr>
      </w:pPr>
    </w:p>
    <w:p>
      <w:pPr>
        <w:pStyle w:val="Heading4"/>
        <w:spacing w:before="125"/>
      </w:pPr>
      <w:r>
        <w:pict>
          <v:group id="_x0000_s1099" o:spid="_x0000_s1089" style="width:450.45pt;height:655.85pt;margin-top:5pt;margin-left:72.5pt;mso-height-relative:page;mso-position-horizontal-relative:page;mso-width-relative:page;position:absolute;z-index:-251653120" coordorigin="1450,101" coordsize="9009,13117">
            <v:rect id="_x0000_s1100" o:spid="_x0000_s1090" style="width:20;height:20;left:1450;position:absolute;top:101" coordsize="21600,21600" filled="t" fillcolor="black" stroked="f"/>
            <v:line id="_x0000_s1101" o:spid="_x0000_s1091" style="position:absolute" from="1469,111" to="2238,111" coordsize="21600,21600" stroked="t" strokecolor="black"/>
            <v:rect id="_x0000_s1102" o:spid="_x0000_s1092" style="width:20;height:20;left:2237;position:absolute;top:101" coordsize="21600,21600" filled="t" fillcolor="black" stroked="f"/>
            <v:line id="_x0000_s1103" o:spid="_x0000_s1093" style="position:absolute" from="2257,111" to="10439,111" coordsize="21600,21600" stroked="t" strokecolor="black"/>
            <v:rect id="_x0000_s1104" o:spid="_x0000_s1094" style="width:20;height:20;left:10439;position:absolute;top:101" coordsize="21600,21600" filled="t" fillcolor="black" stroked="f"/>
            <v:line id="_x0000_s1105" o:spid="_x0000_s1095" style="position:absolute" from="1460,120" to="1460,13218" coordsize="21600,21600" stroked="t" strokecolor="black"/>
            <v:line id="_x0000_s1106" o:spid="_x0000_s1096" style="position:absolute" from="1469,13208" to="2238,13208" coordsize="21600,21600" stroked="t" strokecolor="black"/>
            <v:line id="_x0000_s1107" o:spid="_x0000_s1097" style="position:absolute" from="2243,120" to="2243,13199" coordsize="21600,21600" stroked="t" strokecolor="black"/>
            <v:rect id="_x0000_s1108" o:spid="_x0000_s1098" style="width:20;height:20;left:2237;position:absolute;top:13198" coordsize="21600,21600" filled="t" fillcolor="black" stroked="f"/>
            <v:line id="_x0000_s1109" o:spid="_x0000_s1099" style="position:absolute" from="2257,13208" to="10439,13208" coordsize="21600,21600" stroked="t" strokecolor="black"/>
            <v:line id="_x0000_s1110" o:spid="_x0000_s1100" style="position:absolute" from="10449,120" to="10449,13218" coordsize="21600,21600" stroked="t" strokecolor="black"/>
          </v:group>
        </w:pict>
      </w:r>
      <w:r>
        <w:t>四、施工导流</w:t>
      </w:r>
    </w:p>
    <w:p>
      <w:pPr>
        <w:pStyle w:val="BodyText"/>
        <w:spacing w:before="158"/>
        <w:ind w:left="1848"/>
      </w:pPr>
      <w:r>
        <w:rPr>
          <w:rFonts w:ascii="Times New Roman" w:eastAsia="Times New Roman"/>
        </w:rPr>
        <w:t>1</w:t>
      </w:r>
      <w:r>
        <w:t>、施工导流</w:t>
      </w:r>
    </w:p>
    <w:p>
      <w:pPr>
        <w:pStyle w:val="BodyText"/>
        <w:spacing w:before="159" w:line="364" w:lineRule="auto"/>
        <w:ind w:left="1368" w:right="626" w:firstLine="480"/>
        <w:jc w:val="both"/>
      </w:pPr>
      <w:r>
        <w:t>根据工程总体布置，健康步道工程满足干地施工的技术要求，不再采取导流措施；河道清淤工程可利用河道低水位时段择机施工或结合河道护坡工程采取的导流措施同步实施，不再采取导流措施；河道护砌、泵站、闸、桥</w:t>
      </w:r>
      <w:r>
        <w:rPr>
          <w:spacing w:val="-5"/>
        </w:rPr>
        <w:t>梁等工程受周边水环境影响较大，需结合工程设计内容采取相应的导流措施。</w:t>
      </w:r>
    </w:p>
    <w:p>
      <w:pPr>
        <w:pStyle w:val="BodyText"/>
        <w:spacing w:line="306" w:lineRule="exact"/>
        <w:ind w:left="1848"/>
      </w:pPr>
      <w:r>
        <w:rPr>
          <w:rFonts w:ascii="Times New Roman" w:eastAsia="Times New Roman"/>
        </w:rPr>
        <w:t>2</w:t>
      </w:r>
      <w:r>
        <w:t>、施工排水</w:t>
      </w:r>
    </w:p>
    <w:p>
      <w:pPr>
        <w:pStyle w:val="ListParagraph"/>
        <w:numPr>
          <w:ilvl w:val="0"/>
          <w:numId w:val="17"/>
        </w:numPr>
        <w:tabs>
          <w:tab w:val="left" w:pos="2450"/>
        </w:tabs>
        <w:spacing w:before="158" w:after="0" w:line="240" w:lineRule="auto"/>
        <w:ind w:left="2449" w:right="0" w:hanging="602"/>
        <w:jc w:val="left"/>
        <w:rPr>
          <w:sz w:val="24"/>
        </w:rPr>
      </w:pPr>
      <w:r>
        <w:rPr>
          <w:sz w:val="24"/>
        </w:rPr>
        <w:t>初期排水</w:t>
      </w:r>
    </w:p>
    <w:p>
      <w:pPr>
        <w:pStyle w:val="BodyText"/>
        <w:spacing w:before="163" w:line="364" w:lineRule="auto"/>
        <w:ind w:left="1368" w:right="754" w:firstLine="480"/>
        <w:jc w:val="both"/>
      </w:pPr>
      <w:r>
        <w:t>施工围堰填筑完毕后，建筑物基坑内的明水、堰体与基础渗水及可能出现的降水等初期排水可通过离心泵抽排至基坑外的下游河道内；局部的积水可以使用潜水泵抽排至基坑外的下游河道内。</w:t>
      </w:r>
    </w:p>
    <w:p>
      <w:pPr>
        <w:pStyle w:val="ListParagraph"/>
        <w:numPr>
          <w:ilvl w:val="0"/>
          <w:numId w:val="17"/>
        </w:numPr>
        <w:tabs>
          <w:tab w:val="left" w:pos="2450"/>
        </w:tabs>
        <w:spacing w:before="0" w:after="0" w:line="303" w:lineRule="exact"/>
        <w:ind w:left="2449" w:right="0" w:hanging="602"/>
        <w:jc w:val="left"/>
        <w:rPr>
          <w:sz w:val="24"/>
        </w:rPr>
      </w:pPr>
      <w:r>
        <w:rPr>
          <w:sz w:val="24"/>
        </w:rPr>
        <w:t>经常性排水</w:t>
      </w:r>
    </w:p>
    <w:p>
      <w:pPr>
        <w:pStyle w:val="BodyText"/>
        <w:spacing w:before="163" w:line="364" w:lineRule="auto"/>
        <w:ind w:left="1368" w:right="626" w:firstLine="480"/>
      </w:pPr>
      <w:r>
        <w:rPr>
          <w:spacing w:val="-9"/>
        </w:rPr>
        <w:t>河道护砌、建筑物施工期间埋深较浅且对主体工程施工有影响的地下水、</w:t>
      </w:r>
      <w:r>
        <w:t>基础在设计水头压力下的渗水及可能出现的降水，采用管井等降水方式。降排水期间应加强对开挖基坑、周围构筑物、围堰等沉降变形的观测，发现问题应及时上报并组织有关单位编制专项处理方案。</w:t>
      </w:r>
    </w:p>
    <w:p>
      <w:pPr>
        <w:pStyle w:val="Heading4"/>
        <w:spacing w:line="305" w:lineRule="exact"/>
      </w:pPr>
      <w:r>
        <w:t>五、主体工程施工工艺</w:t>
      </w:r>
    </w:p>
    <w:p>
      <w:pPr>
        <w:spacing w:before="158"/>
        <w:ind w:left="1848" w:right="0" w:firstLine="0"/>
        <w:jc w:val="left"/>
        <w:rPr>
          <w:b/>
          <w:sz w:val="24"/>
        </w:rPr>
      </w:pPr>
      <w:r>
        <w:rPr>
          <w:rFonts w:ascii="Times New Roman" w:eastAsia="Times New Roman"/>
          <w:b/>
          <w:sz w:val="24"/>
        </w:rPr>
        <w:t>1</w:t>
      </w:r>
      <w:r>
        <w:rPr>
          <w:b/>
          <w:sz w:val="24"/>
        </w:rPr>
        <w:t>、土石方工程</w:t>
      </w:r>
    </w:p>
    <w:p>
      <w:pPr>
        <w:pStyle w:val="BodyText"/>
        <w:spacing w:before="158" w:line="364" w:lineRule="auto"/>
        <w:ind w:left="1368" w:right="582" w:firstLine="480"/>
      </w:pPr>
      <w:r>
        <w:t>根据各类土石方机械性能，结合本工程施工现场的道路状况和施工强度， 确定土方挖运以挖掘机结合推土机或挖掘机配自卸车施工方式为主，开挖土方满足设计回填要求的土料先用于工程回填，剩余土方外运处理。其中四支沟、站前沟、杨庄河弃土外运至减河右堤堤防加宽工程需土区，综合运距</w:t>
      </w:r>
      <w:r>
        <w:rPr>
          <w:rFonts w:ascii="Times New Roman" w:eastAsia="Times New Roman"/>
        </w:rPr>
        <w:t>15km</w:t>
      </w:r>
      <w:r>
        <w:t xml:space="preserve">。杨家河弃土弃置河道两岸管理范围内，综合运距 </w:t>
      </w:r>
      <w:r>
        <w:rPr>
          <w:rFonts w:ascii="Times New Roman" w:eastAsia="Times New Roman"/>
        </w:rPr>
        <w:t>1km</w:t>
      </w:r>
      <w:r>
        <w:t>。所需土料主要以工程开挖土方为主；土方回填以拖拉机辅以蛙夯机施工为主；砌石及混凝土拆除以机械结合人工施工方式为主，采用挖掘机配自卸车外运处理。</w:t>
      </w:r>
    </w:p>
    <w:p>
      <w:pPr>
        <w:pStyle w:val="Heading4"/>
        <w:spacing w:line="305" w:lineRule="exact"/>
      </w:pPr>
      <w:r>
        <w:rPr>
          <w:rFonts w:ascii="Times New Roman" w:eastAsia="Times New Roman"/>
        </w:rPr>
        <w:t>2</w:t>
      </w:r>
      <w:r>
        <w:t>、基础处理工程</w:t>
      </w:r>
    </w:p>
    <w:p>
      <w:pPr>
        <w:pStyle w:val="BodyText"/>
        <w:spacing w:before="158" w:line="367" w:lineRule="auto"/>
        <w:ind w:left="1368" w:right="753" w:firstLine="480"/>
      </w:pPr>
      <w:r>
        <w:t>混凝土灌注桩工程主要集中在桥梁下部基础部分。根据各种钻孔机械的性能特点，选用回旋钻钻孔。钻孔过程中采用泥浆固壁，钢筋笼分段制作，</w:t>
      </w:r>
    </w:p>
    <w:p>
      <w:pPr>
        <w:pStyle w:val="BodyText"/>
        <w:rPr>
          <w:sz w:val="20"/>
        </w:rPr>
      </w:pPr>
    </w:p>
    <w:p>
      <w:pPr>
        <w:pStyle w:val="BodyText"/>
        <w:rPr>
          <w:sz w:val="20"/>
        </w:rPr>
      </w:pPr>
    </w:p>
    <w:p>
      <w:pPr>
        <w:pStyle w:val="BodyText"/>
        <w:rPr>
          <w:sz w:val="20"/>
        </w:rPr>
      </w:pPr>
    </w:p>
    <w:p>
      <w:pPr>
        <w:spacing w:before="214"/>
        <w:ind w:left="551" w:right="0" w:firstLine="0"/>
        <w:jc w:val="left"/>
        <w:rPr>
          <w:sz w:val="28"/>
        </w:rPr>
      </w:pPr>
      <w:r>
        <w:rPr>
          <w:sz w:val="28"/>
        </w:rPr>
        <w:t>—</w:t>
      </w:r>
      <w:r>
        <w:rPr>
          <w:sz w:val="26"/>
        </w:rPr>
        <w:t>33</w:t>
      </w:r>
      <w:r>
        <w:rPr>
          <w:sz w:val="28"/>
        </w:rPr>
        <w:t>—</w:t>
      </w:r>
    </w:p>
    <w:p>
      <w:pPr>
        <w:spacing w:after="0"/>
        <w:jc w:val="left"/>
        <w:rPr>
          <w:sz w:val="28"/>
        </w:rPr>
        <w:sectPr>
          <w:pgSz w:w="11910" w:h="16840"/>
          <w:pgMar w:top="1580" w:right="820" w:bottom="280" w:left="980" w:header="720" w:footer="720" w:gutter="0"/>
          <w:pgNumType w:start="38"/>
          <w:cols w:num="1" w:space="720"/>
        </w:sectPr>
      </w:pPr>
    </w:p>
    <w:p>
      <w:pPr>
        <w:pStyle w:val="BodyText"/>
        <w:spacing w:before="125" w:line="364" w:lineRule="auto"/>
        <w:ind w:left="1368" w:right="754"/>
        <w:jc w:val="both"/>
      </w:pPr>
      <w:r>
        <w:pict>
          <v:group id="_x0000_s1111" o:spid="_x0000_s1101" style="width:450.45pt;height:655.85pt;margin-top:5pt;margin-left:72.5pt;mso-height-relative:page;mso-position-horizontal-relative:page;mso-width-relative:page;position:absolute;z-index:-251652096" coordorigin="1450,101" coordsize="9009,13117">
            <v:rect id="_x0000_s1112" o:spid="_x0000_s1102" style="width:20;height:20;left:1450;position:absolute;top:101" coordsize="21600,21600" filled="t" fillcolor="black" stroked="f"/>
            <v:line id="_x0000_s1113" o:spid="_x0000_s1103" style="position:absolute" from="1469,111" to="2238,111" coordsize="21600,21600" stroked="t" strokecolor="black"/>
            <v:rect id="_x0000_s1114" o:spid="_x0000_s1104" style="width:20;height:20;left:2237;position:absolute;top:101" coordsize="21600,21600" filled="t" fillcolor="black" stroked="f"/>
            <v:line id="_x0000_s1115" o:spid="_x0000_s1105" style="position:absolute" from="2257,111" to="10439,111" coordsize="21600,21600" stroked="t" strokecolor="black"/>
            <v:rect id="_x0000_s1116" o:spid="_x0000_s1106" style="width:20;height:20;left:10439;position:absolute;top:101" coordsize="21600,21600" filled="t" fillcolor="black" stroked="f"/>
            <v:line id="_x0000_s1117" o:spid="_x0000_s1107" style="position:absolute" from="1460,120" to="1460,13218" coordsize="21600,21600" stroked="t" strokecolor="black"/>
            <v:line id="_x0000_s1118" o:spid="_x0000_s1108" style="position:absolute" from="1469,13208" to="2238,13208" coordsize="21600,21600" stroked="t" strokecolor="black"/>
            <v:line id="_x0000_s1119" o:spid="_x0000_s1109" style="position:absolute" from="2243,120" to="2243,13199" coordsize="21600,21600" stroked="t" strokecolor="black"/>
            <v:rect id="_x0000_s1120" o:spid="_x0000_s1110" style="width:20;height:20;left:2237;position:absolute;top:13198" coordsize="21600,21600" filled="t" fillcolor="black" stroked="f"/>
            <v:line id="_x0000_s1121" o:spid="_x0000_s1111" style="position:absolute" from="2257,13208" to="10439,13208" coordsize="21600,21600" stroked="t" strokecolor="black"/>
            <v:line id="_x0000_s1122" o:spid="_x0000_s1112" style="position:absolute" from="10449,120" to="10449,13218" coordsize="21600,21600" stroked="t" strokecolor="black"/>
          </v:group>
        </w:pict>
      </w:r>
      <w:r>
        <w:t>利用钻机起重系统或卷扬机起吊下入孔内；导管浇筑水下混凝土，露出地面部分混凝土采用钢模成型。为了保证灌注桩地上地下部分的连接质量，应将灌注桩桩头薄弱部分按规范要求清除。</w:t>
      </w:r>
    </w:p>
    <w:p>
      <w:pPr>
        <w:pStyle w:val="BodyText"/>
        <w:spacing w:line="367" w:lineRule="auto"/>
        <w:ind w:left="1368" w:right="754" w:firstLine="480"/>
      </w:pPr>
      <w:r>
        <w:t>灌注桩主要施工工艺流程为：场地平整→构筑钻机平台和桩位放样→埋设护筒→钻机就位→钻孔→清孔→下钢筋笼→安装导管溜槽等→浇筑混凝土</w:t>
      </w:r>
    </w:p>
    <w:p>
      <w:pPr>
        <w:pStyle w:val="BodyText"/>
        <w:spacing w:line="303" w:lineRule="exact"/>
        <w:ind w:left="1368"/>
      </w:pPr>
      <w:r>
        <w:t>→拔除护筒→养护。</w:t>
      </w:r>
    </w:p>
    <w:p>
      <w:pPr>
        <w:pStyle w:val="BodyText"/>
        <w:spacing w:before="154"/>
        <w:ind w:left="1848"/>
      </w:pPr>
      <w:r>
        <w:t>混凝土灌注桩工程施工应严格遵守现行有关规范。</w:t>
      </w:r>
    </w:p>
    <w:p>
      <w:pPr>
        <w:pStyle w:val="Heading4"/>
        <w:spacing w:before="158"/>
      </w:pPr>
      <w:r>
        <w:rPr>
          <w:rFonts w:ascii="Times New Roman" w:eastAsia="Times New Roman"/>
        </w:rPr>
        <w:t>3</w:t>
      </w:r>
      <w:r>
        <w:t>、砌石工程</w:t>
      </w:r>
    </w:p>
    <w:p>
      <w:pPr>
        <w:pStyle w:val="BodyText"/>
        <w:spacing w:before="163"/>
        <w:ind w:left="1848"/>
      </w:pPr>
      <w:r>
        <w:t>①石料的选用</w:t>
      </w:r>
    </w:p>
    <w:p>
      <w:pPr>
        <w:pStyle w:val="BodyText"/>
        <w:spacing w:before="158" w:line="364" w:lineRule="auto"/>
        <w:ind w:left="1368" w:right="753" w:firstLine="480"/>
        <w:jc w:val="both"/>
      </w:pPr>
      <w:r>
        <w:t>砌石体的石料均自选定料场外购，应选用材质坚实，无风化剥落层或裂纹，石材表面无污垢、水锈等杂质，用于表面的石材，应色泽均匀。石料的物理力学指标应符合国家施工规范要求。</w:t>
      </w:r>
    </w:p>
    <w:p>
      <w:pPr>
        <w:pStyle w:val="BodyText"/>
        <w:ind w:left="1848"/>
      </w:pPr>
      <w:r>
        <w:t>②砂浆拌制</w:t>
      </w:r>
    </w:p>
    <w:p>
      <w:pPr>
        <w:pStyle w:val="BodyText"/>
        <w:spacing w:before="158" w:line="364" w:lineRule="auto"/>
        <w:ind w:left="1368" w:right="626" w:firstLine="480"/>
        <w:jc w:val="both"/>
      </w:pPr>
      <w:r>
        <w:t>砌石胶结材料选用水泥砂浆，水泥砂浆采用灰浆搅拌机拌制。制备的水泥砂浆配合比应准确，拌和均匀，不应产生泌水和离析现象，超过初凝时间</w:t>
      </w:r>
      <w:r>
        <w:rPr>
          <w:spacing w:val="-7"/>
        </w:rPr>
        <w:t>的熟料应废弃，不得重拌使用。拌制好的砂浆采用机动翻斗车运输至工作面。</w:t>
      </w:r>
    </w:p>
    <w:p>
      <w:pPr>
        <w:pStyle w:val="BodyText"/>
        <w:spacing w:line="307" w:lineRule="exact"/>
        <w:ind w:left="1848"/>
      </w:pPr>
      <w:r>
        <w:t>③浆砌石体砌筑</w:t>
      </w:r>
    </w:p>
    <w:p>
      <w:pPr>
        <w:pStyle w:val="ListParagraph"/>
        <w:numPr>
          <w:ilvl w:val="0"/>
          <w:numId w:val="18"/>
        </w:numPr>
        <w:tabs>
          <w:tab w:val="left" w:pos="2079"/>
        </w:tabs>
        <w:spacing w:before="159" w:after="0" w:line="362" w:lineRule="auto"/>
        <w:ind w:left="1848" w:right="754" w:firstLine="0"/>
        <w:jc w:val="left"/>
        <w:rPr>
          <w:sz w:val="24"/>
        </w:rPr>
      </w:pPr>
      <w:r>
        <w:rPr>
          <w:sz w:val="24"/>
        </w:rPr>
        <w:t>进场后的石料，经人工选修后采用胶轮车运输至工作面，搬运就位。砌筑前，应在砌体外将石料表面的泥垢冲洗干净，砌筑时保持砌体表面</w:t>
      </w:r>
    </w:p>
    <w:p>
      <w:pPr>
        <w:pStyle w:val="BodyText"/>
        <w:spacing w:before="7" w:line="362" w:lineRule="auto"/>
        <w:ind w:left="1368" w:right="748"/>
      </w:pPr>
      <w:r>
        <w:t>湿润。边坡护砌前，应先对坡面进行修整，将坡面修整平顺，并把坡面部位的填料压实。</w:t>
      </w:r>
    </w:p>
    <w:p>
      <w:pPr>
        <w:pStyle w:val="ListParagraph"/>
        <w:numPr>
          <w:ilvl w:val="0"/>
          <w:numId w:val="18"/>
        </w:numPr>
        <w:tabs>
          <w:tab w:val="left" w:pos="2069"/>
        </w:tabs>
        <w:spacing w:before="3" w:after="0" w:line="362" w:lineRule="auto"/>
        <w:ind w:left="1848" w:right="763" w:firstLine="0"/>
        <w:jc w:val="left"/>
        <w:rPr>
          <w:sz w:val="24"/>
        </w:rPr>
      </w:pPr>
      <w:r>
        <w:rPr>
          <w:sz w:val="24"/>
        </w:rPr>
        <w:t xml:space="preserve">浆砌石施工采用座浆法分层砌筑。砌筑应先在基础面上铺一层砂浆， </w:t>
      </w:r>
      <w:r>
        <w:rPr>
          <w:spacing w:val="-6"/>
          <w:sz w:val="24"/>
        </w:rPr>
        <w:t xml:space="preserve">然后安放石块，同一层面应砌平整，相邻砌石块高差宜小于 </w:t>
      </w:r>
      <w:r>
        <w:rPr>
          <w:rFonts w:ascii="Times New Roman" w:eastAsia="Times New Roman"/>
          <w:spacing w:val="-4"/>
          <w:sz w:val="24"/>
        </w:rPr>
        <w:t>2</w:t>
      </w:r>
      <w:r>
        <w:rPr>
          <w:spacing w:val="-4"/>
          <w:sz w:val="24"/>
        </w:rPr>
        <w:t>～</w:t>
      </w:r>
      <w:r>
        <w:rPr>
          <w:rFonts w:ascii="Times New Roman" w:eastAsia="Times New Roman"/>
          <w:spacing w:val="-4"/>
          <w:sz w:val="24"/>
        </w:rPr>
        <w:t>3cm</w:t>
      </w:r>
      <w:r>
        <w:rPr>
          <w:spacing w:val="-17"/>
          <w:sz w:val="24"/>
        </w:rPr>
        <w:t>；石</w:t>
      </w:r>
    </w:p>
    <w:p>
      <w:pPr>
        <w:pStyle w:val="BodyText"/>
        <w:spacing w:before="8"/>
        <w:ind w:left="1368"/>
      </w:pPr>
      <w:r>
        <w:t>块自身必须安置稳定，大面朝下，适当摇动或敲击使其平稳。</w:t>
      </w:r>
    </w:p>
    <w:p>
      <w:pPr>
        <w:pStyle w:val="ListParagraph"/>
        <w:numPr>
          <w:ilvl w:val="0"/>
          <w:numId w:val="18"/>
        </w:numPr>
        <w:tabs>
          <w:tab w:val="left" w:pos="2074"/>
        </w:tabs>
        <w:spacing w:before="158" w:after="0" w:line="364" w:lineRule="auto"/>
        <w:ind w:left="1368" w:right="746" w:firstLine="480"/>
        <w:jc w:val="left"/>
        <w:rPr>
          <w:sz w:val="24"/>
        </w:rPr>
      </w:pPr>
      <w:r>
        <w:rPr>
          <w:sz w:val="24"/>
        </w:rPr>
        <w:t>严禁石块直接接触，座浆及竖缝砂浆填塞应饱满密实，铺浆应均匀， 竖缝填塞砂浆后应插捣至表面泛浆为止。</w:t>
      </w:r>
    </w:p>
    <w:p>
      <w:pPr>
        <w:pStyle w:val="ListParagraph"/>
        <w:numPr>
          <w:ilvl w:val="0"/>
          <w:numId w:val="18"/>
        </w:numPr>
        <w:tabs>
          <w:tab w:val="left" w:pos="2084"/>
        </w:tabs>
        <w:spacing w:before="0" w:after="0" w:line="367" w:lineRule="auto"/>
        <w:ind w:left="1368" w:right="621" w:firstLine="480"/>
        <w:jc w:val="left"/>
        <w:rPr>
          <w:sz w:val="24"/>
        </w:rPr>
      </w:pPr>
      <w:r>
        <w:rPr>
          <w:spacing w:val="-8"/>
          <w:sz w:val="24"/>
        </w:rPr>
        <w:t>砌筑时，石块上下应相互错缝，内外交错搭砌，避免出现重缝、干缝、</w:t>
      </w:r>
      <w:r>
        <w:rPr>
          <w:sz w:val="24"/>
        </w:rPr>
        <w:t>空缝和孔洞，注意摆放石块位置，以免砌体承重后发生错位、劈裂、外鼓等</w:t>
      </w:r>
    </w:p>
    <w:p>
      <w:pPr>
        <w:pStyle w:val="BodyText"/>
        <w:rPr>
          <w:sz w:val="20"/>
        </w:rPr>
      </w:pPr>
    </w:p>
    <w:p>
      <w:pPr>
        <w:pStyle w:val="BodyText"/>
        <w:rPr>
          <w:sz w:val="20"/>
        </w:rPr>
      </w:pPr>
    </w:p>
    <w:p>
      <w:pPr>
        <w:pStyle w:val="BodyText"/>
        <w:rPr>
          <w:sz w:val="20"/>
        </w:rPr>
      </w:pPr>
    </w:p>
    <w:p>
      <w:pPr>
        <w:spacing w:before="210"/>
        <w:ind w:left="0" w:right="705" w:firstLine="0"/>
        <w:jc w:val="right"/>
        <w:rPr>
          <w:sz w:val="28"/>
        </w:rPr>
      </w:pPr>
      <w:r>
        <w:rPr>
          <w:sz w:val="28"/>
        </w:rPr>
        <w:t>—</w:t>
      </w:r>
      <w:r>
        <w:rPr>
          <w:sz w:val="26"/>
        </w:rPr>
        <w:t>34</w:t>
      </w:r>
      <w:r>
        <w:rPr>
          <w:sz w:val="28"/>
        </w:rPr>
        <w:t>—</w:t>
      </w:r>
    </w:p>
    <w:p>
      <w:pPr>
        <w:spacing w:after="0"/>
        <w:jc w:val="right"/>
        <w:rPr>
          <w:sz w:val="28"/>
        </w:rPr>
        <w:sectPr>
          <w:pgSz w:w="11910" w:h="16840"/>
          <w:pgMar w:top="1580" w:right="820" w:bottom="280" w:left="980" w:header="720" w:footer="720" w:gutter="0"/>
          <w:pgNumType w:start="39"/>
          <w:cols w:num="1" w:space="720"/>
        </w:sectPr>
      </w:pPr>
    </w:p>
    <w:p>
      <w:pPr>
        <w:pStyle w:val="BodyText"/>
        <w:spacing w:before="125" w:line="364" w:lineRule="auto"/>
        <w:ind w:left="1368" w:right="754"/>
        <w:jc w:val="both"/>
      </w:pPr>
      <w:r>
        <w:pict>
          <v:group id="_x0000_s1123" o:spid="_x0000_s1113" style="width:450.45pt;height:655.85pt;margin-top:5pt;margin-left:72.5pt;mso-height-relative:page;mso-position-horizontal-relative:page;mso-width-relative:page;position:absolute;z-index:-251651072" coordorigin="1450,101" coordsize="9009,13117">
            <v:rect id="_x0000_s1124" o:spid="_x0000_s1114" style="width:20;height:20;left:1450;position:absolute;top:101" coordsize="21600,21600" filled="t" fillcolor="black" stroked="f"/>
            <v:line id="_x0000_s1125" o:spid="_x0000_s1115" style="position:absolute" from="1469,111" to="2238,111" coordsize="21600,21600" stroked="t" strokecolor="black"/>
            <v:rect id="_x0000_s1126" o:spid="_x0000_s1116" style="width:20;height:20;left:2237;position:absolute;top:101" coordsize="21600,21600" filled="t" fillcolor="black" stroked="f"/>
            <v:line id="_x0000_s1127" o:spid="_x0000_s1117" style="position:absolute" from="2257,111" to="10439,111" coordsize="21600,21600" stroked="t" strokecolor="black"/>
            <v:rect id="_x0000_s1128" o:spid="_x0000_s1118" style="width:20;height:20;left:10439;position:absolute;top:101" coordsize="21600,21600" filled="t" fillcolor="black" stroked="f"/>
            <v:line id="_x0000_s1129" o:spid="_x0000_s1119" style="position:absolute" from="1460,120" to="1460,13218" coordsize="21600,21600" stroked="t" strokecolor="black"/>
            <v:line id="_x0000_s1130" o:spid="_x0000_s1120" style="position:absolute" from="1469,13208" to="2238,13208" coordsize="21600,21600" stroked="t" strokecolor="black"/>
            <v:line id="_x0000_s1131" o:spid="_x0000_s1121" style="position:absolute" from="2243,120" to="2243,13199" coordsize="21600,21600" stroked="t" strokecolor="black"/>
            <v:rect id="_x0000_s1132" o:spid="_x0000_s1122" style="width:20;height:20;left:2237;position:absolute;top:13198" coordsize="21600,21600" filled="t" fillcolor="black" stroked="f"/>
            <v:line id="_x0000_s1133" o:spid="_x0000_s1123" style="position:absolute" from="2257,13208" to="10439,13208" coordsize="21600,21600" stroked="t" strokecolor="black"/>
            <v:line id="_x0000_s1134" o:spid="_x0000_s1124" style="position:absolute" from="10449,120" to="10449,13218" coordsize="21600,21600" stroked="t" strokecolor="black"/>
          </v:group>
        </w:pict>
      </w:r>
      <w:r>
        <w:t>现象；同一砌筑层内相邻石块应错缝砌筑，不得存在顺流向通缝；上下相邻砌筑的石块也应错缝搭接，避免竖向通缝，必要时可每隔一定距离，立置丁石。</w:t>
      </w:r>
    </w:p>
    <w:p>
      <w:pPr>
        <w:pStyle w:val="ListParagraph"/>
        <w:numPr>
          <w:ilvl w:val="0"/>
          <w:numId w:val="49"/>
        </w:numPr>
        <w:tabs>
          <w:tab w:val="left" w:pos="2060"/>
        </w:tabs>
        <w:spacing w:before="0" w:after="0" w:line="367" w:lineRule="auto"/>
        <w:ind w:left="1368" w:right="739" w:firstLine="480"/>
        <w:jc w:val="left"/>
        <w:rPr>
          <w:sz w:val="24"/>
        </w:rPr>
      </w:pPr>
      <w:r>
        <w:rPr>
          <w:spacing w:val="-3"/>
          <w:sz w:val="24"/>
        </w:rPr>
        <w:t xml:space="preserve">勾缝，勾缝应在砌筑施工 </w:t>
      </w:r>
      <w:r>
        <w:rPr>
          <w:rFonts w:ascii="Times New Roman" w:eastAsia="Times New Roman"/>
          <w:sz w:val="24"/>
        </w:rPr>
        <w:t>24h</w:t>
      </w:r>
      <w:r>
        <w:rPr>
          <w:rFonts w:ascii="Times New Roman" w:eastAsia="Times New Roman"/>
          <w:spacing w:val="21"/>
          <w:sz w:val="24"/>
        </w:rPr>
        <w:t xml:space="preserve"> </w:t>
      </w:r>
      <w:r>
        <w:rPr>
          <w:spacing w:val="-3"/>
          <w:sz w:val="24"/>
        </w:rPr>
        <w:t xml:space="preserve">以后进行，先将缝内深度不小于 </w:t>
      </w:r>
      <w:r>
        <w:rPr>
          <w:rFonts w:ascii="Times New Roman" w:eastAsia="Times New Roman"/>
          <w:sz w:val="24"/>
        </w:rPr>
        <w:t>2</w:t>
      </w:r>
      <w:r>
        <w:rPr>
          <w:rFonts w:ascii="Times New Roman" w:eastAsia="Times New Roman"/>
          <w:spacing w:val="26"/>
          <w:sz w:val="24"/>
        </w:rPr>
        <w:t xml:space="preserve"> </w:t>
      </w:r>
      <w:r>
        <w:rPr>
          <w:spacing w:val="-8"/>
          <w:sz w:val="24"/>
        </w:rPr>
        <w:t>倍缝</w:t>
      </w:r>
      <w:r>
        <w:rPr>
          <w:sz w:val="24"/>
        </w:rPr>
        <w:t>宽的砂浆刮去，用水将缝内冲洗干净，再用标号较高的砂浆进行填缝。</w:t>
      </w:r>
    </w:p>
    <w:p>
      <w:pPr>
        <w:pStyle w:val="BodyText"/>
        <w:spacing w:line="303" w:lineRule="exact"/>
        <w:ind w:left="1848"/>
      </w:pPr>
      <w:r>
        <w:t>④养护及其他</w:t>
      </w:r>
    </w:p>
    <w:p>
      <w:pPr>
        <w:pStyle w:val="BodyText"/>
        <w:spacing w:before="154" w:line="362" w:lineRule="auto"/>
        <w:ind w:left="1368" w:right="561" w:firstLine="480"/>
      </w:pPr>
      <w:r>
        <w:t>砌体外露面应在砌筑后及时养护，经常保持外露面的湿润，并作好防暑、防冻、防雨、防冲工作。工程完工后，砌体未达到设计强度时不得回填。</w:t>
      </w:r>
    </w:p>
    <w:p>
      <w:pPr>
        <w:pStyle w:val="BodyText"/>
        <w:spacing w:before="7" w:line="362" w:lineRule="auto"/>
        <w:ind w:left="1368" w:right="754" w:firstLine="480"/>
      </w:pPr>
      <w:r>
        <w:t>砌石工程施工应严格执行现行的施工技术规范、砌体工程施工质量验收规范等。</w:t>
      </w:r>
    </w:p>
    <w:p>
      <w:pPr>
        <w:pStyle w:val="Heading4"/>
        <w:spacing w:before="3"/>
      </w:pPr>
      <w:r>
        <w:rPr>
          <w:rFonts w:ascii="Times New Roman" w:eastAsia="Times New Roman"/>
        </w:rPr>
        <w:t>4</w:t>
      </w:r>
      <w:r>
        <w:t>、混凝土工程</w:t>
      </w:r>
    </w:p>
    <w:p>
      <w:pPr>
        <w:pStyle w:val="BodyText"/>
        <w:spacing w:before="158" w:line="367" w:lineRule="auto"/>
        <w:ind w:left="1368" w:right="754" w:firstLine="480"/>
      </w:pPr>
      <w:r>
        <w:t xml:space="preserve">工程所需混凝土全部自工程附近的商品混凝土生产厂家购买，不再单独布设拌和系统，根据各项工程需要另配备 </w:t>
      </w:r>
      <w:r>
        <w:rPr>
          <w:rFonts w:ascii="Times New Roman" w:eastAsia="Times New Roman"/>
        </w:rPr>
        <w:t>0.4m</w:t>
      </w:r>
      <w:r>
        <w:rPr>
          <w:rFonts w:ascii="Times New Roman" w:eastAsia="Times New Roman"/>
          <w:vertAlign w:val="superscript"/>
        </w:rPr>
        <w:t>3</w:t>
      </w:r>
      <w:r>
        <w:rPr>
          <w:rFonts w:ascii="Times New Roman" w:eastAsia="Times New Roman"/>
          <w:vertAlign w:val="baseline"/>
        </w:rPr>
        <w:t xml:space="preserve"> </w:t>
      </w:r>
      <w:r>
        <w:rPr>
          <w:vertAlign w:val="baseline"/>
        </w:rPr>
        <w:t>移动式混凝土搅拌机备用。</w:t>
      </w:r>
    </w:p>
    <w:p>
      <w:pPr>
        <w:pStyle w:val="BodyText"/>
        <w:spacing w:line="364" w:lineRule="auto"/>
        <w:ind w:left="1368" w:right="754" w:firstLine="480"/>
        <w:jc w:val="right"/>
      </w:pPr>
      <w:r>
        <w:t>各项工程的混凝土水平运输可结合商品混凝土运输车直接运输，商品混凝土运输车无法直接运至施工点的，采用机动翻斗车倒运，垂直运输采用泵送，并辅助起重机吊运。混凝土可采用泵送直接入仓，泵送无法直接入仓可结合泻槽或辅助起重机吊混凝土吊罐入仓，人工平仓，插入式振捣器振实。工程预制件可按施工图要求采购或自备，采用就地预制、养护、吊车吊</w:t>
      </w:r>
    </w:p>
    <w:p>
      <w:pPr>
        <w:pStyle w:val="BodyText"/>
        <w:spacing w:line="304" w:lineRule="exact"/>
        <w:ind w:left="1368"/>
      </w:pPr>
      <w:r>
        <w:t>装就位。</w:t>
      </w:r>
    </w:p>
    <w:p>
      <w:pPr>
        <w:pStyle w:val="BodyText"/>
        <w:spacing w:before="159" w:line="364" w:lineRule="auto"/>
        <w:ind w:left="1368" w:right="754" w:firstLine="480"/>
        <w:jc w:val="both"/>
      </w:pPr>
      <w:r>
        <w:t>混凝土工程工作内容包括：模板架设、钢筋制作安装及混凝土的浇筑和养护。模板要具有足够的强度、刚度及稳定性，表面光洁平整，接缝严密， 模板安装按设计图纸测量放样。工程所用的钢筋应符合设计要求，钢筋安装时，应严格控制保护层厚度，使用时应进行防腐除锈处理。混凝土所用的水泥掺合料、外加剂符合现行国家标准，骨料粒径、纯度满足设计要求，配合比应通过计算和试验确定，坍落度根据建筑物的部位、钢筋含量、运输、浇筑方法和气候条件决定。混凝土浇筑前应详细进行仓内检查，模板、钢筋、预埋件、永久缝及浇筑准备工作等，并做好记录，验收合格后方可浇筑，浇筑混凝土应连续进行。浇筑完毕后，应及时覆盖以防日晒，面层凝固后，立</w:t>
      </w:r>
    </w:p>
    <w:p>
      <w:pPr>
        <w:pStyle w:val="BodyText"/>
        <w:rPr>
          <w:sz w:val="20"/>
        </w:rPr>
      </w:pPr>
    </w:p>
    <w:p>
      <w:pPr>
        <w:pStyle w:val="BodyText"/>
        <w:rPr>
          <w:sz w:val="20"/>
        </w:rPr>
      </w:pPr>
    </w:p>
    <w:p>
      <w:pPr>
        <w:pStyle w:val="BodyText"/>
        <w:rPr>
          <w:sz w:val="20"/>
        </w:rPr>
      </w:pPr>
    </w:p>
    <w:p>
      <w:pPr>
        <w:spacing w:before="213"/>
        <w:ind w:left="551" w:right="0" w:firstLine="0"/>
        <w:jc w:val="left"/>
        <w:rPr>
          <w:sz w:val="28"/>
        </w:rPr>
      </w:pPr>
      <w:r>
        <w:rPr>
          <w:sz w:val="28"/>
        </w:rPr>
        <w:t>—</w:t>
      </w:r>
      <w:r>
        <w:rPr>
          <w:sz w:val="26"/>
        </w:rPr>
        <w:t>35</w:t>
      </w:r>
      <w:r>
        <w:rPr>
          <w:sz w:val="28"/>
        </w:rPr>
        <w:t>—</w:t>
      </w:r>
    </w:p>
    <w:p>
      <w:pPr>
        <w:spacing w:after="0"/>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https://d.book118.com/988134046031006042</w:t>
        </w:r>
      </w:hyperlink>
    </w:p>
    <w:p>
      <w:pPr>
        <w:spacing w:after="0"/>
        <w:jc w:val="left"/>
        <w:rPr>
          <w:sz w:val="28"/>
        </w:rPr>
      </w:pPr>
    </w:p>
    <w:sectPr>
      <w:pgSz w:w="11910" w:h="16840"/>
      <w:pgMar w:top="1580" w:right="820" w:bottom="280" w:left="980" w:header="720" w:footer="720" w:gutter="0"/>
      <w:pgNumType w:start="4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4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3A4B87"/>
    <w:multiLevelType w:val="multilevel"/>
    <w:tmpl w:val="813A4B87"/>
    <w:lvl w:ilvl="0">
      <w:start w:val="1"/>
      <w:numFmt w:val="decimal"/>
      <w:lvlText w:val="（%1）"/>
      <w:lvlJc w:val="left"/>
      <w:pPr>
        <w:ind w:left="2210"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74" w:hanging="602"/>
      </w:pPr>
      <w:rPr>
        <w:rFonts w:hint="default"/>
        <w:lang w:val="zh-CN" w:eastAsia="zh-CN" w:bidi="zh-CN"/>
      </w:rPr>
    </w:lvl>
    <w:lvl w:ilvl="2">
      <w:start w:val="0"/>
      <w:numFmt w:val="bullet"/>
      <w:lvlText w:val="•"/>
      <w:lvlJc w:val="left"/>
      <w:pPr>
        <w:ind w:left="3729" w:hanging="602"/>
      </w:pPr>
      <w:rPr>
        <w:rFonts w:hint="default"/>
        <w:lang w:val="zh-CN" w:eastAsia="zh-CN" w:bidi="zh-CN"/>
      </w:rPr>
    </w:lvl>
    <w:lvl w:ilvl="3">
      <w:start w:val="0"/>
      <w:numFmt w:val="bullet"/>
      <w:lvlText w:val="•"/>
      <w:lvlJc w:val="left"/>
      <w:pPr>
        <w:ind w:left="4484" w:hanging="602"/>
      </w:pPr>
      <w:rPr>
        <w:rFonts w:hint="default"/>
        <w:lang w:val="zh-CN" w:eastAsia="zh-CN" w:bidi="zh-CN"/>
      </w:rPr>
    </w:lvl>
    <w:lvl w:ilvl="4">
      <w:start w:val="0"/>
      <w:numFmt w:val="bullet"/>
      <w:lvlText w:val="•"/>
      <w:lvlJc w:val="left"/>
      <w:pPr>
        <w:ind w:left="5239" w:hanging="602"/>
      </w:pPr>
      <w:rPr>
        <w:rFonts w:hint="default"/>
        <w:lang w:val="zh-CN" w:eastAsia="zh-CN" w:bidi="zh-CN"/>
      </w:rPr>
    </w:lvl>
    <w:lvl w:ilvl="5">
      <w:start w:val="0"/>
      <w:numFmt w:val="bullet"/>
      <w:lvlText w:val="•"/>
      <w:lvlJc w:val="left"/>
      <w:pPr>
        <w:ind w:left="5994" w:hanging="602"/>
      </w:pPr>
      <w:rPr>
        <w:rFonts w:hint="default"/>
        <w:lang w:val="zh-CN" w:eastAsia="zh-CN" w:bidi="zh-CN"/>
      </w:rPr>
    </w:lvl>
    <w:lvl w:ilvl="6">
      <w:start w:val="0"/>
      <w:numFmt w:val="bullet"/>
      <w:lvlText w:val="•"/>
      <w:lvlJc w:val="left"/>
      <w:pPr>
        <w:ind w:left="6749" w:hanging="602"/>
      </w:pPr>
      <w:rPr>
        <w:rFonts w:hint="default"/>
        <w:lang w:val="zh-CN" w:eastAsia="zh-CN" w:bidi="zh-CN"/>
      </w:rPr>
    </w:lvl>
    <w:lvl w:ilvl="7">
      <w:start w:val="0"/>
      <w:numFmt w:val="bullet"/>
      <w:lvlText w:val="•"/>
      <w:lvlJc w:val="left"/>
      <w:pPr>
        <w:ind w:left="7504" w:hanging="602"/>
      </w:pPr>
      <w:rPr>
        <w:rFonts w:hint="default"/>
        <w:lang w:val="zh-CN" w:eastAsia="zh-CN" w:bidi="zh-CN"/>
      </w:rPr>
    </w:lvl>
    <w:lvl w:ilvl="8">
      <w:start w:val="0"/>
      <w:numFmt w:val="bullet"/>
      <w:lvlText w:val="•"/>
      <w:lvlJc w:val="left"/>
      <w:pPr>
        <w:ind w:left="8259" w:hanging="602"/>
      </w:pPr>
      <w:rPr>
        <w:rFonts w:hint="default"/>
        <w:lang w:val="zh-CN" w:eastAsia="zh-CN" w:bidi="zh-CN"/>
      </w:rPr>
    </w:lvl>
  </w:abstractNum>
  <w:abstractNum w:abstractNumId="1">
    <w:nsid w:val="845B5372"/>
    <w:multiLevelType w:val="multilevel"/>
    <w:tmpl w:val="845B5372"/>
    <w:lvl w:ilvl="0">
      <w:start w:val="1"/>
      <w:numFmt w:val="decimal"/>
      <w:lvlText w:val="（%1）"/>
      <w:lvlJc w:val="left"/>
      <w:pPr>
        <w:ind w:left="1064" w:hanging="602"/>
        <w:jc w:val="left"/>
      </w:pPr>
      <w:rPr>
        <w:rFonts w:ascii="宋体" w:eastAsia="宋体" w:hAnsi="宋体" w:cs="宋体" w:hint="default"/>
        <w:spacing w:val="-16"/>
        <w:w w:val="100"/>
        <w:sz w:val="22"/>
        <w:szCs w:val="22"/>
        <w:lang w:val="zh-CN" w:eastAsia="zh-CN" w:bidi="zh-CN"/>
      </w:rPr>
    </w:lvl>
    <w:lvl w:ilvl="1">
      <w:start w:val="0"/>
      <w:numFmt w:val="bullet"/>
      <w:lvlText w:val="•"/>
      <w:lvlJc w:val="left"/>
      <w:pPr>
        <w:ind w:left="1946" w:hanging="602"/>
      </w:pPr>
      <w:rPr>
        <w:rFonts w:hint="default"/>
        <w:lang w:val="zh-CN" w:eastAsia="zh-CN" w:bidi="zh-CN"/>
      </w:rPr>
    </w:lvl>
    <w:lvl w:ilvl="2">
      <w:start w:val="0"/>
      <w:numFmt w:val="bullet"/>
      <w:lvlText w:val="•"/>
      <w:lvlJc w:val="left"/>
      <w:pPr>
        <w:ind w:left="2832" w:hanging="602"/>
      </w:pPr>
      <w:rPr>
        <w:rFonts w:hint="default"/>
        <w:lang w:val="zh-CN" w:eastAsia="zh-CN" w:bidi="zh-CN"/>
      </w:rPr>
    </w:lvl>
    <w:lvl w:ilvl="3">
      <w:start w:val="0"/>
      <w:numFmt w:val="bullet"/>
      <w:lvlText w:val="•"/>
      <w:lvlJc w:val="left"/>
      <w:pPr>
        <w:ind w:left="3719" w:hanging="602"/>
      </w:pPr>
      <w:rPr>
        <w:rFonts w:hint="default"/>
        <w:lang w:val="zh-CN" w:eastAsia="zh-CN" w:bidi="zh-CN"/>
      </w:rPr>
    </w:lvl>
    <w:lvl w:ilvl="4">
      <w:start w:val="0"/>
      <w:numFmt w:val="bullet"/>
      <w:lvlText w:val="•"/>
      <w:lvlJc w:val="left"/>
      <w:pPr>
        <w:ind w:left="4605" w:hanging="602"/>
      </w:pPr>
      <w:rPr>
        <w:rFonts w:hint="default"/>
        <w:lang w:val="zh-CN" w:eastAsia="zh-CN" w:bidi="zh-CN"/>
      </w:rPr>
    </w:lvl>
    <w:lvl w:ilvl="5">
      <w:start w:val="0"/>
      <w:numFmt w:val="bullet"/>
      <w:lvlText w:val="•"/>
      <w:lvlJc w:val="left"/>
      <w:pPr>
        <w:ind w:left="5492" w:hanging="602"/>
      </w:pPr>
      <w:rPr>
        <w:rFonts w:hint="default"/>
        <w:lang w:val="zh-CN" w:eastAsia="zh-CN" w:bidi="zh-CN"/>
      </w:rPr>
    </w:lvl>
    <w:lvl w:ilvl="6">
      <w:start w:val="0"/>
      <w:numFmt w:val="bullet"/>
      <w:lvlText w:val="•"/>
      <w:lvlJc w:val="left"/>
      <w:pPr>
        <w:ind w:left="6378" w:hanging="602"/>
      </w:pPr>
      <w:rPr>
        <w:rFonts w:hint="default"/>
        <w:lang w:val="zh-CN" w:eastAsia="zh-CN" w:bidi="zh-CN"/>
      </w:rPr>
    </w:lvl>
    <w:lvl w:ilvl="7">
      <w:start w:val="0"/>
      <w:numFmt w:val="bullet"/>
      <w:lvlText w:val="•"/>
      <w:lvlJc w:val="left"/>
      <w:pPr>
        <w:ind w:left="7264" w:hanging="602"/>
      </w:pPr>
      <w:rPr>
        <w:rFonts w:hint="default"/>
        <w:lang w:val="zh-CN" w:eastAsia="zh-CN" w:bidi="zh-CN"/>
      </w:rPr>
    </w:lvl>
    <w:lvl w:ilvl="8">
      <w:start w:val="0"/>
      <w:numFmt w:val="bullet"/>
      <w:lvlText w:val="•"/>
      <w:lvlJc w:val="left"/>
      <w:pPr>
        <w:ind w:left="8151" w:hanging="602"/>
      </w:pPr>
      <w:rPr>
        <w:rFonts w:hint="default"/>
        <w:lang w:val="zh-CN" w:eastAsia="zh-CN" w:bidi="zh-CN"/>
      </w:rPr>
    </w:lvl>
  </w:abstractNum>
  <w:abstractNum w:abstractNumId="2">
    <w:nsid w:val="8461FADE"/>
    <w:multiLevelType w:val="multilevel"/>
    <w:tmpl w:val="8461FADE"/>
    <w:lvl w:ilvl="0">
      <w:start w:val="1"/>
      <w:numFmt w:val="decimal"/>
      <w:lvlText w:val="（%1）"/>
      <w:lvlJc w:val="left"/>
      <w:pPr>
        <w:ind w:left="2210"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74" w:hanging="602"/>
      </w:pPr>
      <w:rPr>
        <w:rFonts w:hint="default"/>
        <w:lang w:val="zh-CN" w:eastAsia="zh-CN" w:bidi="zh-CN"/>
      </w:rPr>
    </w:lvl>
    <w:lvl w:ilvl="2">
      <w:start w:val="0"/>
      <w:numFmt w:val="bullet"/>
      <w:lvlText w:val="•"/>
      <w:lvlJc w:val="left"/>
      <w:pPr>
        <w:ind w:left="3729" w:hanging="602"/>
      </w:pPr>
      <w:rPr>
        <w:rFonts w:hint="default"/>
        <w:lang w:val="zh-CN" w:eastAsia="zh-CN" w:bidi="zh-CN"/>
      </w:rPr>
    </w:lvl>
    <w:lvl w:ilvl="3">
      <w:start w:val="0"/>
      <w:numFmt w:val="bullet"/>
      <w:lvlText w:val="•"/>
      <w:lvlJc w:val="left"/>
      <w:pPr>
        <w:ind w:left="4484" w:hanging="602"/>
      </w:pPr>
      <w:rPr>
        <w:rFonts w:hint="default"/>
        <w:lang w:val="zh-CN" w:eastAsia="zh-CN" w:bidi="zh-CN"/>
      </w:rPr>
    </w:lvl>
    <w:lvl w:ilvl="4">
      <w:start w:val="0"/>
      <w:numFmt w:val="bullet"/>
      <w:lvlText w:val="•"/>
      <w:lvlJc w:val="left"/>
      <w:pPr>
        <w:ind w:left="5239" w:hanging="602"/>
      </w:pPr>
      <w:rPr>
        <w:rFonts w:hint="default"/>
        <w:lang w:val="zh-CN" w:eastAsia="zh-CN" w:bidi="zh-CN"/>
      </w:rPr>
    </w:lvl>
    <w:lvl w:ilvl="5">
      <w:start w:val="0"/>
      <w:numFmt w:val="bullet"/>
      <w:lvlText w:val="•"/>
      <w:lvlJc w:val="left"/>
      <w:pPr>
        <w:ind w:left="5994" w:hanging="602"/>
      </w:pPr>
      <w:rPr>
        <w:rFonts w:hint="default"/>
        <w:lang w:val="zh-CN" w:eastAsia="zh-CN" w:bidi="zh-CN"/>
      </w:rPr>
    </w:lvl>
    <w:lvl w:ilvl="6">
      <w:start w:val="0"/>
      <w:numFmt w:val="bullet"/>
      <w:lvlText w:val="•"/>
      <w:lvlJc w:val="left"/>
      <w:pPr>
        <w:ind w:left="6749" w:hanging="602"/>
      </w:pPr>
      <w:rPr>
        <w:rFonts w:hint="default"/>
        <w:lang w:val="zh-CN" w:eastAsia="zh-CN" w:bidi="zh-CN"/>
      </w:rPr>
    </w:lvl>
    <w:lvl w:ilvl="7">
      <w:start w:val="0"/>
      <w:numFmt w:val="bullet"/>
      <w:lvlText w:val="•"/>
      <w:lvlJc w:val="left"/>
      <w:pPr>
        <w:ind w:left="7504" w:hanging="602"/>
      </w:pPr>
      <w:rPr>
        <w:rFonts w:hint="default"/>
        <w:lang w:val="zh-CN" w:eastAsia="zh-CN" w:bidi="zh-CN"/>
      </w:rPr>
    </w:lvl>
    <w:lvl w:ilvl="8">
      <w:start w:val="0"/>
      <w:numFmt w:val="bullet"/>
      <w:lvlText w:val="•"/>
      <w:lvlJc w:val="left"/>
      <w:pPr>
        <w:ind w:left="8259" w:hanging="602"/>
      </w:pPr>
      <w:rPr>
        <w:rFonts w:hint="default"/>
        <w:lang w:val="zh-CN" w:eastAsia="zh-CN" w:bidi="zh-CN"/>
      </w:rPr>
    </w:lvl>
  </w:abstractNum>
  <w:abstractNum w:abstractNumId="3">
    <w:nsid w:val="8CAEB125"/>
    <w:multiLevelType w:val="multilevel"/>
    <w:tmpl w:val="8CAEB125"/>
    <w:lvl w:ilvl="0">
      <w:start w:val="1"/>
      <w:numFmt w:val="decimal"/>
      <w:lvlText w:val="（%1）"/>
      <w:lvlJc w:val="left"/>
      <w:pPr>
        <w:ind w:left="105" w:hanging="602"/>
        <w:jc w:val="left"/>
      </w:pPr>
      <w:rPr>
        <w:rFonts w:ascii="宋体" w:eastAsia="宋体" w:hAnsi="宋体" w:cs="宋体" w:hint="default"/>
        <w:spacing w:val="-16"/>
        <w:w w:val="100"/>
        <w:sz w:val="22"/>
        <w:szCs w:val="22"/>
        <w:lang w:val="zh-CN" w:eastAsia="zh-CN" w:bidi="zh-CN"/>
      </w:rPr>
    </w:lvl>
    <w:lvl w:ilvl="1">
      <w:start w:val="0"/>
      <w:numFmt w:val="bullet"/>
      <w:lvlText w:val="•"/>
      <w:lvlJc w:val="left"/>
      <w:pPr>
        <w:ind w:left="915" w:hanging="602"/>
      </w:pPr>
      <w:rPr>
        <w:rFonts w:hint="default"/>
        <w:lang w:val="zh-CN" w:eastAsia="zh-CN" w:bidi="zh-CN"/>
      </w:rPr>
    </w:lvl>
    <w:lvl w:ilvl="2">
      <w:start w:val="0"/>
      <w:numFmt w:val="bullet"/>
      <w:lvlText w:val="•"/>
      <w:lvlJc w:val="left"/>
      <w:pPr>
        <w:ind w:left="1731" w:hanging="602"/>
      </w:pPr>
      <w:rPr>
        <w:rFonts w:hint="default"/>
        <w:lang w:val="zh-CN" w:eastAsia="zh-CN" w:bidi="zh-CN"/>
      </w:rPr>
    </w:lvl>
    <w:lvl w:ilvl="3">
      <w:start w:val="0"/>
      <w:numFmt w:val="bullet"/>
      <w:lvlText w:val="•"/>
      <w:lvlJc w:val="left"/>
      <w:pPr>
        <w:ind w:left="2547" w:hanging="602"/>
      </w:pPr>
      <w:rPr>
        <w:rFonts w:hint="default"/>
        <w:lang w:val="zh-CN" w:eastAsia="zh-CN" w:bidi="zh-CN"/>
      </w:rPr>
    </w:lvl>
    <w:lvl w:ilvl="4">
      <w:start w:val="0"/>
      <w:numFmt w:val="bullet"/>
      <w:lvlText w:val="•"/>
      <w:lvlJc w:val="left"/>
      <w:pPr>
        <w:ind w:left="3363" w:hanging="602"/>
      </w:pPr>
      <w:rPr>
        <w:rFonts w:hint="default"/>
        <w:lang w:val="zh-CN" w:eastAsia="zh-CN" w:bidi="zh-CN"/>
      </w:rPr>
    </w:lvl>
    <w:lvl w:ilvl="5">
      <w:start w:val="0"/>
      <w:numFmt w:val="bullet"/>
      <w:lvlText w:val="•"/>
      <w:lvlJc w:val="left"/>
      <w:pPr>
        <w:ind w:left="4179" w:hanging="602"/>
      </w:pPr>
      <w:rPr>
        <w:rFonts w:hint="default"/>
        <w:lang w:val="zh-CN" w:eastAsia="zh-CN" w:bidi="zh-CN"/>
      </w:rPr>
    </w:lvl>
    <w:lvl w:ilvl="6">
      <w:start w:val="0"/>
      <w:numFmt w:val="bullet"/>
      <w:lvlText w:val="•"/>
      <w:lvlJc w:val="left"/>
      <w:pPr>
        <w:ind w:left="4994" w:hanging="602"/>
      </w:pPr>
      <w:rPr>
        <w:rFonts w:hint="default"/>
        <w:lang w:val="zh-CN" w:eastAsia="zh-CN" w:bidi="zh-CN"/>
      </w:rPr>
    </w:lvl>
    <w:lvl w:ilvl="7">
      <w:start w:val="0"/>
      <w:numFmt w:val="bullet"/>
      <w:lvlText w:val="•"/>
      <w:lvlJc w:val="left"/>
      <w:pPr>
        <w:ind w:left="5810" w:hanging="602"/>
      </w:pPr>
      <w:rPr>
        <w:rFonts w:hint="default"/>
        <w:lang w:val="zh-CN" w:eastAsia="zh-CN" w:bidi="zh-CN"/>
      </w:rPr>
    </w:lvl>
    <w:lvl w:ilvl="8">
      <w:start w:val="0"/>
      <w:numFmt w:val="bullet"/>
      <w:lvlText w:val="•"/>
      <w:lvlJc w:val="left"/>
      <w:pPr>
        <w:ind w:left="6626" w:hanging="602"/>
      </w:pPr>
      <w:rPr>
        <w:rFonts w:hint="default"/>
        <w:lang w:val="zh-CN" w:eastAsia="zh-CN" w:bidi="zh-CN"/>
      </w:rPr>
    </w:lvl>
  </w:abstractNum>
  <w:abstractNum w:abstractNumId="4">
    <w:nsid w:val="91995D4F"/>
    <w:multiLevelType w:val="multilevel"/>
    <w:tmpl w:val="91995D4F"/>
    <w:lvl w:ilvl="0">
      <w:start w:val="1"/>
      <w:numFmt w:val="decimal"/>
      <w:lvlText w:val="（%1）"/>
      <w:lvlJc w:val="left"/>
      <w:pPr>
        <w:ind w:left="2145"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18" w:hanging="602"/>
      </w:pPr>
      <w:rPr>
        <w:rFonts w:hint="default"/>
        <w:lang w:val="zh-CN" w:eastAsia="zh-CN" w:bidi="zh-CN"/>
      </w:rPr>
    </w:lvl>
    <w:lvl w:ilvl="2">
      <w:start w:val="0"/>
      <w:numFmt w:val="bullet"/>
      <w:lvlText w:val="•"/>
      <w:lvlJc w:val="left"/>
      <w:pPr>
        <w:ind w:left="3696" w:hanging="602"/>
      </w:pPr>
      <w:rPr>
        <w:rFonts w:hint="default"/>
        <w:lang w:val="zh-CN" w:eastAsia="zh-CN" w:bidi="zh-CN"/>
      </w:rPr>
    </w:lvl>
    <w:lvl w:ilvl="3">
      <w:start w:val="0"/>
      <w:numFmt w:val="bullet"/>
      <w:lvlText w:val="•"/>
      <w:lvlJc w:val="left"/>
      <w:pPr>
        <w:ind w:left="4475" w:hanging="602"/>
      </w:pPr>
      <w:rPr>
        <w:rFonts w:hint="default"/>
        <w:lang w:val="zh-CN" w:eastAsia="zh-CN" w:bidi="zh-CN"/>
      </w:rPr>
    </w:lvl>
    <w:lvl w:ilvl="4">
      <w:start w:val="0"/>
      <w:numFmt w:val="bullet"/>
      <w:lvlText w:val="•"/>
      <w:lvlJc w:val="left"/>
      <w:pPr>
        <w:ind w:left="5253" w:hanging="602"/>
      </w:pPr>
      <w:rPr>
        <w:rFonts w:hint="default"/>
        <w:lang w:val="zh-CN" w:eastAsia="zh-CN" w:bidi="zh-CN"/>
      </w:rPr>
    </w:lvl>
    <w:lvl w:ilvl="5">
      <w:start w:val="0"/>
      <w:numFmt w:val="bullet"/>
      <w:lvlText w:val="•"/>
      <w:lvlJc w:val="left"/>
      <w:pPr>
        <w:ind w:left="6032" w:hanging="602"/>
      </w:pPr>
      <w:rPr>
        <w:rFonts w:hint="default"/>
        <w:lang w:val="zh-CN" w:eastAsia="zh-CN" w:bidi="zh-CN"/>
      </w:rPr>
    </w:lvl>
    <w:lvl w:ilvl="6">
      <w:start w:val="0"/>
      <w:numFmt w:val="bullet"/>
      <w:lvlText w:val="•"/>
      <w:lvlJc w:val="left"/>
      <w:pPr>
        <w:ind w:left="6810" w:hanging="602"/>
      </w:pPr>
      <w:rPr>
        <w:rFonts w:hint="default"/>
        <w:lang w:val="zh-CN" w:eastAsia="zh-CN" w:bidi="zh-CN"/>
      </w:rPr>
    </w:lvl>
    <w:lvl w:ilvl="7">
      <w:start w:val="0"/>
      <w:numFmt w:val="bullet"/>
      <w:lvlText w:val="•"/>
      <w:lvlJc w:val="left"/>
      <w:pPr>
        <w:ind w:left="7588" w:hanging="602"/>
      </w:pPr>
      <w:rPr>
        <w:rFonts w:hint="default"/>
        <w:lang w:val="zh-CN" w:eastAsia="zh-CN" w:bidi="zh-CN"/>
      </w:rPr>
    </w:lvl>
    <w:lvl w:ilvl="8">
      <w:start w:val="0"/>
      <w:numFmt w:val="bullet"/>
      <w:lvlText w:val="•"/>
      <w:lvlJc w:val="left"/>
      <w:pPr>
        <w:ind w:left="8367" w:hanging="602"/>
      </w:pPr>
      <w:rPr>
        <w:rFonts w:hint="default"/>
        <w:lang w:val="zh-CN" w:eastAsia="zh-CN" w:bidi="zh-CN"/>
      </w:rPr>
    </w:lvl>
  </w:abstractNum>
  <w:abstractNum w:abstractNumId="5">
    <w:nsid w:val="9239341B"/>
    <w:multiLevelType w:val="multilevel"/>
    <w:tmpl w:val="9239341B"/>
    <w:lvl w:ilvl="0">
      <w:start w:val="1"/>
      <w:numFmt w:val="decimal"/>
      <w:lvlText w:val="%1."/>
      <w:lvlJc w:val="left"/>
      <w:pPr>
        <w:ind w:left="115" w:hanging="160"/>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630" w:hanging="160"/>
      </w:pPr>
      <w:rPr>
        <w:rFonts w:hint="default"/>
        <w:lang w:val="zh-CN" w:eastAsia="zh-CN" w:bidi="zh-CN"/>
      </w:rPr>
    </w:lvl>
    <w:lvl w:ilvl="2">
      <w:start w:val="0"/>
      <w:numFmt w:val="bullet"/>
      <w:lvlText w:val="•"/>
      <w:lvlJc w:val="left"/>
      <w:pPr>
        <w:ind w:left="1140" w:hanging="160"/>
      </w:pPr>
      <w:rPr>
        <w:rFonts w:hint="default"/>
        <w:lang w:val="zh-CN" w:eastAsia="zh-CN" w:bidi="zh-CN"/>
      </w:rPr>
    </w:lvl>
    <w:lvl w:ilvl="3">
      <w:start w:val="0"/>
      <w:numFmt w:val="bullet"/>
      <w:lvlText w:val="•"/>
      <w:lvlJc w:val="left"/>
      <w:pPr>
        <w:ind w:left="1651" w:hanging="160"/>
      </w:pPr>
      <w:rPr>
        <w:rFonts w:hint="default"/>
        <w:lang w:val="zh-CN" w:eastAsia="zh-CN" w:bidi="zh-CN"/>
      </w:rPr>
    </w:lvl>
    <w:lvl w:ilvl="4">
      <w:start w:val="0"/>
      <w:numFmt w:val="bullet"/>
      <w:lvlText w:val="•"/>
      <w:lvlJc w:val="left"/>
      <w:pPr>
        <w:ind w:left="2161" w:hanging="160"/>
      </w:pPr>
      <w:rPr>
        <w:rFonts w:hint="default"/>
        <w:lang w:val="zh-CN" w:eastAsia="zh-CN" w:bidi="zh-CN"/>
      </w:rPr>
    </w:lvl>
    <w:lvl w:ilvl="5">
      <w:start w:val="0"/>
      <w:numFmt w:val="bullet"/>
      <w:lvlText w:val="•"/>
      <w:lvlJc w:val="left"/>
      <w:pPr>
        <w:ind w:left="2671" w:hanging="160"/>
      </w:pPr>
      <w:rPr>
        <w:rFonts w:hint="default"/>
        <w:lang w:val="zh-CN" w:eastAsia="zh-CN" w:bidi="zh-CN"/>
      </w:rPr>
    </w:lvl>
    <w:lvl w:ilvl="6">
      <w:start w:val="0"/>
      <w:numFmt w:val="bullet"/>
      <w:lvlText w:val="•"/>
      <w:lvlJc w:val="left"/>
      <w:pPr>
        <w:ind w:left="3182" w:hanging="160"/>
      </w:pPr>
      <w:rPr>
        <w:rFonts w:hint="default"/>
        <w:lang w:val="zh-CN" w:eastAsia="zh-CN" w:bidi="zh-CN"/>
      </w:rPr>
    </w:lvl>
    <w:lvl w:ilvl="7">
      <w:start w:val="0"/>
      <w:numFmt w:val="bullet"/>
      <w:lvlText w:val="•"/>
      <w:lvlJc w:val="left"/>
      <w:pPr>
        <w:ind w:left="3692" w:hanging="160"/>
      </w:pPr>
      <w:rPr>
        <w:rFonts w:hint="default"/>
        <w:lang w:val="zh-CN" w:eastAsia="zh-CN" w:bidi="zh-CN"/>
      </w:rPr>
    </w:lvl>
    <w:lvl w:ilvl="8">
      <w:start w:val="0"/>
      <w:numFmt w:val="bullet"/>
      <w:lvlText w:val="•"/>
      <w:lvlJc w:val="left"/>
      <w:pPr>
        <w:ind w:left="4202" w:hanging="160"/>
      </w:pPr>
      <w:rPr>
        <w:rFonts w:hint="default"/>
        <w:lang w:val="zh-CN" w:eastAsia="zh-CN" w:bidi="zh-CN"/>
      </w:rPr>
    </w:lvl>
  </w:abstractNum>
  <w:abstractNum w:abstractNumId="6">
    <w:nsid w:val="9288B902"/>
    <w:multiLevelType w:val="multilevel"/>
    <w:tmpl w:val="9288B902"/>
    <w:lvl w:ilvl="0">
      <w:start w:val="3"/>
      <w:numFmt w:val="decimal"/>
      <w:lvlText w:val="%1）"/>
      <w:lvlJc w:val="left"/>
      <w:pPr>
        <w:ind w:left="1970"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2758" w:hanging="361"/>
      </w:pPr>
      <w:rPr>
        <w:rFonts w:hint="default"/>
        <w:lang w:val="zh-CN" w:eastAsia="zh-CN" w:bidi="zh-CN"/>
      </w:rPr>
    </w:lvl>
    <w:lvl w:ilvl="2">
      <w:start w:val="0"/>
      <w:numFmt w:val="bullet"/>
      <w:lvlText w:val="•"/>
      <w:lvlJc w:val="left"/>
      <w:pPr>
        <w:ind w:left="3537" w:hanging="361"/>
      </w:pPr>
      <w:rPr>
        <w:rFonts w:hint="default"/>
        <w:lang w:val="zh-CN" w:eastAsia="zh-CN" w:bidi="zh-CN"/>
      </w:rPr>
    </w:lvl>
    <w:lvl w:ilvl="3">
      <w:start w:val="0"/>
      <w:numFmt w:val="bullet"/>
      <w:lvlText w:val="•"/>
      <w:lvlJc w:val="left"/>
      <w:pPr>
        <w:ind w:left="4316" w:hanging="361"/>
      </w:pPr>
      <w:rPr>
        <w:rFonts w:hint="default"/>
        <w:lang w:val="zh-CN" w:eastAsia="zh-CN" w:bidi="zh-CN"/>
      </w:rPr>
    </w:lvl>
    <w:lvl w:ilvl="4">
      <w:start w:val="0"/>
      <w:numFmt w:val="bullet"/>
      <w:lvlText w:val="•"/>
      <w:lvlJc w:val="left"/>
      <w:pPr>
        <w:ind w:left="5095" w:hanging="361"/>
      </w:pPr>
      <w:rPr>
        <w:rFonts w:hint="default"/>
        <w:lang w:val="zh-CN" w:eastAsia="zh-CN" w:bidi="zh-CN"/>
      </w:rPr>
    </w:lvl>
    <w:lvl w:ilvl="5">
      <w:start w:val="0"/>
      <w:numFmt w:val="bullet"/>
      <w:lvlText w:val="•"/>
      <w:lvlJc w:val="left"/>
      <w:pPr>
        <w:ind w:left="5874" w:hanging="361"/>
      </w:pPr>
      <w:rPr>
        <w:rFonts w:hint="default"/>
        <w:lang w:val="zh-CN" w:eastAsia="zh-CN" w:bidi="zh-CN"/>
      </w:rPr>
    </w:lvl>
    <w:lvl w:ilvl="6">
      <w:start w:val="0"/>
      <w:numFmt w:val="bullet"/>
      <w:lvlText w:val="•"/>
      <w:lvlJc w:val="left"/>
      <w:pPr>
        <w:ind w:left="6653" w:hanging="361"/>
      </w:pPr>
      <w:rPr>
        <w:rFonts w:hint="default"/>
        <w:lang w:val="zh-CN" w:eastAsia="zh-CN" w:bidi="zh-CN"/>
      </w:rPr>
    </w:lvl>
    <w:lvl w:ilvl="7">
      <w:start w:val="0"/>
      <w:numFmt w:val="bullet"/>
      <w:lvlText w:val="•"/>
      <w:lvlJc w:val="left"/>
      <w:pPr>
        <w:ind w:left="7432" w:hanging="361"/>
      </w:pPr>
      <w:rPr>
        <w:rFonts w:hint="default"/>
        <w:lang w:val="zh-CN" w:eastAsia="zh-CN" w:bidi="zh-CN"/>
      </w:rPr>
    </w:lvl>
    <w:lvl w:ilvl="8">
      <w:start w:val="0"/>
      <w:numFmt w:val="bullet"/>
      <w:lvlText w:val="•"/>
      <w:lvlJc w:val="left"/>
      <w:pPr>
        <w:ind w:left="8211" w:hanging="361"/>
      </w:pPr>
      <w:rPr>
        <w:rFonts w:hint="default"/>
        <w:lang w:val="zh-CN" w:eastAsia="zh-CN" w:bidi="zh-CN"/>
      </w:rPr>
    </w:lvl>
  </w:abstractNum>
  <w:abstractNum w:abstractNumId="7">
    <w:nsid w:val="9C8AC8EF"/>
    <w:multiLevelType w:val="multilevel"/>
    <w:tmpl w:val="9C8AC8EF"/>
    <w:lvl w:ilvl="0">
      <w:start w:val="1"/>
      <w:numFmt w:val="decimal"/>
      <w:lvlText w:val="（%1）"/>
      <w:lvlJc w:val="left"/>
      <w:pPr>
        <w:ind w:left="2449"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3206" w:hanging="602"/>
      </w:pPr>
      <w:rPr>
        <w:rFonts w:hint="default"/>
        <w:lang w:val="zh-CN" w:eastAsia="zh-CN" w:bidi="zh-CN"/>
      </w:rPr>
    </w:lvl>
    <w:lvl w:ilvl="2">
      <w:start w:val="0"/>
      <w:numFmt w:val="bullet"/>
      <w:lvlText w:val="•"/>
      <w:lvlJc w:val="left"/>
      <w:pPr>
        <w:ind w:left="3972" w:hanging="602"/>
      </w:pPr>
      <w:rPr>
        <w:rFonts w:hint="default"/>
        <w:lang w:val="zh-CN" w:eastAsia="zh-CN" w:bidi="zh-CN"/>
      </w:rPr>
    </w:lvl>
    <w:lvl w:ilvl="3">
      <w:start w:val="0"/>
      <w:numFmt w:val="bullet"/>
      <w:lvlText w:val="•"/>
      <w:lvlJc w:val="left"/>
      <w:pPr>
        <w:ind w:left="4739" w:hanging="602"/>
      </w:pPr>
      <w:rPr>
        <w:rFonts w:hint="default"/>
        <w:lang w:val="zh-CN" w:eastAsia="zh-CN" w:bidi="zh-CN"/>
      </w:rPr>
    </w:lvl>
    <w:lvl w:ilvl="4">
      <w:start w:val="0"/>
      <w:numFmt w:val="bullet"/>
      <w:lvlText w:val="•"/>
      <w:lvlJc w:val="left"/>
      <w:pPr>
        <w:ind w:left="5505" w:hanging="602"/>
      </w:pPr>
      <w:rPr>
        <w:rFonts w:hint="default"/>
        <w:lang w:val="zh-CN" w:eastAsia="zh-CN" w:bidi="zh-CN"/>
      </w:rPr>
    </w:lvl>
    <w:lvl w:ilvl="5">
      <w:start w:val="0"/>
      <w:numFmt w:val="bullet"/>
      <w:lvlText w:val="•"/>
      <w:lvlJc w:val="left"/>
      <w:pPr>
        <w:ind w:left="6272" w:hanging="602"/>
      </w:pPr>
      <w:rPr>
        <w:rFonts w:hint="default"/>
        <w:lang w:val="zh-CN" w:eastAsia="zh-CN" w:bidi="zh-CN"/>
      </w:rPr>
    </w:lvl>
    <w:lvl w:ilvl="6">
      <w:start w:val="0"/>
      <w:numFmt w:val="bullet"/>
      <w:lvlText w:val="•"/>
      <w:lvlJc w:val="left"/>
      <w:pPr>
        <w:ind w:left="7038" w:hanging="602"/>
      </w:pPr>
      <w:rPr>
        <w:rFonts w:hint="default"/>
        <w:lang w:val="zh-CN" w:eastAsia="zh-CN" w:bidi="zh-CN"/>
      </w:rPr>
    </w:lvl>
    <w:lvl w:ilvl="7">
      <w:start w:val="0"/>
      <w:numFmt w:val="bullet"/>
      <w:lvlText w:val="•"/>
      <w:lvlJc w:val="left"/>
      <w:pPr>
        <w:ind w:left="7804" w:hanging="602"/>
      </w:pPr>
      <w:rPr>
        <w:rFonts w:hint="default"/>
        <w:lang w:val="zh-CN" w:eastAsia="zh-CN" w:bidi="zh-CN"/>
      </w:rPr>
    </w:lvl>
    <w:lvl w:ilvl="8">
      <w:start w:val="0"/>
      <w:numFmt w:val="bullet"/>
      <w:lvlText w:val="•"/>
      <w:lvlJc w:val="left"/>
      <w:pPr>
        <w:ind w:left="8571" w:hanging="602"/>
      </w:pPr>
      <w:rPr>
        <w:rFonts w:hint="default"/>
        <w:lang w:val="zh-CN" w:eastAsia="zh-CN" w:bidi="zh-CN"/>
      </w:rPr>
    </w:lvl>
  </w:abstractNum>
  <w:abstractNum w:abstractNumId="8">
    <w:nsid w:val="B0F1ACD9"/>
    <w:multiLevelType w:val="multilevel"/>
    <w:tmpl w:val="B0F1ACD9"/>
    <w:lvl w:ilvl="0">
      <w:start w:val="1"/>
      <w:numFmt w:val="decimal"/>
      <w:lvlText w:val="%1）"/>
      <w:lvlJc w:val="left"/>
      <w:pPr>
        <w:ind w:left="950"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1738" w:hanging="361"/>
      </w:pPr>
      <w:rPr>
        <w:rFonts w:hint="default"/>
        <w:lang w:val="zh-CN" w:eastAsia="zh-CN" w:bidi="zh-CN"/>
      </w:rPr>
    </w:lvl>
    <w:lvl w:ilvl="2">
      <w:start w:val="0"/>
      <w:numFmt w:val="bullet"/>
      <w:lvlText w:val="•"/>
      <w:lvlJc w:val="left"/>
      <w:pPr>
        <w:ind w:left="2517" w:hanging="361"/>
      </w:pPr>
      <w:rPr>
        <w:rFonts w:hint="default"/>
        <w:lang w:val="zh-CN" w:eastAsia="zh-CN" w:bidi="zh-CN"/>
      </w:rPr>
    </w:lvl>
    <w:lvl w:ilvl="3">
      <w:start w:val="0"/>
      <w:numFmt w:val="bullet"/>
      <w:lvlText w:val="•"/>
      <w:lvlJc w:val="left"/>
      <w:pPr>
        <w:ind w:left="3295" w:hanging="361"/>
      </w:pPr>
      <w:rPr>
        <w:rFonts w:hint="default"/>
        <w:lang w:val="zh-CN" w:eastAsia="zh-CN" w:bidi="zh-CN"/>
      </w:rPr>
    </w:lvl>
    <w:lvl w:ilvl="4">
      <w:start w:val="0"/>
      <w:numFmt w:val="bullet"/>
      <w:lvlText w:val="•"/>
      <w:lvlJc w:val="left"/>
      <w:pPr>
        <w:ind w:left="4074" w:hanging="361"/>
      </w:pPr>
      <w:rPr>
        <w:rFonts w:hint="default"/>
        <w:lang w:val="zh-CN" w:eastAsia="zh-CN" w:bidi="zh-CN"/>
      </w:rPr>
    </w:lvl>
    <w:lvl w:ilvl="5">
      <w:start w:val="0"/>
      <w:numFmt w:val="bullet"/>
      <w:lvlText w:val="•"/>
      <w:lvlJc w:val="left"/>
      <w:pPr>
        <w:ind w:left="4852" w:hanging="361"/>
      </w:pPr>
      <w:rPr>
        <w:rFonts w:hint="default"/>
        <w:lang w:val="zh-CN" w:eastAsia="zh-CN" w:bidi="zh-CN"/>
      </w:rPr>
    </w:lvl>
    <w:lvl w:ilvl="6">
      <w:start w:val="0"/>
      <w:numFmt w:val="bullet"/>
      <w:lvlText w:val="•"/>
      <w:lvlJc w:val="left"/>
      <w:pPr>
        <w:ind w:left="5631" w:hanging="361"/>
      </w:pPr>
      <w:rPr>
        <w:rFonts w:hint="default"/>
        <w:lang w:val="zh-CN" w:eastAsia="zh-CN" w:bidi="zh-CN"/>
      </w:rPr>
    </w:lvl>
    <w:lvl w:ilvl="7">
      <w:start w:val="0"/>
      <w:numFmt w:val="bullet"/>
      <w:lvlText w:val="•"/>
      <w:lvlJc w:val="left"/>
      <w:pPr>
        <w:ind w:left="6409" w:hanging="361"/>
      </w:pPr>
      <w:rPr>
        <w:rFonts w:hint="default"/>
        <w:lang w:val="zh-CN" w:eastAsia="zh-CN" w:bidi="zh-CN"/>
      </w:rPr>
    </w:lvl>
    <w:lvl w:ilvl="8">
      <w:start w:val="0"/>
      <w:numFmt w:val="bullet"/>
      <w:lvlText w:val="•"/>
      <w:lvlJc w:val="left"/>
      <w:pPr>
        <w:ind w:left="7188" w:hanging="361"/>
      </w:pPr>
      <w:rPr>
        <w:rFonts w:hint="default"/>
        <w:lang w:val="zh-CN" w:eastAsia="zh-CN" w:bidi="zh-CN"/>
      </w:rPr>
    </w:lvl>
  </w:abstractNum>
  <w:abstractNum w:abstractNumId="9">
    <w:nsid w:val="B5E306ED"/>
    <w:multiLevelType w:val="multilevel"/>
    <w:tmpl w:val="B5E306ED"/>
    <w:lvl w:ilvl="0">
      <w:start w:val="0"/>
      <w:numFmt w:val="bullet"/>
      <w:lvlText w:val=""/>
      <w:lvlJc w:val="left"/>
      <w:pPr>
        <w:ind w:left="224" w:hanging="216"/>
      </w:pPr>
      <w:rPr>
        <w:rFonts w:ascii="Wingdings" w:eastAsia="Wingdings" w:hAnsi="Wingdings" w:cs="Wingdings" w:hint="default"/>
        <w:spacing w:val="2"/>
        <w:w w:val="100"/>
        <w:sz w:val="22"/>
        <w:szCs w:val="22"/>
        <w:lang w:val="zh-CN" w:eastAsia="zh-CN" w:bidi="zh-CN"/>
      </w:rPr>
    </w:lvl>
    <w:lvl w:ilvl="1">
      <w:start w:val="0"/>
      <w:numFmt w:val="bullet"/>
      <w:lvlText w:val="•"/>
      <w:lvlJc w:val="left"/>
      <w:pPr>
        <w:ind w:left="845" w:hanging="216"/>
      </w:pPr>
      <w:rPr>
        <w:rFonts w:hint="default"/>
        <w:lang w:val="zh-CN" w:eastAsia="zh-CN" w:bidi="zh-CN"/>
      </w:rPr>
    </w:lvl>
    <w:lvl w:ilvl="2">
      <w:start w:val="0"/>
      <w:numFmt w:val="bullet"/>
      <w:lvlText w:val="•"/>
      <w:lvlJc w:val="left"/>
      <w:pPr>
        <w:ind w:left="1470" w:hanging="216"/>
      </w:pPr>
      <w:rPr>
        <w:rFonts w:hint="default"/>
        <w:lang w:val="zh-CN" w:eastAsia="zh-CN" w:bidi="zh-CN"/>
      </w:rPr>
    </w:lvl>
    <w:lvl w:ilvl="3">
      <w:start w:val="0"/>
      <w:numFmt w:val="bullet"/>
      <w:lvlText w:val="•"/>
      <w:lvlJc w:val="left"/>
      <w:pPr>
        <w:ind w:left="2095" w:hanging="216"/>
      </w:pPr>
      <w:rPr>
        <w:rFonts w:hint="default"/>
        <w:lang w:val="zh-CN" w:eastAsia="zh-CN" w:bidi="zh-CN"/>
      </w:rPr>
    </w:lvl>
    <w:lvl w:ilvl="4">
      <w:start w:val="0"/>
      <w:numFmt w:val="bullet"/>
      <w:lvlText w:val="•"/>
      <w:lvlJc w:val="left"/>
      <w:pPr>
        <w:ind w:left="2720" w:hanging="216"/>
      </w:pPr>
      <w:rPr>
        <w:rFonts w:hint="default"/>
        <w:lang w:val="zh-CN" w:eastAsia="zh-CN" w:bidi="zh-CN"/>
      </w:rPr>
    </w:lvl>
    <w:lvl w:ilvl="5">
      <w:start w:val="0"/>
      <w:numFmt w:val="bullet"/>
      <w:lvlText w:val="•"/>
      <w:lvlJc w:val="left"/>
      <w:pPr>
        <w:ind w:left="3346" w:hanging="216"/>
      </w:pPr>
      <w:rPr>
        <w:rFonts w:hint="default"/>
        <w:lang w:val="zh-CN" w:eastAsia="zh-CN" w:bidi="zh-CN"/>
      </w:rPr>
    </w:lvl>
    <w:lvl w:ilvl="6">
      <w:start w:val="0"/>
      <w:numFmt w:val="bullet"/>
      <w:lvlText w:val="•"/>
      <w:lvlJc w:val="left"/>
      <w:pPr>
        <w:ind w:left="3971" w:hanging="216"/>
      </w:pPr>
      <w:rPr>
        <w:rFonts w:hint="default"/>
        <w:lang w:val="zh-CN" w:eastAsia="zh-CN" w:bidi="zh-CN"/>
      </w:rPr>
    </w:lvl>
    <w:lvl w:ilvl="7">
      <w:start w:val="0"/>
      <w:numFmt w:val="bullet"/>
      <w:lvlText w:val="•"/>
      <w:lvlJc w:val="left"/>
      <w:pPr>
        <w:ind w:left="4596" w:hanging="216"/>
      </w:pPr>
      <w:rPr>
        <w:rFonts w:hint="default"/>
        <w:lang w:val="zh-CN" w:eastAsia="zh-CN" w:bidi="zh-CN"/>
      </w:rPr>
    </w:lvl>
    <w:lvl w:ilvl="8">
      <w:start w:val="0"/>
      <w:numFmt w:val="bullet"/>
      <w:lvlText w:val="•"/>
      <w:lvlJc w:val="left"/>
      <w:pPr>
        <w:ind w:left="5221" w:hanging="216"/>
      </w:pPr>
      <w:rPr>
        <w:rFonts w:hint="default"/>
        <w:lang w:val="zh-CN" w:eastAsia="zh-CN" w:bidi="zh-CN"/>
      </w:rPr>
    </w:lvl>
  </w:abstractNum>
  <w:abstractNum w:abstractNumId="10">
    <w:nsid w:val="B8CEF35B"/>
    <w:multiLevelType w:val="multilevel"/>
    <w:tmpl w:val="B8CEF35B"/>
    <w:lvl w:ilvl="0">
      <w:start w:val="1"/>
      <w:numFmt w:val="decimal"/>
      <w:lvlText w:val="（%1）"/>
      <w:lvlJc w:val="left"/>
      <w:pPr>
        <w:ind w:left="2145"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18" w:hanging="602"/>
      </w:pPr>
      <w:rPr>
        <w:rFonts w:hint="default"/>
        <w:lang w:val="zh-CN" w:eastAsia="zh-CN" w:bidi="zh-CN"/>
      </w:rPr>
    </w:lvl>
    <w:lvl w:ilvl="2">
      <w:start w:val="0"/>
      <w:numFmt w:val="bullet"/>
      <w:lvlText w:val="•"/>
      <w:lvlJc w:val="left"/>
      <w:pPr>
        <w:ind w:left="3696" w:hanging="602"/>
      </w:pPr>
      <w:rPr>
        <w:rFonts w:hint="default"/>
        <w:lang w:val="zh-CN" w:eastAsia="zh-CN" w:bidi="zh-CN"/>
      </w:rPr>
    </w:lvl>
    <w:lvl w:ilvl="3">
      <w:start w:val="0"/>
      <w:numFmt w:val="bullet"/>
      <w:lvlText w:val="•"/>
      <w:lvlJc w:val="left"/>
      <w:pPr>
        <w:ind w:left="4475" w:hanging="602"/>
      </w:pPr>
      <w:rPr>
        <w:rFonts w:hint="default"/>
        <w:lang w:val="zh-CN" w:eastAsia="zh-CN" w:bidi="zh-CN"/>
      </w:rPr>
    </w:lvl>
    <w:lvl w:ilvl="4">
      <w:start w:val="0"/>
      <w:numFmt w:val="bullet"/>
      <w:lvlText w:val="•"/>
      <w:lvlJc w:val="left"/>
      <w:pPr>
        <w:ind w:left="5253" w:hanging="602"/>
      </w:pPr>
      <w:rPr>
        <w:rFonts w:hint="default"/>
        <w:lang w:val="zh-CN" w:eastAsia="zh-CN" w:bidi="zh-CN"/>
      </w:rPr>
    </w:lvl>
    <w:lvl w:ilvl="5">
      <w:start w:val="0"/>
      <w:numFmt w:val="bullet"/>
      <w:lvlText w:val="•"/>
      <w:lvlJc w:val="left"/>
      <w:pPr>
        <w:ind w:left="6032" w:hanging="602"/>
      </w:pPr>
      <w:rPr>
        <w:rFonts w:hint="default"/>
        <w:lang w:val="zh-CN" w:eastAsia="zh-CN" w:bidi="zh-CN"/>
      </w:rPr>
    </w:lvl>
    <w:lvl w:ilvl="6">
      <w:start w:val="0"/>
      <w:numFmt w:val="bullet"/>
      <w:lvlText w:val="•"/>
      <w:lvlJc w:val="left"/>
      <w:pPr>
        <w:ind w:left="6810" w:hanging="602"/>
      </w:pPr>
      <w:rPr>
        <w:rFonts w:hint="default"/>
        <w:lang w:val="zh-CN" w:eastAsia="zh-CN" w:bidi="zh-CN"/>
      </w:rPr>
    </w:lvl>
    <w:lvl w:ilvl="7">
      <w:start w:val="0"/>
      <w:numFmt w:val="bullet"/>
      <w:lvlText w:val="•"/>
      <w:lvlJc w:val="left"/>
      <w:pPr>
        <w:ind w:left="7588" w:hanging="602"/>
      </w:pPr>
      <w:rPr>
        <w:rFonts w:hint="default"/>
        <w:lang w:val="zh-CN" w:eastAsia="zh-CN" w:bidi="zh-CN"/>
      </w:rPr>
    </w:lvl>
    <w:lvl w:ilvl="8">
      <w:start w:val="0"/>
      <w:numFmt w:val="bullet"/>
      <w:lvlText w:val="•"/>
      <w:lvlJc w:val="left"/>
      <w:pPr>
        <w:ind w:left="8367" w:hanging="602"/>
      </w:pPr>
      <w:rPr>
        <w:rFonts w:hint="default"/>
        <w:lang w:val="zh-CN" w:eastAsia="zh-CN" w:bidi="zh-CN"/>
      </w:rPr>
    </w:lvl>
  </w:abstractNum>
  <w:abstractNum w:abstractNumId="11">
    <w:nsid w:val="BB64CFA9"/>
    <w:multiLevelType w:val="multilevel"/>
    <w:tmpl w:val="BB64CFA9"/>
    <w:lvl w:ilvl="0">
      <w:start w:val="1"/>
      <w:numFmt w:val="decimal"/>
      <w:lvlText w:val="（%1）"/>
      <w:lvlJc w:val="left"/>
      <w:pPr>
        <w:ind w:left="2145" w:hanging="602"/>
        <w:jc w:val="left"/>
      </w:pPr>
      <w:rPr>
        <w:rFonts w:ascii="宋体" w:eastAsia="宋体" w:hAnsi="宋体" w:cs="宋体" w:hint="default"/>
        <w:spacing w:val="-34"/>
        <w:w w:val="100"/>
        <w:sz w:val="22"/>
        <w:szCs w:val="22"/>
        <w:lang w:val="zh-CN" w:eastAsia="zh-CN" w:bidi="zh-CN"/>
      </w:rPr>
    </w:lvl>
    <w:lvl w:ilvl="1">
      <w:start w:val="0"/>
      <w:numFmt w:val="bullet"/>
      <w:lvlText w:val="•"/>
      <w:lvlJc w:val="left"/>
      <w:pPr>
        <w:ind w:left="2918" w:hanging="602"/>
      </w:pPr>
      <w:rPr>
        <w:rFonts w:hint="default"/>
        <w:lang w:val="zh-CN" w:eastAsia="zh-CN" w:bidi="zh-CN"/>
      </w:rPr>
    </w:lvl>
    <w:lvl w:ilvl="2">
      <w:start w:val="0"/>
      <w:numFmt w:val="bullet"/>
      <w:lvlText w:val="•"/>
      <w:lvlJc w:val="left"/>
      <w:pPr>
        <w:ind w:left="3696" w:hanging="602"/>
      </w:pPr>
      <w:rPr>
        <w:rFonts w:hint="default"/>
        <w:lang w:val="zh-CN" w:eastAsia="zh-CN" w:bidi="zh-CN"/>
      </w:rPr>
    </w:lvl>
    <w:lvl w:ilvl="3">
      <w:start w:val="0"/>
      <w:numFmt w:val="bullet"/>
      <w:lvlText w:val="•"/>
      <w:lvlJc w:val="left"/>
      <w:pPr>
        <w:ind w:left="4475" w:hanging="602"/>
      </w:pPr>
      <w:rPr>
        <w:rFonts w:hint="default"/>
        <w:lang w:val="zh-CN" w:eastAsia="zh-CN" w:bidi="zh-CN"/>
      </w:rPr>
    </w:lvl>
    <w:lvl w:ilvl="4">
      <w:start w:val="0"/>
      <w:numFmt w:val="bullet"/>
      <w:lvlText w:val="•"/>
      <w:lvlJc w:val="left"/>
      <w:pPr>
        <w:ind w:left="5253" w:hanging="602"/>
      </w:pPr>
      <w:rPr>
        <w:rFonts w:hint="default"/>
        <w:lang w:val="zh-CN" w:eastAsia="zh-CN" w:bidi="zh-CN"/>
      </w:rPr>
    </w:lvl>
    <w:lvl w:ilvl="5">
      <w:start w:val="0"/>
      <w:numFmt w:val="bullet"/>
      <w:lvlText w:val="•"/>
      <w:lvlJc w:val="left"/>
      <w:pPr>
        <w:ind w:left="6032" w:hanging="602"/>
      </w:pPr>
      <w:rPr>
        <w:rFonts w:hint="default"/>
        <w:lang w:val="zh-CN" w:eastAsia="zh-CN" w:bidi="zh-CN"/>
      </w:rPr>
    </w:lvl>
    <w:lvl w:ilvl="6">
      <w:start w:val="0"/>
      <w:numFmt w:val="bullet"/>
      <w:lvlText w:val="•"/>
      <w:lvlJc w:val="left"/>
      <w:pPr>
        <w:ind w:left="6810" w:hanging="602"/>
      </w:pPr>
      <w:rPr>
        <w:rFonts w:hint="default"/>
        <w:lang w:val="zh-CN" w:eastAsia="zh-CN" w:bidi="zh-CN"/>
      </w:rPr>
    </w:lvl>
    <w:lvl w:ilvl="7">
      <w:start w:val="0"/>
      <w:numFmt w:val="bullet"/>
      <w:lvlText w:val="•"/>
      <w:lvlJc w:val="left"/>
      <w:pPr>
        <w:ind w:left="7588" w:hanging="602"/>
      </w:pPr>
      <w:rPr>
        <w:rFonts w:hint="default"/>
        <w:lang w:val="zh-CN" w:eastAsia="zh-CN" w:bidi="zh-CN"/>
      </w:rPr>
    </w:lvl>
    <w:lvl w:ilvl="8">
      <w:start w:val="0"/>
      <w:numFmt w:val="bullet"/>
      <w:lvlText w:val="•"/>
      <w:lvlJc w:val="left"/>
      <w:pPr>
        <w:ind w:left="8367" w:hanging="602"/>
      </w:pPr>
      <w:rPr>
        <w:rFonts w:hint="default"/>
        <w:lang w:val="zh-CN" w:eastAsia="zh-CN" w:bidi="zh-CN"/>
      </w:rPr>
    </w:lvl>
  </w:abstractNum>
  <w:abstractNum w:abstractNumId="12">
    <w:nsid w:val="BE923771"/>
    <w:multiLevelType w:val="multilevel"/>
    <w:tmpl w:val="BE923771"/>
    <w:lvl w:ilvl="0">
      <w:start w:val="1"/>
      <w:numFmt w:val="decimal"/>
      <w:lvlText w:val="%1）"/>
      <w:lvlJc w:val="left"/>
      <w:pPr>
        <w:ind w:left="956"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1690" w:hanging="361"/>
      </w:pPr>
      <w:rPr>
        <w:rFonts w:hint="default"/>
        <w:lang w:val="zh-CN" w:eastAsia="zh-CN" w:bidi="zh-CN"/>
      </w:rPr>
    </w:lvl>
    <w:lvl w:ilvl="2">
      <w:start w:val="0"/>
      <w:numFmt w:val="bullet"/>
      <w:lvlText w:val="•"/>
      <w:lvlJc w:val="left"/>
      <w:pPr>
        <w:ind w:left="2420" w:hanging="361"/>
      </w:pPr>
      <w:rPr>
        <w:rFonts w:hint="default"/>
        <w:lang w:val="zh-CN" w:eastAsia="zh-CN" w:bidi="zh-CN"/>
      </w:rPr>
    </w:lvl>
    <w:lvl w:ilvl="3">
      <w:start w:val="0"/>
      <w:numFmt w:val="bullet"/>
      <w:lvlText w:val="•"/>
      <w:lvlJc w:val="left"/>
      <w:pPr>
        <w:ind w:left="3150" w:hanging="361"/>
      </w:pPr>
      <w:rPr>
        <w:rFonts w:hint="default"/>
        <w:lang w:val="zh-CN" w:eastAsia="zh-CN" w:bidi="zh-CN"/>
      </w:rPr>
    </w:lvl>
    <w:lvl w:ilvl="4">
      <w:start w:val="0"/>
      <w:numFmt w:val="bullet"/>
      <w:lvlText w:val="•"/>
      <w:lvlJc w:val="left"/>
      <w:pPr>
        <w:ind w:left="3881" w:hanging="361"/>
      </w:pPr>
      <w:rPr>
        <w:rFonts w:hint="default"/>
        <w:lang w:val="zh-CN" w:eastAsia="zh-CN" w:bidi="zh-CN"/>
      </w:rPr>
    </w:lvl>
    <w:lvl w:ilvl="5">
      <w:start w:val="0"/>
      <w:numFmt w:val="bullet"/>
      <w:lvlText w:val="•"/>
      <w:lvlJc w:val="left"/>
      <w:pPr>
        <w:ind w:left="4611" w:hanging="361"/>
      </w:pPr>
      <w:rPr>
        <w:rFonts w:hint="default"/>
        <w:lang w:val="zh-CN" w:eastAsia="zh-CN" w:bidi="zh-CN"/>
      </w:rPr>
    </w:lvl>
    <w:lvl w:ilvl="6">
      <w:start w:val="0"/>
      <w:numFmt w:val="bullet"/>
      <w:lvlText w:val="•"/>
      <w:lvlJc w:val="left"/>
      <w:pPr>
        <w:ind w:left="5341" w:hanging="361"/>
      </w:pPr>
      <w:rPr>
        <w:rFonts w:hint="default"/>
        <w:lang w:val="zh-CN" w:eastAsia="zh-CN" w:bidi="zh-CN"/>
      </w:rPr>
    </w:lvl>
    <w:lvl w:ilvl="7">
      <w:start w:val="0"/>
      <w:numFmt w:val="bullet"/>
      <w:lvlText w:val="•"/>
      <w:lvlJc w:val="left"/>
      <w:pPr>
        <w:ind w:left="6072" w:hanging="361"/>
      </w:pPr>
      <w:rPr>
        <w:rFonts w:hint="default"/>
        <w:lang w:val="zh-CN" w:eastAsia="zh-CN" w:bidi="zh-CN"/>
      </w:rPr>
    </w:lvl>
    <w:lvl w:ilvl="8">
      <w:start w:val="0"/>
      <w:numFmt w:val="bullet"/>
      <w:lvlText w:val="•"/>
      <w:lvlJc w:val="left"/>
      <w:pPr>
        <w:ind w:left="6802" w:hanging="361"/>
      </w:pPr>
      <w:rPr>
        <w:rFonts w:hint="default"/>
        <w:lang w:val="zh-CN" w:eastAsia="zh-CN" w:bidi="zh-CN"/>
      </w:rPr>
    </w:lvl>
  </w:abstractNum>
  <w:abstractNum w:abstractNumId="13">
    <w:nsid w:val="BF205925"/>
    <w:multiLevelType w:val="multilevel"/>
    <w:tmpl w:val="BF205925"/>
    <w:lvl w:ilvl="0">
      <w:start w:val="0"/>
      <w:numFmt w:val="bullet"/>
      <w:lvlText w:val=""/>
      <w:lvlJc w:val="left"/>
      <w:pPr>
        <w:ind w:left="9" w:hanging="216"/>
      </w:pPr>
      <w:rPr>
        <w:rFonts w:ascii="Wingdings" w:eastAsia="Wingdings" w:hAnsi="Wingdings" w:cs="Wingdings" w:hint="default"/>
        <w:spacing w:val="2"/>
        <w:w w:val="100"/>
        <w:sz w:val="22"/>
        <w:szCs w:val="22"/>
        <w:lang w:val="zh-CN" w:eastAsia="zh-CN" w:bidi="zh-CN"/>
      </w:rPr>
    </w:lvl>
    <w:lvl w:ilvl="1">
      <w:start w:val="0"/>
      <w:numFmt w:val="bullet"/>
      <w:lvlText w:val="•"/>
      <w:lvlJc w:val="left"/>
      <w:pPr>
        <w:ind w:left="274" w:hanging="216"/>
      </w:pPr>
      <w:rPr>
        <w:rFonts w:hint="default"/>
        <w:lang w:val="zh-CN" w:eastAsia="zh-CN" w:bidi="zh-CN"/>
      </w:rPr>
    </w:lvl>
    <w:lvl w:ilvl="2">
      <w:start w:val="0"/>
      <w:numFmt w:val="bullet"/>
      <w:lvlText w:val="•"/>
      <w:lvlJc w:val="left"/>
      <w:pPr>
        <w:ind w:left="549" w:hanging="216"/>
      </w:pPr>
      <w:rPr>
        <w:rFonts w:hint="default"/>
        <w:lang w:val="zh-CN" w:eastAsia="zh-CN" w:bidi="zh-CN"/>
      </w:rPr>
    </w:lvl>
    <w:lvl w:ilvl="3">
      <w:start w:val="0"/>
      <w:numFmt w:val="bullet"/>
      <w:lvlText w:val="•"/>
      <w:lvlJc w:val="left"/>
      <w:pPr>
        <w:ind w:left="823" w:hanging="216"/>
      </w:pPr>
      <w:rPr>
        <w:rFonts w:hint="default"/>
        <w:lang w:val="zh-CN" w:eastAsia="zh-CN" w:bidi="zh-CN"/>
      </w:rPr>
    </w:lvl>
    <w:lvl w:ilvl="4">
      <w:start w:val="0"/>
      <w:numFmt w:val="bullet"/>
      <w:lvlText w:val="•"/>
      <w:lvlJc w:val="left"/>
      <w:pPr>
        <w:ind w:left="1098" w:hanging="216"/>
      </w:pPr>
      <w:rPr>
        <w:rFonts w:hint="default"/>
        <w:lang w:val="zh-CN" w:eastAsia="zh-CN" w:bidi="zh-CN"/>
      </w:rPr>
    </w:lvl>
    <w:lvl w:ilvl="5">
      <w:start w:val="0"/>
      <w:numFmt w:val="bullet"/>
      <w:lvlText w:val="•"/>
      <w:lvlJc w:val="left"/>
      <w:pPr>
        <w:ind w:left="1373" w:hanging="216"/>
      </w:pPr>
      <w:rPr>
        <w:rFonts w:hint="default"/>
        <w:lang w:val="zh-CN" w:eastAsia="zh-CN" w:bidi="zh-CN"/>
      </w:rPr>
    </w:lvl>
    <w:lvl w:ilvl="6">
      <w:start w:val="0"/>
      <w:numFmt w:val="bullet"/>
      <w:lvlText w:val="•"/>
      <w:lvlJc w:val="left"/>
      <w:pPr>
        <w:ind w:left="1647" w:hanging="216"/>
      </w:pPr>
      <w:rPr>
        <w:rFonts w:hint="default"/>
        <w:lang w:val="zh-CN" w:eastAsia="zh-CN" w:bidi="zh-CN"/>
      </w:rPr>
    </w:lvl>
    <w:lvl w:ilvl="7">
      <w:start w:val="0"/>
      <w:numFmt w:val="bullet"/>
      <w:lvlText w:val="•"/>
      <w:lvlJc w:val="left"/>
      <w:pPr>
        <w:ind w:left="1922" w:hanging="216"/>
      </w:pPr>
      <w:rPr>
        <w:rFonts w:hint="default"/>
        <w:lang w:val="zh-CN" w:eastAsia="zh-CN" w:bidi="zh-CN"/>
      </w:rPr>
    </w:lvl>
    <w:lvl w:ilvl="8">
      <w:start w:val="0"/>
      <w:numFmt w:val="bullet"/>
      <w:lvlText w:val="•"/>
      <w:lvlJc w:val="left"/>
      <w:pPr>
        <w:ind w:left="2196" w:hanging="216"/>
      </w:pPr>
      <w:rPr>
        <w:rFonts w:hint="default"/>
        <w:lang w:val="zh-CN" w:eastAsia="zh-CN" w:bidi="zh-CN"/>
      </w:rPr>
    </w:lvl>
  </w:abstractNum>
  <w:abstractNum w:abstractNumId="14">
    <w:nsid w:val="C8879AEF"/>
    <w:multiLevelType w:val="multilevel"/>
    <w:tmpl w:val="C8879AEF"/>
    <w:lvl w:ilvl="0">
      <w:start w:val="2"/>
      <w:numFmt w:val="decimal"/>
      <w:lvlText w:val="%1）"/>
      <w:lvlJc w:val="left"/>
      <w:pPr>
        <w:ind w:left="2209"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2990" w:hanging="361"/>
      </w:pPr>
      <w:rPr>
        <w:rFonts w:hint="default"/>
        <w:lang w:val="zh-CN" w:eastAsia="zh-CN" w:bidi="zh-CN"/>
      </w:rPr>
    </w:lvl>
    <w:lvl w:ilvl="2">
      <w:start w:val="0"/>
      <w:numFmt w:val="bullet"/>
      <w:lvlText w:val="•"/>
      <w:lvlJc w:val="left"/>
      <w:pPr>
        <w:ind w:left="3780" w:hanging="361"/>
      </w:pPr>
      <w:rPr>
        <w:rFonts w:hint="default"/>
        <w:lang w:val="zh-CN" w:eastAsia="zh-CN" w:bidi="zh-CN"/>
      </w:rPr>
    </w:lvl>
    <w:lvl w:ilvl="3">
      <w:start w:val="0"/>
      <w:numFmt w:val="bullet"/>
      <w:lvlText w:val="•"/>
      <w:lvlJc w:val="left"/>
      <w:pPr>
        <w:ind w:left="4571" w:hanging="361"/>
      </w:pPr>
      <w:rPr>
        <w:rFonts w:hint="default"/>
        <w:lang w:val="zh-CN" w:eastAsia="zh-CN" w:bidi="zh-CN"/>
      </w:rPr>
    </w:lvl>
    <w:lvl w:ilvl="4">
      <w:start w:val="0"/>
      <w:numFmt w:val="bullet"/>
      <w:lvlText w:val="•"/>
      <w:lvlJc w:val="left"/>
      <w:pPr>
        <w:ind w:left="5361" w:hanging="361"/>
      </w:pPr>
      <w:rPr>
        <w:rFonts w:hint="default"/>
        <w:lang w:val="zh-CN" w:eastAsia="zh-CN" w:bidi="zh-CN"/>
      </w:rPr>
    </w:lvl>
    <w:lvl w:ilvl="5">
      <w:start w:val="0"/>
      <w:numFmt w:val="bullet"/>
      <w:lvlText w:val="•"/>
      <w:lvlJc w:val="left"/>
      <w:pPr>
        <w:ind w:left="6152" w:hanging="361"/>
      </w:pPr>
      <w:rPr>
        <w:rFonts w:hint="default"/>
        <w:lang w:val="zh-CN" w:eastAsia="zh-CN" w:bidi="zh-CN"/>
      </w:rPr>
    </w:lvl>
    <w:lvl w:ilvl="6">
      <w:start w:val="0"/>
      <w:numFmt w:val="bullet"/>
      <w:lvlText w:val="•"/>
      <w:lvlJc w:val="left"/>
      <w:pPr>
        <w:ind w:left="6942" w:hanging="361"/>
      </w:pPr>
      <w:rPr>
        <w:rFonts w:hint="default"/>
        <w:lang w:val="zh-CN" w:eastAsia="zh-CN" w:bidi="zh-CN"/>
      </w:rPr>
    </w:lvl>
    <w:lvl w:ilvl="7">
      <w:start w:val="0"/>
      <w:numFmt w:val="bullet"/>
      <w:lvlText w:val="•"/>
      <w:lvlJc w:val="left"/>
      <w:pPr>
        <w:ind w:left="7732" w:hanging="361"/>
      </w:pPr>
      <w:rPr>
        <w:rFonts w:hint="default"/>
        <w:lang w:val="zh-CN" w:eastAsia="zh-CN" w:bidi="zh-CN"/>
      </w:rPr>
    </w:lvl>
    <w:lvl w:ilvl="8">
      <w:start w:val="0"/>
      <w:numFmt w:val="bullet"/>
      <w:lvlText w:val="•"/>
      <w:lvlJc w:val="left"/>
      <w:pPr>
        <w:ind w:left="8523" w:hanging="361"/>
      </w:pPr>
      <w:rPr>
        <w:rFonts w:hint="default"/>
        <w:lang w:val="zh-CN" w:eastAsia="zh-CN" w:bidi="zh-CN"/>
      </w:rPr>
    </w:lvl>
  </w:abstractNum>
  <w:abstractNum w:abstractNumId="15">
    <w:nsid w:val="D7F9FE59"/>
    <w:multiLevelType w:val="multilevel"/>
    <w:tmpl w:val="D7F9FE59"/>
    <w:lvl w:ilvl="0">
      <w:start w:val="3"/>
      <w:numFmt w:val="decimal"/>
      <w:lvlText w:val="（%1）"/>
      <w:lvlJc w:val="left"/>
      <w:pPr>
        <w:ind w:left="1191"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1899" w:hanging="602"/>
      </w:pPr>
      <w:rPr>
        <w:rFonts w:hint="default"/>
        <w:lang w:val="zh-CN" w:eastAsia="zh-CN" w:bidi="zh-CN"/>
      </w:rPr>
    </w:lvl>
    <w:lvl w:ilvl="2">
      <w:start w:val="0"/>
      <w:numFmt w:val="bullet"/>
      <w:lvlText w:val="•"/>
      <w:lvlJc w:val="left"/>
      <w:pPr>
        <w:ind w:left="2599" w:hanging="602"/>
      </w:pPr>
      <w:rPr>
        <w:rFonts w:hint="default"/>
        <w:lang w:val="zh-CN" w:eastAsia="zh-CN" w:bidi="zh-CN"/>
      </w:rPr>
    </w:lvl>
    <w:lvl w:ilvl="3">
      <w:start w:val="0"/>
      <w:numFmt w:val="bullet"/>
      <w:lvlText w:val="•"/>
      <w:lvlJc w:val="left"/>
      <w:pPr>
        <w:ind w:left="3298" w:hanging="602"/>
      </w:pPr>
      <w:rPr>
        <w:rFonts w:hint="default"/>
        <w:lang w:val="zh-CN" w:eastAsia="zh-CN" w:bidi="zh-CN"/>
      </w:rPr>
    </w:lvl>
    <w:lvl w:ilvl="4">
      <w:start w:val="0"/>
      <w:numFmt w:val="bullet"/>
      <w:lvlText w:val="•"/>
      <w:lvlJc w:val="left"/>
      <w:pPr>
        <w:ind w:left="3998" w:hanging="602"/>
      </w:pPr>
      <w:rPr>
        <w:rFonts w:hint="default"/>
        <w:lang w:val="zh-CN" w:eastAsia="zh-CN" w:bidi="zh-CN"/>
      </w:rPr>
    </w:lvl>
    <w:lvl w:ilvl="5">
      <w:start w:val="0"/>
      <w:numFmt w:val="bullet"/>
      <w:lvlText w:val="•"/>
      <w:lvlJc w:val="left"/>
      <w:pPr>
        <w:ind w:left="4698" w:hanging="602"/>
      </w:pPr>
      <w:rPr>
        <w:rFonts w:hint="default"/>
        <w:lang w:val="zh-CN" w:eastAsia="zh-CN" w:bidi="zh-CN"/>
      </w:rPr>
    </w:lvl>
    <w:lvl w:ilvl="6">
      <w:start w:val="0"/>
      <w:numFmt w:val="bullet"/>
      <w:lvlText w:val="•"/>
      <w:lvlJc w:val="left"/>
      <w:pPr>
        <w:ind w:left="5397" w:hanging="602"/>
      </w:pPr>
      <w:rPr>
        <w:rFonts w:hint="default"/>
        <w:lang w:val="zh-CN" w:eastAsia="zh-CN" w:bidi="zh-CN"/>
      </w:rPr>
    </w:lvl>
    <w:lvl w:ilvl="7">
      <w:start w:val="0"/>
      <w:numFmt w:val="bullet"/>
      <w:lvlText w:val="•"/>
      <w:lvlJc w:val="left"/>
      <w:pPr>
        <w:ind w:left="6097" w:hanging="602"/>
      </w:pPr>
      <w:rPr>
        <w:rFonts w:hint="default"/>
        <w:lang w:val="zh-CN" w:eastAsia="zh-CN" w:bidi="zh-CN"/>
      </w:rPr>
    </w:lvl>
    <w:lvl w:ilvl="8">
      <w:start w:val="0"/>
      <w:numFmt w:val="bullet"/>
      <w:lvlText w:val="•"/>
      <w:lvlJc w:val="left"/>
      <w:pPr>
        <w:ind w:left="6796" w:hanging="602"/>
      </w:pPr>
      <w:rPr>
        <w:rFonts w:hint="default"/>
        <w:lang w:val="zh-CN" w:eastAsia="zh-CN" w:bidi="zh-CN"/>
      </w:rPr>
    </w:lvl>
  </w:abstractNum>
  <w:abstractNum w:abstractNumId="16">
    <w:nsid w:val="DCBA6B53"/>
    <w:multiLevelType w:val="multilevel"/>
    <w:tmpl w:val="DCBA6B53"/>
    <w:lvl w:ilvl="0">
      <w:start w:val="2"/>
      <w:numFmt w:val="decimal"/>
      <w:lvlText w:val="（%1）"/>
      <w:lvlJc w:val="left"/>
      <w:pPr>
        <w:ind w:left="1191"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1899" w:hanging="602"/>
      </w:pPr>
      <w:rPr>
        <w:rFonts w:hint="default"/>
        <w:lang w:val="zh-CN" w:eastAsia="zh-CN" w:bidi="zh-CN"/>
      </w:rPr>
    </w:lvl>
    <w:lvl w:ilvl="2">
      <w:start w:val="0"/>
      <w:numFmt w:val="bullet"/>
      <w:lvlText w:val="•"/>
      <w:lvlJc w:val="left"/>
      <w:pPr>
        <w:ind w:left="2599" w:hanging="602"/>
      </w:pPr>
      <w:rPr>
        <w:rFonts w:hint="default"/>
        <w:lang w:val="zh-CN" w:eastAsia="zh-CN" w:bidi="zh-CN"/>
      </w:rPr>
    </w:lvl>
    <w:lvl w:ilvl="3">
      <w:start w:val="0"/>
      <w:numFmt w:val="bullet"/>
      <w:lvlText w:val="•"/>
      <w:lvlJc w:val="left"/>
      <w:pPr>
        <w:ind w:left="3298" w:hanging="602"/>
      </w:pPr>
      <w:rPr>
        <w:rFonts w:hint="default"/>
        <w:lang w:val="zh-CN" w:eastAsia="zh-CN" w:bidi="zh-CN"/>
      </w:rPr>
    </w:lvl>
    <w:lvl w:ilvl="4">
      <w:start w:val="0"/>
      <w:numFmt w:val="bullet"/>
      <w:lvlText w:val="•"/>
      <w:lvlJc w:val="left"/>
      <w:pPr>
        <w:ind w:left="3998" w:hanging="602"/>
      </w:pPr>
      <w:rPr>
        <w:rFonts w:hint="default"/>
        <w:lang w:val="zh-CN" w:eastAsia="zh-CN" w:bidi="zh-CN"/>
      </w:rPr>
    </w:lvl>
    <w:lvl w:ilvl="5">
      <w:start w:val="0"/>
      <w:numFmt w:val="bullet"/>
      <w:lvlText w:val="•"/>
      <w:lvlJc w:val="left"/>
      <w:pPr>
        <w:ind w:left="4698" w:hanging="602"/>
      </w:pPr>
      <w:rPr>
        <w:rFonts w:hint="default"/>
        <w:lang w:val="zh-CN" w:eastAsia="zh-CN" w:bidi="zh-CN"/>
      </w:rPr>
    </w:lvl>
    <w:lvl w:ilvl="6">
      <w:start w:val="0"/>
      <w:numFmt w:val="bullet"/>
      <w:lvlText w:val="•"/>
      <w:lvlJc w:val="left"/>
      <w:pPr>
        <w:ind w:left="5397" w:hanging="602"/>
      </w:pPr>
      <w:rPr>
        <w:rFonts w:hint="default"/>
        <w:lang w:val="zh-CN" w:eastAsia="zh-CN" w:bidi="zh-CN"/>
      </w:rPr>
    </w:lvl>
    <w:lvl w:ilvl="7">
      <w:start w:val="0"/>
      <w:numFmt w:val="bullet"/>
      <w:lvlText w:val="•"/>
      <w:lvlJc w:val="left"/>
      <w:pPr>
        <w:ind w:left="6097" w:hanging="602"/>
      </w:pPr>
      <w:rPr>
        <w:rFonts w:hint="default"/>
        <w:lang w:val="zh-CN" w:eastAsia="zh-CN" w:bidi="zh-CN"/>
      </w:rPr>
    </w:lvl>
    <w:lvl w:ilvl="8">
      <w:start w:val="0"/>
      <w:numFmt w:val="bullet"/>
      <w:lvlText w:val="•"/>
      <w:lvlJc w:val="left"/>
      <w:pPr>
        <w:ind w:left="6796" w:hanging="602"/>
      </w:pPr>
      <w:rPr>
        <w:rFonts w:hint="default"/>
        <w:lang w:val="zh-CN" w:eastAsia="zh-CN" w:bidi="zh-CN"/>
      </w:rPr>
    </w:lvl>
  </w:abstractNum>
  <w:abstractNum w:abstractNumId="17">
    <w:nsid w:val="E093A4B0"/>
    <w:multiLevelType w:val="multilevel"/>
    <w:tmpl w:val="E093A4B0"/>
    <w:lvl w:ilvl="0">
      <w:start w:val="2"/>
      <w:numFmt w:val="decimal"/>
      <w:lvlText w:val="%1）"/>
      <w:lvlJc w:val="left"/>
      <w:pPr>
        <w:ind w:left="1905" w:hanging="361"/>
        <w:jc w:val="left"/>
      </w:pPr>
      <w:rPr>
        <w:rFonts w:ascii="Times New Roman" w:eastAsia="Times New Roman" w:hAnsi="Times New Roman" w:cs="Times New Roman" w:hint="default"/>
        <w:b/>
        <w:bCs/>
        <w:w w:val="99"/>
        <w:sz w:val="22"/>
        <w:szCs w:val="22"/>
        <w:lang w:val="zh-CN" w:eastAsia="zh-CN" w:bidi="zh-CN"/>
      </w:rPr>
    </w:lvl>
    <w:lvl w:ilvl="1">
      <w:start w:val="0"/>
      <w:numFmt w:val="bullet"/>
      <w:lvlText w:val="•"/>
      <w:lvlJc w:val="left"/>
      <w:pPr>
        <w:ind w:left="2702" w:hanging="361"/>
      </w:pPr>
      <w:rPr>
        <w:rFonts w:hint="default"/>
        <w:lang w:val="zh-CN" w:eastAsia="zh-CN" w:bidi="zh-CN"/>
      </w:rPr>
    </w:lvl>
    <w:lvl w:ilvl="2">
      <w:start w:val="0"/>
      <w:numFmt w:val="bullet"/>
      <w:lvlText w:val="•"/>
      <w:lvlJc w:val="left"/>
      <w:pPr>
        <w:ind w:left="3504" w:hanging="361"/>
      </w:pPr>
      <w:rPr>
        <w:rFonts w:hint="default"/>
        <w:lang w:val="zh-CN" w:eastAsia="zh-CN" w:bidi="zh-CN"/>
      </w:rPr>
    </w:lvl>
    <w:lvl w:ilvl="3">
      <w:start w:val="0"/>
      <w:numFmt w:val="bullet"/>
      <w:lvlText w:val="•"/>
      <w:lvlJc w:val="left"/>
      <w:pPr>
        <w:ind w:left="4307" w:hanging="361"/>
      </w:pPr>
      <w:rPr>
        <w:rFonts w:hint="default"/>
        <w:lang w:val="zh-CN" w:eastAsia="zh-CN" w:bidi="zh-CN"/>
      </w:rPr>
    </w:lvl>
    <w:lvl w:ilvl="4">
      <w:start w:val="0"/>
      <w:numFmt w:val="bullet"/>
      <w:lvlText w:val="•"/>
      <w:lvlJc w:val="left"/>
      <w:pPr>
        <w:ind w:left="5109" w:hanging="361"/>
      </w:pPr>
      <w:rPr>
        <w:rFonts w:hint="default"/>
        <w:lang w:val="zh-CN" w:eastAsia="zh-CN" w:bidi="zh-CN"/>
      </w:rPr>
    </w:lvl>
    <w:lvl w:ilvl="5">
      <w:start w:val="0"/>
      <w:numFmt w:val="bullet"/>
      <w:lvlText w:val="•"/>
      <w:lvlJc w:val="left"/>
      <w:pPr>
        <w:ind w:left="5912" w:hanging="361"/>
      </w:pPr>
      <w:rPr>
        <w:rFonts w:hint="default"/>
        <w:lang w:val="zh-CN" w:eastAsia="zh-CN" w:bidi="zh-CN"/>
      </w:rPr>
    </w:lvl>
    <w:lvl w:ilvl="6">
      <w:start w:val="0"/>
      <w:numFmt w:val="bullet"/>
      <w:lvlText w:val="•"/>
      <w:lvlJc w:val="left"/>
      <w:pPr>
        <w:ind w:left="6714" w:hanging="361"/>
      </w:pPr>
      <w:rPr>
        <w:rFonts w:hint="default"/>
        <w:lang w:val="zh-CN" w:eastAsia="zh-CN" w:bidi="zh-CN"/>
      </w:rPr>
    </w:lvl>
    <w:lvl w:ilvl="7">
      <w:start w:val="0"/>
      <w:numFmt w:val="bullet"/>
      <w:lvlText w:val="•"/>
      <w:lvlJc w:val="left"/>
      <w:pPr>
        <w:ind w:left="7516" w:hanging="361"/>
      </w:pPr>
      <w:rPr>
        <w:rFonts w:hint="default"/>
        <w:lang w:val="zh-CN" w:eastAsia="zh-CN" w:bidi="zh-CN"/>
      </w:rPr>
    </w:lvl>
    <w:lvl w:ilvl="8">
      <w:start w:val="0"/>
      <w:numFmt w:val="bullet"/>
      <w:lvlText w:val="•"/>
      <w:lvlJc w:val="left"/>
      <w:pPr>
        <w:ind w:left="8319" w:hanging="361"/>
      </w:pPr>
      <w:rPr>
        <w:rFonts w:hint="default"/>
        <w:lang w:val="zh-CN" w:eastAsia="zh-CN" w:bidi="zh-CN"/>
      </w:rPr>
    </w:lvl>
  </w:abstractNum>
  <w:abstractNum w:abstractNumId="18">
    <w:nsid w:val="F4B5D9F5"/>
    <w:multiLevelType w:val="multilevel"/>
    <w:tmpl w:val="F4B5D9F5"/>
    <w:lvl w:ilvl="0">
      <w:start w:val="2"/>
      <w:numFmt w:val="decimal"/>
      <w:lvlText w:val="（%1）"/>
      <w:lvlJc w:val="left"/>
      <w:pPr>
        <w:ind w:left="1368" w:hanging="602"/>
        <w:jc w:val="left"/>
      </w:pPr>
      <w:rPr>
        <w:rFonts w:ascii="宋体" w:eastAsia="宋体" w:hAnsi="宋体" w:cs="宋体" w:hint="default"/>
        <w:spacing w:val="-15"/>
        <w:w w:val="100"/>
        <w:sz w:val="22"/>
        <w:szCs w:val="22"/>
        <w:lang w:val="zh-CN" w:eastAsia="zh-CN" w:bidi="zh-CN"/>
      </w:rPr>
    </w:lvl>
    <w:lvl w:ilvl="1">
      <w:start w:val="0"/>
      <w:numFmt w:val="bullet"/>
      <w:lvlText w:val="•"/>
      <w:lvlJc w:val="left"/>
      <w:pPr>
        <w:ind w:left="2234" w:hanging="602"/>
      </w:pPr>
      <w:rPr>
        <w:rFonts w:hint="default"/>
        <w:lang w:val="zh-CN" w:eastAsia="zh-CN" w:bidi="zh-CN"/>
      </w:rPr>
    </w:lvl>
    <w:lvl w:ilvl="2">
      <w:start w:val="0"/>
      <w:numFmt w:val="bullet"/>
      <w:lvlText w:val="•"/>
      <w:lvlJc w:val="left"/>
      <w:pPr>
        <w:ind w:left="3108" w:hanging="602"/>
      </w:pPr>
      <w:rPr>
        <w:rFonts w:hint="default"/>
        <w:lang w:val="zh-CN" w:eastAsia="zh-CN" w:bidi="zh-CN"/>
      </w:rPr>
    </w:lvl>
    <w:lvl w:ilvl="3">
      <w:start w:val="0"/>
      <w:numFmt w:val="bullet"/>
      <w:lvlText w:val="•"/>
      <w:lvlJc w:val="left"/>
      <w:pPr>
        <w:ind w:left="3983" w:hanging="602"/>
      </w:pPr>
      <w:rPr>
        <w:rFonts w:hint="default"/>
        <w:lang w:val="zh-CN" w:eastAsia="zh-CN" w:bidi="zh-CN"/>
      </w:rPr>
    </w:lvl>
    <w:lvl w:ilvl="4">
      <w:start w:val="0"/>
      <w:numFmt w:val="bullet"/>
      <w:lvlText w:val="•"/>
      <w:lvlJc w:val="left"/>
      <w:pPr>
        <w:ind w:left="4857" w:hanging="602"/>
      </w:pPr>
      <w:rPr>
        <w:rFonts w:hint="default"/>
        <w:lang w:val="zh-CN" w:eastAsia="zh-CN" w:bidi="zh-CN"/>
      </w:rPr>
    </w:lvl>
    <w:lvl w:ilvl="5">
      <w:start w:val="0"/>
      <w:numFmt w:val="bullet"/>
      <w:lvlText w:val="•"/>
      <w:lvlJc w:val="left"/>
      <w:pPr>
        <w:ind w:left="5732" w:hanging="602"/>
      </w:pPr>
      <w:rPr>
        <w:rFonts w:hint="default"/>
        <w:lang w:val="zh-CN" w:eastAsia="zh-CN" w:bidi="zh-CN"/>
      </w:rPr>
    </w:lvl>
    <w:lvl w:ilvl="6">
      <w:start w:val="0"/>
      <w:numFmt w:val="bullet"/>
      <w:lvlText w:val="•"/>
      <w:lvlJc w:val="left"/>
      <w:pPr>
        <w:ind w:left="6606" w:hanging="602"/>
      </w:pPr>
      <w:rPr>
        <w:rFonts w:hint="default"/>
        <w:lang w:val="zh-CN" w:eastAsia="zh-CN" w:bidi="zh-CN"/>
      </w:rPr>
    </w:lvl>
    <w:lvl w:ilvl="7">
      <w:start w:val="0"/>
      <w:numFmt w:val="bullet"/>
      <w:lvlText w:val="•"/>
      <w:lvlJc w:val="left"/>
      <w:pPr>
        <w:ind w:left="7480" w:hanging="602"/>
      </w:pPr>
      <w:rPr>
        <w:rFonts w:hint="default"/>
        <w:lang w:val="zh-CN" w:eastAsia="zh-CN" w:bidi="zh-CN"/>
      </w:rPr>
    </w:lvl>
    <w:lvl w:ilvl="8">
      <w:start w:val="0"/>
      <w:numFmt w:val="bullet"/>
      <w:lvlText w:val="•"/>
      <w:lvlJc w:val="left"/>
      <w:pPr>
        <w:ind w:left="8355" w:hanging="602"/>
      </w:pPr>
      <w:rPr>
        <w:rFonts w:hint="default"/>
        <w:lang w:val="zh-CN" w:eastAsia="zh-CN" w:bidi="zh-CN"/>
      </w:rPr>
    </w:lvl>
  </w:abstractNum>
  <w:abstractNum w:abstractNumId="19">
    <w:nsid w:val="F7735DC9"/>
    <w:multiLevelType w:val="multilevel"/>
    <w:tmpl w:val="F7735DC9"/>
    <w:lvl w:ilvl="0">
      <w:start w:val="1"/>
      <w:numFmt w:val="decimal"/>
      <w:lvlText w:val="（%1）"/>
      <w:lvlJc w:val="left"/>
      <w:pPr>
        <w:ind w:left="105" w:hanging="602"/>
        <w:jc w:val="left"/>
      </w:pPr>
      <w:rPr>
        <w:rFonts w:ascii="宋体" w:eastAsia="宋体" w:hAnsi="宋体" w:cs="宋体" w:hint="default"/>
        <w:spacing w:val="-13"/>
        <w:w w:val="100"/>
        <w:sz w:val="22"/>
        <w:szCs w:val="22"/>
        <w:lang w:val="zh-CN" w:eastAsia="zh-CN" w:bidi="zh-CN"/>
      </w:rPr>
    </w:lvl>
    <w:lvl w:ilvl="1">
      <w:start w:val="0"/>
      <w:numFmt w:val="bullet"/>
      <w:lvlText w:val="•"/>
      <w:lvlJc w:val="left"/>
      <w:pPr>
        <w:ind w:left="915" w:hanging="602"/>
      </w:pPr>
      <w:rPr>
        <w:rFonts w:hint="default"/>
        <w:lang w:val="zh-CN" w:eastAsia="zh-CN" w:bidi="zh-CN"/>
      </w:rPr>
    </w:lvl>
    <w:lvl w:ilvl="2">
      <w:start w:val="0"/>
      <w:numFmt w:val="bullet"/>
      <w:lvlText w:val="•"/>
      <w:lvlJc w:val="left"/>
      <w:pPr>
        <w:ind w:left="1731" w:hanging="602"/>
      </w:pPr>
      <w:rPr>
        <w:rFonts w:hint="default"/>
        <w:lang w:val="zh-CN" w:eastAsia="zh-CN" w:bidi="zh-CN"/>
      </w:rPr>
    </w:lvl>
    <w:lvl w:ilvl="3">
      <w:start w:val="0"/>
      <w:numFmt w:val="bullet"/>
      <w:lvlText w:val="•"/>
      <w:lvlJc w:val="left"/>
      <w:pPr>
        <w:ind w:left="2547" w:hanging="602"/>
      </w:pPr>
      <w:rPr>
        <w:rFonts w:hint="default"/>
        <w:lang w:val="zh-CN" w:eastAsia="zh-CN" w:bidi="zh-CN"/>
      </w:rPr>
    </w:lvl>
    <w:lvl w:ilvl="4">
      <w:start w:val="0"/>
      <w:numFmt w:val="bullet"/>
      <w:lvlText w:val="•"/>
      <w:lvlJc w:val="left"/>
      <w:pPr>
        <w:ind w:left="3363" w:hanging="602"/>
      </w:pPr>
      <w:rPr>
        <w:rFonts w:hint="default"/>
        <w:lang w:val="zh-CN" w:eastAsia="zh-CN" w:bidi="zh-CN"/>
      </w:rPr>
    </w:lvl>
    <w:lvl w:ilvl="5">
      <w:start w:val="0"/>
      <w:numFmt w:val="bullet"/>
      <w:lvlText w:val="•"/>
      <w:lvlJc w:val="left"/>
      <w:pPr>
        <w:ind w:left="4179" w:hanging="602"/>
      </w:pPr>
      <w:rPr>
        <w:rFonts w:hint="default"/>
        <w:lang w:val="zh-CN" w:eastAsia="zh-CN" w:bidi="zh-CN"/>
      </w:rPr>
    </w:lvl>
    <w:lvl w:ilvl="6">
      <w:start w:val="0"/>
      <w:numFmt w:val="bullet"/>
      <w:lvlText w:val="•"/>
      <w:lvlJc w:val="left"/>
      <w:pPr>
        <w:ind w:left="4994" w:hanging="602"/>
      </w:pPr>
      <w:rPr>
        <w:rFonts w:hint="default"/>
        <w:lang w:val="zh-CN" w:eastAsia="zh-CN" w:bidi="zh-CN"/>
      </w:rPr>
    </w:lvl>
    <w:lvl w:ilvl="7">
      <w:start w:val="0"/>
      <w:numFmt w:val="bullet"/>
      <w:lvlText w:val="•"/>
      <w:lvlJc w:val="left"/>
      <w:pPr>
        <w:ind w:left="5810" w:hanging="602"/>
      </w:pPr>
      <w:rPr>
        <w:rFonts w:hint="default"/>
        <w:lang w:val="zh-CN" w:eastAsia="zh-CN" w:bidi="zh-CN"/>
      </w:rPr>
    </w:lvl>
    <w:lvl w:ilvl="8">
      <w:start w:val="0"/>
      <w:numFmt w:val="bullet"/>
      <w:lvlText w:val="•"/>
      <w:lvlJc w:val="left"/>
      <w:pPr>
        <w:ind w:left="6626" w:hanging="602"/>
      </w:pPr>
      <w:rPr>
        <w:rFonts w:hint="default"/>
        <w:lang w:val="zh-CN" w:eastAsia="zh-CN" w:bidi="zh-CN"/>
      </w:rPr>
    </w:lvl>
  </w:abstractNum>
  <w:abstractNum w:abstractNumId="20">
    <w:nsid w:val="0248C179"/>
    <w:multiLevelType w:val="multilevel"/>
    <w:tmpl w:val="0248C179"/>
    <w:lvl w:ilvl="0">
      <w:start w:val="1"/>
      <w:numFmt w:val="decimal"/>
      <w:lvlText w:val="%1."/>
      <w:lvlJc w:val="left"/>
      <w:pPr>
        <w:ind w:left="130" w:hanging="160"/>
        <w:jc w:val="righ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459" w:hanging="160"/>
      </w:pPr>
      <w:rPr>
        <w:rFonts w:hint="default"/>
        <w:lang w:val="zh-CN" w:eastAsia="zh-CN" w:bidi="zh-CN"/>
      </w:rPr>
    </w:lvl>
    <w:lvl w:ilvl="2">
      <w:start w:val="0"/>
      <w:numFmt w:val="bullet"/>
      <w:lvlText w:val="•"/>
      <w:lvlJc w:val="left"/>
      <w:pPr>
        <w:ind w:left="779" w:hanging="160"/>
      </w:pPr>
      <w:rPr>
        <w:rFonts w:hint="default"/>
        <w:lang w:val="zh-CN" w:eastAsia="zh-CN" w:bidi="zh-CN"/>
      </w:rPr>
    </w:lvl>
    <w:lvl w:ilvl="3">
      <w:start w:val="0"/>
      <w:numFmt w:val="bullet"/>
      <w:lvlText w:val="•"/>
      <w:lvlJc w:val="left"/>
      <w:pPr>
        <w:ind w:left="1098" w:hanging="160"/>
      </w:pPr>
      <w:rPr>
        <w:rFonts w:hint="default"/>
        <w:lang w:val="zh-CN" w:eastAsia="zh-CN" w:bidi="zh-CN"/>
      </w:rPr>
    </w:lvl>
    <w:lvl w:ilvl="4">
      <w:start w:val="0"/>
      <w:numFmt w:val="bullet"/>
      <w:lvlText w:val="•"/>
      <w:lvlJc w:val="left"/>
      <w:pPr>
        <w:ind w:left="1418" w:hanging="160"/>
      </w:pPr>
      <w:rPr>
        <w:rFonts w:hint="default"/>
        <w:lang w:val="zh-CN" w:eastAsia="zh-CN" w:bidi="zh-CN"/>
      </w:rPr>
    </w:lvl>
    <w:lvl w:ilvl="5">
      <w:start w:val="0"/>
      <w:numFmt w:val="bullet"/>
      <w:lvlText w:val="•"/>
      <w:lvlJc w:val="left"/>
      <w:pPr>
        <w:ind w:left="1737" w:hanging="160"/>
      </w:pPr>
      <w:rPr>
        <w:rFonts w:hint="default"/>
        <w:lang w:val="zh-CN" w:eastAsia="zh-CN" w:bidi="zh-CN"/>
      </w:rPr>
    </w:lvl>
    <w:lvl w:ilvl="6">
      <w:start w:val="0"/>
      <w:numFmt w:val="bullet"/>
      <w:lvlText w:val="•"/>
      <w:lvlJc w:val="left"/>
      <w:pPr>
        <w:ind w:left="2057" w:hanging="160"/>
      </w:pPr>
      <w:rPr>
        <w:rFonts w:hint="default"/>
        <w:lang w:val="zh-CN" w:eastAsia="zh-CN" w:bidi="zh-CN"/>
      </w:rPr>
    </w:lvl>
    <w:lvl w:ilvl="7">
      <w:start w:val="0"/>
      <w:numFmt w:val="bullet"/>
      <w:lvlText w:val="•"/>
      <w:lvlJc w:val="left"/>
      <w:pPr>
        <w:ind w:left="2376" w:hanging="160"/>
      </w:pPr>
      <w:rPr>
        <w:rFonts w:hint="default"/>
        <w:lang w:val="zh-CN" w:eastAsia="zh-CN" w:bidi="zh-CN"/>
      </w:rPr>
    </w:lvl>
    <w:lvl w:ilvl="8">
      <w:start w:val="0"/>
      <w:numFmt w:val="bullet"/>
      <w:lvlText w:val="•"/>
      <w:lvlJc w:val="left"/>
      <w:pPr>
        <w:ind w:left="2696" w:hanging="160"/>
      </w:pPr>
      <w:rPr>
        <w:rFonts w:hint="default"/>
        <w:lang w:val="zh-CN" w:eastAsia="zh-CN" w:bidi="zh-CN"/>
      </w:rPr>
    </w:lvl>
  </w:abstractNum>
  <w:abstractNum w:abstractNumId="21">
    <w:nsid w:val="03D62ECE"/>
    <w:multiLevelType w:val="multilevel"/>
    <w:tmpl w:val="03D62ECE"/>
    <w:lvl w:ilvl="0">
      <w:start w:val="1"/>
      <w:numFmt w:val="decimal"/>
      <w:lvlText w:val="%1."/>
      <w:lvlJc w:val="left"/>
      <w:pPr>
        <w:ind w:left="395" w:hanging="160"/>
        <w:jc w:val="righ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693" w:hanging="160"/>
      </w:pPr>
      <w:rPr>
        <w:rFonts w:hint="default"/>
        <w:lang w:val="zh-CN" w:eastAsia="zh-CN" w:bidi="zh-CN"/>
      </w:rPr>
    </w:lvl>
    <w:lvl w:ilvl="2">
      <w:start w:val="0"/>
      <w:numFmt w:val="bullet"/>
      <w:lvlText w:val="•"/>
      <w:lvlJc w:val="left"/>
      <w:pPr>
        <w:ind w:left="987" w:hanging="160"/>
      </w:pPr>
      <w:rPr>
        <w:rFonts w:hint="default"/>
        <w:lang w:val="zh-CN" w:eastAsia="zh-CN" w:bidi="zh-CN"/>
      </w:rPr>
    </w:lvl>
    <w:lvl w:ilvl="3">
      <w:start w:val="0"/>
      <w:numFmt w:val="bullet"/>
      <w:lvlText w:val="•"/>
      <w:lvlJc w:val="left"/>
      <w:pPr>
        <w:ind w:left="1280" w:hanging="160"/>
      </w:pPr>
      <w:rPr>
        <w:rFonts w:hint="default"/>
        <w:lang w:val="zh-CN" w:eastAsia="zh-CN" w:bidi="zh-CN"/>
      </w:rPr>
    </w:lvl>
    <w:lvl w:ilvl="4">
      <w:start w:val="0"/>
      <w:numFmt w:val="bullet"/>
      <w:lvlText w:val="•"/>
      <w:lvlJc w:val="left"/>
      <w:pPr>
        <w:ind w:left="1574" w:hanging="160"/>
      </w:pPr>
      <w:rPr>
        <w:rFonts w:hint="default"/>
        <w:lang w:val="zh-CN" w:eastAsia="zh-CN" w:bidi="zh-CN"/>
      </w:rPr>
    </w:lvl>
    <w:lvl w:ilvl="5">
      <w:start w:val="0"/>
      <w:numFmt w:val="bullet"/>
      <w:lvlText w:val="•"/>
      <w:lvlJc w:val="left"/>
      <w:pPr>
        <w:ind w:left="1868" w:hanging="160"/>
      </w:pPr>
      <w:rPr>
        <w:rFonts w:hint="default"/>
        <w:lang w:val="zh-CN" w:eastAsia="zh-CN" w:bidi="zh-CN"/>
      </w:rPr>
    </w:lvl>
    <w:lvl w:ilvl="6">
      <w:start w:val="0"/>
      <w:numFmt w:val="bullet"/>
      <w:lvlText w:val="•"/>
      <w:lvlJc w:val="left"/>
      <w:pPr>
        <w:ind w:left="2161" w:hanging="160"/>
      </w:pPr>
      <w:rPr>
        <w:rFonts w:hint="default"/>
        <w:lang w:val="zh-CN" w:eastAsia="zh-CN" w:bidi="zh-CN"/>
      </w:rPr>
    </w:lvl>
    <w:lvl w:ilvl="7">
      <w:start w:val="0"/>
      <w:numFmt w:val="bullet"/>
      <w:lvlText w:val="•"/>
      <w:lvlJc w:val="left"/>
      <w:pPr>
        <w:ind w:left="2455" w:hanging="160"/>
      </w:pPr>
      <w:rPr>
        <w:rFonts w:hint="default"/>
        <w:lang w:val="zh-CN" w:eastAsia="zh-CN" w:bidi="zh-CN"/>
      </w:rPr>
    </w:lvl>
    <w:lvl w:ilvl="8">
      <w:start w:val="0"/>
      <w:numFmt w:val="bullet"/>
      <w:lvlText w:val="•"/>
      <w:lvlJc w:val="left"/>
      <w:pPr>
        <w:ind w:left="2749" w:hanging="160"/>
      </w:pPr>
      <w:rPr>
        <w:rFonts w:hint="default"/>
        <w:lang w:val="zh-CN" w:eastAsia="zh-CN" w:bidi="zh-CN"/>
      </w:rPr>
    </w:lvl>
  </w:abstractNum>
  <w:abstractNum w:abstractNumId="22">
    <w:nsid w:val="0E640482"/>
    <w:multiLevelType w:val="multilevel"/>
    <w:tmpl w:val="0E640482"/>
    <w:lvl w:ilvl="0">
      <w:start w:val="1"/>
      <w:numFmt w:val="upperLetter"/>
      <w:lvlText w:val="%1."/>
      <w:lvlJc w:val="left"/>
      <w:pPr>
        <w:ind w:left="2078" w:hanging="231"/>
        <w:jc w:val="left"/>
      </w:pPr>
      <w:rPr>
        <w:rFonts w:ascii="Times New Roman" w:eastAsia="Times New Roman" w:hAnsi="Times New Roman" w:cs="Times New Roman" w:hint="default"/>
        <w:spacing w:val="-6"/>
        <w:w w:val="99"/>
        <w:sz w:val="22"/>
        <w:szCs w:val="22"/>
        <w:lang w:val="zh-CN" w:eastAsia="zh-CN" w:bidi="zh-CN"/>
      </w:rPr>
    </w:lvl>
    <w:lvl w:ilvl="1">
      <w:start w:val="0"/>
      <w:numFmt w:val="bullet"/>
      <w:lvlText w:val="•"/>
      <w:lvlJc w:val="left"/>
      <w:pPr>
        <w:ind w:left="2882" w:hanging="231"/>
      </w:pPr>
      <w:rPr>
        <w:rFonts w:hint="default"/>
        <w:lang w:val="zh-CN" w:eastAsia="zh-CN" w:bidi="zh-CN"/>
      </w:rPr>
    </w:lvl>
    <w:lvl w:ilvl="2">
      <w:start w:val="0"/>
      <w:numFmt w:val="bullet"/>
      <w:lvlText w:val="•"/>
      <w:lvlJc w:val="left"/>
      <w:pPr>
        <w:ind w:left="3684" w:hanging="231"/>
      </w:pPr>
      <w:rPr>
        <w:rFonts w:hint="default"/>
        <w:lang w:val="zh-CN" w:eastAsia="zh-CN" w:bidi="zh-CN"/>
      </w:rPr>
    </w:lvl>
    <w:lvl w:ilvl="3">
      <w:start w:val="0"/>
      <w:numFmt w:val="bullet"/>
      <w:lvlText w:val="•"/>
      <w:lvlJc w:val="left"/>
      <w:pPr>
        <w:ind w:left="4487" w:hanging="231"/>
      </w:pPr>
      <w:rPr>
        <w:rFonts w:hint="default"/>
        <w:lang w:val="zh-CN" w:eastAsia="zh-CN" w:bidi="zh-CN"/>
      </w:rPr>
    </w:lvl>
    <w:lvl w:ilvl="4">
      <w:start w:val="0"/>
      <w:numFmt w:val="bullet"/>
      <w:lvlText w:val="•"/>
      <w:lvlJc w:val="left"/>
      <w:pPr>
        <w:ind w:left="5289" w:hanging="231"/>
      </w:pPr>
      <w:rPr>
        <w:rFonts w:hint="default"/>
        <w:lang w:val="zh-CN" w:eastAsia="zh-CN" w:bidi="zh-CN"/>
      </w:rPr>
    </w:lvl>
    <w:lvl w:ilvl="5">
      <w:start w:val="0"/>
      <w:numFmt w:val="bullet"/>
      <w:lvlText w:val="•"/>
      <w:lvlJc w:val="left"/>
      <w:pPr>
        <w:ind w:left="6092" w:hanging="231"/>
      </w:pPr>
      <w:rPr>
        <w:rFonts w:hint="default"/>
        <w:lang w:val="zh-CN" w:eastAsia="zh-CN" w:bidi="zh-CN"/>
      </w:rPr>
    </w:lvl>
    <w:lvl w:ilvl="6">
      <w:start w:val="0"/>
      <w:numFmt w:val="bullet"/>
      <w:lvlText w:val="•"/>
      <w:lvlJc w:val="left"/>
      <w:pPr>
        <w:ind w:left="6894" w:hanging="231"/>
      </w:pPr>
      <w:rPr>
        <w:rFonts w:hint="default"/>
        <w:lang w:val="zh-CN" w:eastAsia="zh-CN" w:bidi="zh-CN"/>
      </w:rPr>
    </w:lvl>
    <w:lvl w:ilvl="7">
      <w:start w:val="0"/>
      <w:numFmt w:val="bullet"/>
      <w:lvlText w:val="•"/>
      <w:lvlJc w:val="left"/>
      <w:pPr>
        <w:ind w:left="7696" w:hanging="231"/>
      </w:pPr>
      <w:rPr>
        <w:rFonts w:hint="default"/>
        <w:lang w:val="zh-CN" w:eastAsia="zh-CN" w:bidi="zh-CN"/>
      </w:rPr>
    </w:lvl>
    <w:lvl w:ilvl="8">
      <w:start w:val="0"/>
      <w:numFmt w:val="bullet"/>
      <w:lvlText w:val="•"/>
      <w:lvlJc w:val="left"/>
      <w:pPr>
        <w:ind w:left="8499" w:hanging="231"/>
      </w:pPr>
      <w:rPr>
        <w:rFonts w:hint="default"/>
        <w:lang w:val="zh-CN" w:eastAsia="zh-CN" w:bidi="zh-CN"/>
      </w:rPr>
    </w:lvl>
  </w:abstractNum>
  <w:abstractNum w:abstractNumId="23">
    <w:nsid w:val="1ACDE60F"/>
    <w:multiLevelType w:val="multilevel"/>
    <w:tmpl w:val="1ACDE60F"/>
    <w:lvl w:ilvl="0">
      <w:start w:val="1"/>
      <w:numFmt w:val="decimal"/>
      <w:lvlText w:val="（%1）"/>
      <w:lvlJc w:val="left"/>
      <w:pPr>
        <w:ind w:left="1064" w:hanging="602"/>
        <w:jc w:val="left"/>
      </w:pPr>
      <w:rPr>
        <w:rFonts w:ascii="宋体" w:eastAsia="宋体" w:hAnsi="宋体" w:cs="宋体" w:hint="default"/>
        <w:spacing w:val="-39"/>
        <w:w w:val="100"/>
        <w:sz w:val="22"/>
        <w:szCs w:val="22"/>
        <w:lang w:val="zh-CN" w:eastAsia="zh-CN" w:bidi="zh-CN"/>
      </w:rPr>
    </w:lvl>
    <w:lvl w:ilvl="1">
      <w:start w:val="0"/>
      <w:numFmt w:val="bullet"/>
      <w:lvlText w:val="•"/>
      <w:lvlJc w:val="left"/>
      <w:pPr>
        <w:ind w:left="1946" w:hanging="602"/>
      </w:pPr>
      <w:rPr>
        <w:rFonts w:hint="default"/>
        <w:lang w:val="zh-CN" w:eastAsia="zh-CN" w:bidi="zh-CN"/>
      </w:rPr>
    </w:lvl>
    <w:lvl w:ilvl="2">
      <w:start w:val="0"/>
      <w:numFmt w:val="bullet"/>
      <w:lvlText w:val="•"/>
      <w:lvlJc w:val="left"/>
      <w:pPr>
        <w:ind w:left="2832" w:hanging="602"/>
      </w:pPr>
      <w:rPr>
        <w:rFonts w:hint="default"/>
        <w:lang w:val="zh-CN" w:eastAsia="zh-CN" w:bidi="zh-CN"/>
      </w:rPr>
    </w:lvl>
    <w:lvl w:ilvl="3">
      <w:start w:val="0"/>
      <w:numFmt w:val="bullet"/>
      <w:lvlText w:val="•"/>
      <w:lvlJc w:val="left"/>
      <w:pPr>
        <w:ind w:left="3719" w:hanging="602"/>
      </w:pPr>
      <w:rPr>
        <w:rFonts w:hint="default"/>
        <w:lang w:val="zh-CN" w:eastAsia="zh-CN" w:bidi="zh-CN"/>
      </w:rPr>
    </w:lvl>
    <w:lvl w:ilvl="4">
      <w:start w:val="0"/>
      <w:numFmt w:val="bullet"/>
      <w:lvlText w:val="•"/>
      <w:lvlJc w:val="left"/>
      <w:pPr>
        <w:ind w:left="4605" w:hanging="602"/>
      </w:pPr>
      <w:rPr>
        <w:rFonts w:hint="default"/>
        <w:lang w:val="zh-CN" w:eastAsia="zh-CN" w:bidi="zh-CN"/>
      </w:rPr>
    </w:lvl>
    <w:lvl w:ilvl="5">
      <w:start w:val="0"/>
      <w:numFmt w:val="bullet"/>
      <w:lvlText w:val="•"/>
      <w:lvlJc w:val="left"/>
      <w:pPr>
        <w:ind w:left="5492" w:hanging="602"/>
      </w:pPr>
      <w:rPr>
        <w:rFonts w:hint="default"/>
        <w:lang w:val="zh-CN" w:eastAsia="zh-CN" w:bidi="zh-CN"/>
      </w:rPr>
    </w:lvl>
    <w:lvl w:ilvl="6">
      <w:start w:val="0"/>
      <w:numFmt w:val="bullet"/>
      <w:lvlText w:val="•"/>
      <w:lvlJc w:val="left"/>
      <w:pPr>
        <w:ind w:left="6378" w:hanging="602"/>
      </w:pPr>
      <w:rPr>
        <w:rFonts w:hint="default"/>
        <w:lang w:val="zh-CN" w:eastAsia="zh-CN" w:bidi="zh-CN"/>
      </w:rPr>
    </w:lvl>
    <w:lvl w:ilvl="7">
      <w:start w:val="0"/>
      <w:numFmt w:val="bullet"/>
      <w:lvlText w:val="•"/>
      <w:lvlJc w:val="left"/>
      <w:pPr>
        <w:ind w:left="7264" w:hanging="602"/>
      </w:pPr>
      <w:rPr>
        <w:rFonts w:hint="default"/>
        <w:lang w:val="zh-CN" w:eastAsia="zh-CN" w:bidi="zh-CN"/>
      </w:rPr>
    </w:lvl>
    <w:lvl w:ilvl="8">
      <w:start w:val="0"/>
      <w:numFmt w:val="bullet"/>
      <w:lvlText w:val="•"/>
      <w:lvlJc w:val="left"/>
      <w:pPr>
        <w:ind w:left="8151" w:hanging="602"/>
      </w:pPr>
      <w:rPr>
        <w:rFonts w:hint="default"/>
        <w:lang w:val="zh-CN" w:eastAsia="zh-CN" w:bidi="zh-CN"/>
      </w:rPr>
    </w:lvl>
  </w:abstractNum>
  <w:abstractNum w:abstractNumId="24">
    <w:nsid w:val="243FCF68"/>
    <w:multiLevelType w:val="multilevel"/>
    <w:tmpl w:val="243FCF68"/>
    <w:lvl w:ilvl="0">
      <w:start w:val="1"/>
      <w:numFmt w:val="decimal"/>
      <w:lvlText w:val="（%1）"/>
      <w:lvlJc w:val="left"/>
      <w:pPr>
        <w:ind w:left="2210"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74" w:hanging="602"/>
      </w:pPr>
      <w:rPr>
        <w:rFonts w:hint="default"/>
        <w:lang w:val="zh-CN" w:eastAsia="zh-CN" w:bidi="zh-CN"/>
      </w:rPr>
    </w:lvl>
    <w:lvl w:ilvl="2">
      <w:start w:val="0"/>
      <w:numFmt w:val="bullet"/>
      <w:lvlText w:val="•"/>
      <w:lvlJc w:val="left"/>
      <w:pPr>
        <w:ind w:left="3729" w:hanging="602"/>
      </w:pPr>
      <w:rPr>
        <w:rFonts w:hint="default"/>
        <w:lang w:val="zh-CN" w:eastAsia="zh-CN" w:bidi="zh-CN"/>
      </w:rPr>
    </w:lvl>
    <w:lvl w:ilvl="3">
      <w:start w:val="0"/>
      <w:numFmt w:val="bullet"/>
      <w:lvlText w:val="•"/>
      <w:lvlJc w:val="left"/>
      <w:pPr>
        <w:ind w:left="4484" w:hanging="602"/>
      </w:pPr>
      <w:rPr>
        <w:rFonts w:hint="default"/>
        <w:lang w:val="zh-CN" w:eastAsia="zh-CN" w:bidi="zh-CN"/>
      </w:rPr>
    </w:lvl>
    <w:lvl w:ilvl="4">
      <w:start w:val="0"/>
      <w:numFmt w:val="bullet"/>
      <w:lvlText w:val="•"/>
      <w:lvlJc w:val="left"/>
      <w:pPr>
        <w:ind w:left="5239" w:hanging="602"/>
      </w:pPr>
      <w:rPr>
        <w:rFonts w:hint="default"/>
        <w:lang w:val="zh-CN" w:eastAsia="zh-CN" w:bidi="zh-CN"/>
      </w:rPr>
    </w:lvl>
    <w:lvl w:ilvl="5">
      <w:start w:val="0"/>
      <w:numFmt w:val="bullet"/>
      <w:lvlText w:val="•"/>
      <w:lvlJc w:val="left"/>
      <w:pPr>
        <w:ind w:left="5994" w:hanging="602"/>
      </w:pPr>
      <w:rPr>
        <w:rFonts w:hint="default"/>
        <w:lang w:val="zh-CN" w:eastAsia="zh-CN" w:bidi="zh-CN"/>
      </w:rPr>
    </w:lvl>
    <w:lvl w:ilvl="6">
      <w:start w:val="0"/>
      <w:numFmt w:val="bullet"/>
      <w:lvlText w:val="•"/>
      <w:lvlJc w:val="left"/>
      <w:pPr>
        <w:ind w:left="6749" w:hanging="602"/>
      </w:pPr>
      <w:rPr>
        <w:rFonts w:hint="default"/>
        <w:lang w:val="zh-CN" w:eastAsia="zh-CN" w:bidi="zh-CN"/>
      </w:rPr>
    </w:lvl>
    <w:lvl w:ilvl="7">
      <w:start w:val="0"/>
      <w:numFmt w:val="bullet"/>
      <w:lvlText w:val="•"/>
      <w:lvlJc w:val="left"/>
      <w:pPr>
        <w:ind w:left="7504" w:hanging="602"/>
      </w:pPr>
      <w:rPr>
        <w:rFonts w:hint="default"/>
        <w:lang w:val="zh-CN" w:eastAsia="zh-CN" w:bidi="zh-CN"/>
      </w:rPr>
    </w:lvl>
    <w:lvl w:ilvl="8">
      <w:start w:val="0"/>
      <w:numFmt w:val="bullet"/>
      <w:lvlText w:val="•"/>
      <w:lvlJc w:val="left"/>
      <w:pPr>
        <w:ind w:left="8259" w:hanging="602"/>
      </w:pPr>
      <w:rPr>
        <w:rFonts w:hint="default"/>
        <w:lang w:val="zh-CN" w:eastAsia="zh-CN" w:bidi="zh-CN"/>
      </w:rPr>
    </w:lvl>
  </w:abstractNum>
  <w:abstractNum w:abstractNumId="25">
    <w:nsid w:val="2470EC97"/>
    <w:multiLevelType w:val="multilevel"/>
    <w:tmpl w:val="2470EC97"/>
    <w:lvl w:ilvl="0">
      <w:start w:val="1"/>
      <w:numFmt w:val="decimal"/>
      <w:lvlText w:val="（%1）"/>
      <w:lvlJc w:val="left"/>
      <w:pPr>
        <w:ind w:left="2449"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3206" w:hanging="602"/>
      </w:pPr>
      <w:rPr>
        <w:rFonts w:hint="default"/>
        <w:lang w:val="zh-CN" w:eastAsia="zh-CN" w:bidi="zh-CN"/>
      </w:rPr>
    </w:lvl>
    <w:lvl w:ilvl="2">
      <w:start w:val="0"/>
      <w:numFmt w:val="bullet"/>
      <w:lvlText w:val="•"/>
      <w:lvlJc w:val="left"/>
      <w:pPr>
        <w:ind w:left="3972" w:hanging="602"/>
      </w:pPr>
      <w:rPr>
        <w:rFonts w:hint="default"/>
        <w:lang w:val="zh-CN" w:eastAsia="zh-CN" w:bidi="zh-CN"/>
      </w:rPr>
    </w:lvl>
    <w:lvl w:ilvl="3">
      <w:start w:val="0"/>
      <w:numFmt w:val="bullet"/>
      <w:lvlText w:val="•"/>
      <w:lvlJc w:val="left"/>
      <w:pPr>
        <w:ind w:left="4739" w:hanging="602"/>
      </w:pPr>
      <w:rPr>
        <w:rFonts w:hint="default"/>
        <w:lang w:val="zh-CN" w:eastAsia="zh-CN" w:bidi="zh-CN"/>
      </w:rPr>
    </w:lvl>
    <w:lvl w:ilvl="4">
      <w:start w:val="0"/>
      <w:numFmt w:val="bullet"/>
      <w:lvlText w:val="•"/>
      <w:lvlJc w:val="left"/>
      <w:pPr>
        <w:ind w:left="5505" w:hanging="602"/>
      </w:pPr>
      <w:rPr>
        <w:rFonts w:hint="default"/>
        <w:lang w:val="zh-CN" w:eastAsia="zh-CN" w:bidi="zh-CN"/>
      </w:rPr>
    </w:lvl>
    <w:lvl w:ilvl="5">
      <w:start w:val="0"/>
      <w:numFmt w:val="bullet"/>
      <w:lvlText w:val="•"/>
      <w:lvlJc w:val="left"/>
      <w:pPr>
        <w:ind w:left="6272" w:hanging="602"/>
      </w:pPr>
      <w:rPr>
        <w:rFonts w:hint="default"/>
        <w:lang w:val="zh-CN" w:eastAsia="zh-CN" w:bidi="zh-CN"/>
      </w:rPr>
    </w:lvl>
    <w:lvl w:ilvl="6">
      <w:start w:val="0"/>
      <w:numFmt w:val="bullet"/>
      <w:lvlText w:val="•"/>
      <w:lvlJc w:val="left"/>
      <w:pPr>
        <w:ind w:left="7038" w:hanging="602"/>
      </w:pPr>
      <w:rPr>
        <w:rFonts w:hint="default"/>
        <w:lang w:val="zh-CN" w:eastAsia="zh-CN" w:bidi="zh-CN"/>
      </w:rPr>
    </w:lvl>
    <w:lvl w:ilvl="7">
      <w:start w:val="0"/>
      <w:numFmt w:val="bullet"/>
      <w:lvlText w:val="•"/>
      <w:lvlJc w:val="left"/>
      <w:pPr>
        <w:ind w:left="7804" w:hanging="602"/>
      </w:pPr>
      <w:rPr>
        <w:rFonts w:hint="default"/>
        <w:lang w:val="zh-CN" w:eastAsia="zh-CN" w:bidi="zh-CN"/>
      </w:rPr>
    </w:lvl>
    <w:lvl w:ilvl="8">
      <w:start w:val="0"/>
      <w:numFmt w:val="bullet"/>
      <w:lvlText w:val="•"/>
      <w:lvlJc w:val="left"/>
      <w:pPr>
        <w:ind w:left="8571" w:hanging="602"/>
      </w:pPr>
      <w:rPr>
        <w:rFonts w:hint="default"/>
        <w:lang w:val="zh-CN" w:eastAsia="zh-CN" w:bidi="zh-CN"/>
      </w:rPr>
    </w:lvl>
  </w:abstractNum>
  <w:abstractNum w:abstractNumId="26">
    <w:nsid w:val="25B654F3"/>
    <w:multiLevelType w:val="multilevel"/>
    <w:tmpl w:val="25B654F3"/>
    <w:lvl w:ilvl="0">
      <w:start w:val="1"/>
      <w:numFmt w:val="decimal"/>
      <w:lvlText w:val="%1."/>
      <w:lvlJc w:val="left"/>
      <w:pPr>
        <w:ind w:left="290" w:hanging="160"/>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603" w:hanging="160"/>
      </w:pPr>
      <w:rPr>
        <w:rFonts w:hint="default"/>
        <w:lang w:val="zh-CN" w:eastAsia="zh-CN" w:bidi="zh-CN"/>
      </w:rPr>
    </w:lvl>
    <w:lvl w:ilvl="2">
      <w:start w:val="0"/>
      <w:numFmt w:val="bullet"/>
      <w:lvlText w:val="•"/>
      <w:lvlJc w:val="left"/>
      <w:pPr>
        <w:ind w:left="907" w:hanging="160"/>
      </w:pPr>
      <w:rPr>
        <w:rFonts w:hint="default"/>
        <w:lang w:val="zh-CN" w:eastAsia="zh-CN" w:bidi="zh-CN"/>
      </w:rPr>
    </w:lvl>
    <w:lvl w:ilvl="3">
      <w:start w:val="0"/>
      <w:numFmt w:val="bullet"/>
      <w:lvlText w:val="•"/>
      <w:lvlJc w:val="left"/>
      <w:pPr>
        <w:ind w:left="1210" w:hanging="160"/>
      </w:pPr>
      <w:rPr>
        <w:rFonts w:hint="default"/>
        <w:lang w:val="zh-CN" w:eastAsia="zh-CN" w:bidi="zh-CN"/>
      </w:rPr>
    </w:lvl>
    <w:lvl w:ilvl="4">
      <w:start w:val="0"/>
      <w:numFmt w:val="bullet"/>
      <w:lvlText w:val="•"/>
      <w:lvlJc w:val="left"/>
      <w:pPr>
        <w:ind w:left="1514" w:hanging="160"/>
      </w:pPr>
      <w:rPr>
        <w:rFonts w:hint="default"/>
        <w:lang w:val="zh-CN" w:eastAsia="zh-CN" w:bidi="zh-CN"/>
      </w:rPr>
    </w:lvl>
    <w:lvl w:ilvl="5">
      <w:start w:val="0"/>
      <w:numFmt w:val="bullet"/>
      <w:lvlText w:val="•"/>
      <w:lvlJc w:val="left"/>
      <w:pPr>
        <w:ind w:left="1818" w:hanging="160"/>
      </w:pPr>
      <w:rPr>
        <w:rFonts w:hint="default"/>
        <w:lang w:val="zh-CN" w:eastAsia="zh-CN" w:bidi="zh-CN"/>
      </w:rPr>
    </w:lvl>
    <w:lvl w:ilvl="6">
      <w:start w:val="0"/>
      <w:numFmt w:val="bullet"/>
      <w:lvlText w:val="•"/>
      <w:lvlJc w:val="left"/>
      <w:pPr>
        <w:ind w:left="2121" w:hanging="160"/>
      </w:pPr>
      <w:rPr>
        <w:rFonts w:hint="default"/>
        <w:lang w:val="zh-CN" w:eastAsia="zh-CN" w:bidi="zh-CN"/>
      </w:rPr>
    </w:lvl>
    <w:lvl w:ilvl="7">
      <w:start w:val="0"/>
      <w:numFmt w:val="bullet"/>
      <w:lvlText w:val="•"/>
      <w:lvlJc w:val="left"/>
      <w:pPr>
        <w:ind w:left="2425" w:hanging="160"/>
      </w:pPr>
      <w:rPr>
        <w:rFonts w:hint="default"/>
        <w:lang w:val="zh-CN" w:eastAsia="zh-CN" w:bidi="zh-CN"/>
      </w:rPr>
    </w:lvl>
    <w:lvl w:ilvl="8">
      <w:start w:val="0"/>
      <w:numFmt w:val="bullet"/>
      <w:lvlText w:val="•"/>
      <w:lvlJc w:val="left"/>
      <w:pPr>
        <w:ind w:left="2729" w:hanging="160"/>
      </w:pPr>
      <w:rPr>
        <w:rFonts w:hint="default"/>
        <w:lang w:val="zh-CN" w:eastAsia="zh-CN" w:bidi="zh-CN"/>
      </w:rPr>
    </w:lvl>
  </w:abstractNum>
  <w:abstractNum w:abstractNumId="27">
    <w:nsid w:val="2A8F537B"/>
    <w:multiLevelType w:val="multilevel"/>
    <w:tmpl w:val="2A8F537B"/>
    <w:lvl w:ilvl="0">
      <w:start w:val="1"/>
      <w:numFmt w:val="decimal"/>
      <w:lvlText w:val="%1."/>
      <w:lvlJc w:val="left"/>
      <w:pPr>
        <w:ind w:left="114" w:hanging="160"/>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630" w:hanging="160"/>
      </w:pPr>
      <w:rPr>
        <w:rFonts w:hint="default"/>
        <w:lang w:val="zh-CN" w:eastAsia="zh-CN" w:bidi="zh-CN"/>
      </w:rPr>
    </w:lvl>
    <w:lvl w:ilvl="2">
      <w:start w:val="0"/>
      <w:numFmt w:val="bullet"/>
      <w:lvlText w:val="•"/>
      <w:lvlJc w:val="left"/>
      <w:pPr>
        <w:ind w:left="1140" w:hanging="160"/>
      </w:pPr>
      <w:rPr>
        <w:rFonts w:hint="default"/>
        <w:lang w:val="zh-CN" w:eastAsia="zh-CN" w:bidi="zh-CN"/>
      </w:rPr>
    </w:lvl>
    <w:lvl w:ilvl="3">
      <w:start w:val="0"/>
      <w:numFmt w:val="bullet"/>
      <w:lvlText w:val="•"/>
      <w:lvlJc w:val="left"/>
      <w:pPr>
        <w:ind w:left="1651" w:hanging="160"/>
      </w:pPr>
      <w:rPr>
        <w:rFonts w:hint="default"/>
        <w:lang w:val="zh-CN" w:eastAsia="zh-CN" w:bidi="zh-CN"/>
      </w:rPr>
    </w:lvl>
    <w:lvl w:ilvl="4">
      <w:start w:val="0"/>
      <w:numFmt w:val="bullet"/>
      <w:lvlText w:val="•"/>
      <w:lvlJc w:val="left"/>
      <w:pPr>
        <w:ind w:left="2161" w:hanging="160"/>
      </w:pPr>
      <w:rPr>
        <w:rFonts w:hint="default"/>
        <w:lang w:val="zh-CN" w:eastAsia="zh-CN" w:bidi="zh-CN"/>
      </w:rPr>
    </w:lvl>
    <w:lvl w:ilvl="5">
      <w:start w:val="0"/>
      <w:numFmt w:val="bullet"/>
      <w:lvlText w:val="•"/>
      <w:lvlJc w:val="left"/>
      <w:pPr>
        <w:ind w:left="2671" w:hanging="160"/>
      </w:pPr>
      <w:rPr>
        <w:rFonts w:hint="default"/>
        <w:lang w:val="zh-CN" w:eastAsia="zh-CN" w:bidi="zh-CN"/>
      </w:rPr>
    </w:lvl>
    <w:lvl w:ilvl="6">
      <w:start w:val="0"/>
      <w:numFmt w:val="bullet"/>
      <w:lvlText w:val="•"/>
      <w:lvlJc w:val="left"/>
      <w:pPr>
        <w:ind w:left="3182" w:hanging="160"/>
      </w:pPr>
      <w:rPr>
        <w:rFonts w:hint="default"/>
        <w:lang w:val="zh-CN" w:eastAsia="zh-CN" w:bidi="zh-CN"/>
      </w:rPr>
    </w:lvl>
    <w:lvl w:ilvl="7">
      <w:start w:val="0"/>
      <w:numFmt w:val="bullet"/>
      <w:lvlText w:val="•"/>
      <w:lvlJc w:val="left"/>
      <w:pPr>
        <w:ind w:left="3692" w:hanging="160"/>
      </w:pPr>
      <w:rPr>
        <w:rFonts w:hint="default"/>
        <w:lang w:val="zh-CN" w:eastAsia="zh-CN" w:bidi="zh-CN"/>
      </w:rPr>
    </w:lvl>
    <w:lvl w:ilvl="8">
      <w:start w:val="0"/>
      <w:numFmt w:val="bullet"/>
      <w:lvlText w:val="•"/>
      <w:lvlJc w:val="left"/>
      <w:pPr>
        <w:ind w:left="4202" w:hanging="160"/>
      </w:pPr>
      <w:rPr>
        <w:rFonts w:hint="default"/>
        <w:lang w:val="zh-CN" w:eastAsia="zh-CN" w:bidi="zh-CN"/>
      </w:rPr>
    </w:lvl>
  </w:abstractNum>
  <w:abstractNum w:abstractNumId="28">
    <w:nsid w:val="30FC5B15"/>
    <w:multiLevelType w:val="multilevel"/>
    <w:tmpl w:val="30FC5B15"/>
    <w:lvl w:ilvl="0">
      <w:start w:val="1"/>
      <w:numFmt w:val="decimal"/>
      <w:lvlText w:val="（%1）"/>
      <w:lvlJc w:val="left"/>
      <w:pPr>
        <w:ind w:left="1064" w:hanging="602"/>
        <w:jc w:val="left"/>
      </w:pPr>
      <w:rPr>
        <w:rFonts w:ascii="宋体" w:eastAsia="宋体" w:hAnsi="宋体" w:cs="宋体" w:hint="default"/>
        <w:spacing w:val="-14"/>
        <w:w w:val="100"/>
        <w:sz w:val="22"/>
        <w:szCs w:val="22"/>
        <w:lang w:val="zh-CN" w:eastAsia="zh-CN" w:bidi="zh-CN"/>
      </w:rPr>
    </w:lvl>
    <w:lvl w:ilvl="1">
      <w:start w:val="0"/>
      <w:numFmt w:val="bullet"/>
      <w:lvlText w:val="•"/>
      <w:lvlJc w:val="left"/>
      <w:pPr>
        <w:ind w:left="1946" w:hanging="602"/>
      </w:pPr>
      <w:rPr>
        <w:rFonts w:hint="default"/>
        <w:lang w:val="zh-CN" w:eastAsia="zh-CN" w:bidi="zh-CN"/>
      </w:rPr>
    </w:lvl>
    <w:lvl w:ilvl="2">
      <w:start w:val="0"/>
      <w:numFmt w:val="bullet"/>
      <w:lvlText w:val="•"/>
      <w:lvlJc w:val="left"/>
      <w:pPr>
        <w:ind w:left="2832" w:hanging="602"/>
      </w:pPr>
      <w:rPr>
        <w:rFonts w:hint="default"/>
        <w:lang w:val="zh-CN" w:eastAsia="zh-CN" w:bidi="zh-CN"/>
      </w:rPr>
    </w:lvl>
    <w:lvl w:ilvl="3">
      <w:start w:val="0"/>
      <w:numFmt w:val="bullet"/>
      <w:lvlText w:val="•"/>
      <w:lvlJc w:val="left"/>
      <w:pPr>
        <w:ind w:left="3719" w:hanging="602"/>
      </w:pPr>
      <w:rPr>
        <w:rFonts w:hint="default"/>
        <w:lang w:val="zh-CN" w:eastAsia="zh-CN" w:bidi="zh-CN"/>
      </w:rPr>
    </w:lvl>
    <w:lvl w:ilvl="4">
      <w:start w:val="0"/>
      <w:numFmt w:val="bullet"/>
      <w:lvlText w:val="•"/>
      <w:lvlJc w:val="left"/>
      <w:pPr>
        <w:ind w:left="4605" w:hanging="602"/>
      </w:pPr>
      <w:rPr>
        <w:rFonts w:hint="default"/>
        <w:lang w:val="zh-CN" w:eastAsia="zh-CN" w:bidi="zh-CN"/>
      </w:rPr>
    </w:lvl>
    <w:lvl w:ilvl="5">
      <w:start w:val="0"/>
      <w:numFmt w:val="bullet"/>
      <w:lvlText w:val="•"/>
      <w:lvlJc w:val="left"/>
      <w:pPr>
        <w:ind w:left="5492" w:hanging="602"/>
      </w:pPr>
      <w:rPr>
        <w:rFonts w:hint="default"/>
        <w:lang w:val="zh-CN" w:eastAsia="zh-CN" w:bidi="zh-CN"/>
      </w:rPr>
    </w:lvl>
    <w:lvl w:ilvl="6">
      <w:start w:val="0"/>
      <w:numFmt w:val="bullet"/>
      <w:lvlText w:val="•"/>
      <w:lvlJc w:val="left"/>
      <w:pPr>
        <w:ind w:left="6378" w:hanging="602"/>
      </w:pPr>
      <w:rPr>
        <w:rFonts w:hint="default"/>
        <w:lang w:val="zh-CN" w:eastAsia="zh-CN" w:bidi="zh-CN"/>
      </w:rPr>
    </w:lvl>
    <w:lvl w:ilvl="7">
      <w:start w:val="0"/>
      <w:numFmt w:val="bullet"/>
      <w:lvlText w:val="•"/>
      <w:lvlJc w:val="left"/>
      <w:pPr>
        <w:ind w:left="7264" w:hanging="602"/>
      </w:pPr>
      <w:rPr>
        <w:rFonts w:hint="default"/>
        <w:lang w:val="zh-CN" w:eastAsia="zh-CN" w:bidi="zh-CN"/>
      </w:rPr>
    </w:lvl>
    <w:lvl w:ilvl="8">
      <w:start w:val="0"/>
      <w:numFmt w:val="bullet"/>
      <w:lvlText w:val="•"/>
      <w:lvlJc w:val="left"/>
      <w:pPr>
        <w:ind w:left="8151" w:hanging="602"/>
      </w:pPr>
      <w:rPr>
        <w:rFonts w:hint="default"/>
        <w:lang w:val="zh-CN" w:eastAsia="zh-CN" w:bidi="zh-CN"/>
      </w:rPr>
    </w:lvl>
  </w:abstractNum>
  <w:abstractNum w:abstractNumId="29">
    <w:nsid w:val="32D4E2CE"/>
    <w:multiLevelType w:val="multilevel"/>
    <w:tmpl w:val="4C1BAE26"/>
    <w:lvl w:ilvl="0">
      <w:start w:val="1"/>
      <w:numFmt w:val="upperLetter"/>
      <w:lvlText w:val="%1."/>
      <w:lvlJc w:val="left"/>
      <w:pPr>
        <w:ind w:left="1848" w:hanging="231"/>
        <w:jc w:val="left"/>
      </w:pPr>
      <w:rPr>
        <w:rFonts w:ascii="Times New Roman" w:eastAsia="Times New Roman" w:hAnsi="Times New Roman" w:cs="Times New Roman" w:hint="default"/>
        <w:spacing w:val="-6"/>
        <w:w w:val="99"/>
        <w:sz w:val="22"/>
        <w:szCs w:val="22"/>
        <w:lang w:val="zh-CN" w:eastAsia="zh-CN" w:bidi="zh-CN"/>
      </w:rPr>
    </w:lvl>
    <w:lvl w:ilvl="1">
      <w:start w:val="0"/>
      <w:numFmt w:val="bullet"/>
      <w:lvlText w:val="•"/>
      <w:lvlJc w:val="left"/>
      <w:pPr>
        <w:ind w:left="2666" w:hanging="231"/>
      </w:pPr>
      <w:rPr>
        <w:rFonts w:hint="default"/>
        <w:lang w:val="zh-CN" w:eastAsia="zh-CN" w:bidi="zh-CN"/>
      </w:rPr>
    </w:lvl>
    <w:lvl w:ilvl="2">
      <w:start w:val="0"/>
      <w:numFmt w:val="bullet"/>
      <w:lvlText w:val="•"/>
      <w:lvlJc w:val="left"/>
      <w:pPr>
        <w:ind w:left="3492" w:hanging="231"/>
      </w:pPr>
      <w:rPr>
        <w:rFonts w:hint="default"/>
        <w:lang w:val="zh-CN" w:eastAsia="zh-CN" w:bidi="zh-CN"/>
      </w:rPr>
    </w:lvl>
    <w:lvl w:ilvl="3">
      <w:start w:val="0"/>
      <w:numFmt w:val="bullet"/>
      <w:lvlText w:val="•"/>
      <w:lvlJc w:val="left"/>
      <w:pPr>
        <w:ind w:left="4319" w:hanging="231"/>
      </w:pPr>
      <w:rPr>
        <w:rFonts w:hint="default"/>
        <w:lang w:val="zh-CN" w:eastAsia="zh-CN" w:bidi="zh-CN"/>
      </w:rPr>
    </w:lvl>
    <w:lvl w:ilvl="4">
      <w:start w:val="0"/>
      <w:numFmt w:val="bullet"/>
      <w:lvlText w:val="•"/>
      <w:lvlJc w:val="left"/>
      <w:pPr>
        <w:ind w:left="5145" w:hanging="231"/>
      </w:pPr>
      <w:rPr>
        <w:rFonts w:hint="default"/>
        <w:lang w:val="zh-CN" w:eastAsia="zh-CN" w:bidi="zh-CN"/>
      </w:rPr>
    </w:lvl>
    <w:lvl w:ilvl="5">
      <w:start w:val="0"/>
      <w:numFmt w:val="bullet"/>
      <w:lvlText w:val="•"/>
      <w:lvlJc w:val="left"/>
      <w:pPr>
        <w:ind w:left="5972" w:hanging="231"/>
      </w:pPr>
      <w:rPr>
        <w:rFonts w:hint="default"/>
        <w:lang w:val="zh-CN" w:eastAsia="zh-CN" w:bidi="zh-CN"/>
      </w:rPr>
    </w:lvl>
    <w:lvl w:ilvl="6">
      <w:start w:val="0"/>
      <w:numFmt w:val="bullet"/>
      <w:lvlText w:val="•"/>
      <w:lvlJc w:val="left"/>
      <w:pPr>
        <w:ind w:left="6798" w:hanging="231"/>
      </w:pPr>
      <w:rPr>
        <w:rFonts w:hint="default"/>
        <w:lang w:val="zh-CN" w:eastAsia="zh-CN" w:bidi="zh-CN"/>
      </w:rPr>
    </w:lvl>
    <w:lvl w:ilvl="7">
      <w:start w:val="0"/>
      <w:numFmt w:val="bullet"/>
      <w:lvlText w:val="•"/>
      <w:lvlJc w:val="left"/>
      <w:pPr>
        <w:ind w:left="7624" w:hanging="231"/>
      </w:pPr>
      <w:rPr>
        <w:rFonts w:hint="default"/>
        <w:lang w:val="zh-CN" w:eastAsia="zh-CN" w:bidi="zh-CN"/>
      </w:rPr>
    </w:lvl>
    <w:lvl w:ilvl="8">
      <w:start w:val="0"/>
      <w:numFmt w:val="bullet"/>
      <w:lvlText w:val="•"/>
      <w:lvlJc w:val="left"/>
      <w:pPr>
        <w:ind w:left="8451" w:hanging="231"/>
      </w:pPr>
      <w:rPr>
        <w:rFonts w:hint="default"/>
        <w:lang w:val="zh-CN" w:eastAsia="zh-CN" w:bidi="zh-CN"/>
      </w:rPr>
    </w:lvl>
  </w:abstractNum>
  <w:abstractNum w:abstractNumId="30">
    <w:nsid w:val="39A0D9AC"/>
    <w:multiLevelType w:val="multilevel"/>
    <w:tmpl w:val="39A0D9AC"/>
    <w:lvl w:ilvl="0">
      <w:start w:val="1"/>
      <w:numFmt w:val="decimal"/>
      <w:lvlText w:val="%1）"/>
      <w:lvlJc w:val="left"/>
      <w:pPr>
        <w:ind w:left="1970"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2758" w:hanging="361"/>
      </w:pPr>
      <w:rPr>
        <w:rFonts w:hint="default"/>
        <w:lang w:val="zh-CN" w:eastAsia="zh-CN" w:bidi="zh-CN"/>
      </w:rPr>
    </w:lvl>
    <w:lvl w:ilvl="2">
      <w:start w:val="0"/>
      <w:numFmt w:val="bullet"/>
      <w:lvlText w:val="•"/>
      <w:lvlJc w:val="left"/>
      <w:pPr>
        <w:ind w:left="3537" w:hanging="361"/>
      </w:pPr>
      <w:rPr>
        <w:rFonts w:hint="default"/>
        <w:lang w:val="zh-CN" w:eastAsia="zh-CN" w:bidi="zh-CN"/>
      </w:rPr>
    </w:lvl>
    <w:lvl w:ilvl="3">
      <w:start w:val="0"/>
      <w:numFmt w:val="bullet"/>
      <w:lvlText w:val="•"/>
      <w:lvlJc w:val="left"/>
      <w:pPr>
        <w:ind w:left="4316" w:hanging="361"/>
      </w:pPr>
      <w:rPr>
        <w:rFonts w:hint="default"/>
        <w:lang w:val="zh-CN" w:eastAsia="zh-CN" w:bidi="zh-CN"/>
      </w:rPr>
    </w:lvl>
    <w:lvl w:ilvl="4">
      <w:start w:val="0"/>
      <w:numFmt w:val="bullet"/>
      <w:lvlText w:val="•"/>
      <w:lvlJc w:val="left"/>
      <w:pPr>
        <w:ind w:left="5095" w:hanging="361"/>
      </w:pPr>
      <w:rPr>
        <w:rFonts w:hint="default"/>
        <w:lang w:val="zh-CN" w:eastAsia="zh-CN" w:bidi="zh-CN"/>
      </w:rPr>
    </w:lvl>
    <w:lvl w:ilvl="5">
      <w:start w:val="0"/>
      <w:numFmt w:val="bullet"/>
      <w:lvlText w:val="•"/>
      <w:lvlJc w:val="left"/>
      <w:pPr>
        <w:ind w:left="5874" w:hanging="361"/>
      </w:pPr>
      <w:rPr>
        <w:rFonts w:hint="default"/>
        <w:lang w:val="zh-CN" w:eastAsia="zh-CN" w:bidi="zh-CN"/>
      </w:rPr>
    </w:lvl>
    <w:lvl w:ilvl="6">
      <w:start w:val="0"/>
      <w:numFmt w:val="bullet"/>
      <w:lvlText w:val="•"/>
      <w:lvlJc w:val="left"/>
      <w:pPr>
        <w:ind w:left="6653" w:hanging="361"/>
      </w:pPr>
      <w:rPr>
        <w:rFonts w:hint="default"/>
        <w:lang w:val="zh-CN" w:eastAsia="zh-CN" w:bidi="zh-CN"/>
      </w:rPr>
    </w:lvl>
    <w:lvl w:ilvl="7">
      <w:start w:val="0"/>
      <w:numFmt w:val="bullet"/>
      <w:lvlText w:val="•"/>
      <w:lvlJc w:val="left"/>
      <w:pPr>
        <w:ind w:left="7432" w:hanging="361"/>
      </w:pPr>
      <w:rPr>
        <w:rFonts w:hint="default"/>
        <w:lang w:val="zh-CN" w:eastAsia="zh-CN" w:bidi="zh-CN"/>
      </w:rPr>
    </w:lvl>
    <w:lvl w:ilvl="8">
      <w:start w:val="0"/>
      <w:numFmt w:val="bullet"/>
      <w:lvlText w:val="•"/>
      <w:lvlJc w:val="left"/>
      <w:pPr>
        <w:ind w:left="8211" w:hanging="361"/>
      </w:pPr>
      <w:rPr>
        <w:rFonts w:hint="default"/>
        <w:lang w:val="zh-CN" w:eastAsia="zh-CN" w:bidi="zh-CN"/>
      </w:rPr>
    </w:lvl>
  </w:abstractNum>
  <w:abstractNum w:abstractNumId="31">
    <w:nsid w:val="46A08BB8"/>
    <w:multiLevelType w:val="multilevel"/>
    <w:tmpl w:val="46A08BB8"/>
    <w:lvl w:ilvl="0">
      <w:start w:val="1"/>
      <w:numFmt w:val="upperLetter"/>
      <w:lvlText w:val="%1."/>
      <w:lvlJc w:val="left"/>
      <w:pPr>
        <w:ind w:left="1368" w:hanging="236"/>
        <w:jc w:val="left"/>
      </w:pPr>
      <w:rPr>
        <w:rFonts w:ascii="Times New Roman" w:eastAsia="Times New Roman" w:hAnsi="Times New Roman" w:cs="Times New Roman" w:hint="default"/>
        <w:spacing w:val="-6"/>
        <w:w w:val="99"/>
        <w:sz w:val="22"/>
        <w:szCs w:val="22"/>
        <w:lang w:val="zh-CN" w:eastAsia="zh-CN" w:bidi="zh-CN"/>
      </w:rPr>
    </w:lvl>
    <w:lvl w:ilvl="1">
      <w:start w:val="0"/>
      <w:numFmt w:val="bullet"/>
      <w:lvlText w:val="•"/>
      <w:lvlJc w:val="left"/>
      <w:pPr>
        <w:ind w:left="2234" w:hanging="236"/>
      </w:pPr>
      <w:rPr>
        <w:rFonts w:hint="default"/>
        <w:lang w:val="zh-CN" w:eastAsia="zh-CN" w:bidi="zh-CN"/>
      </w:rPr>
    </w:lvl>
    <w:lvl w:ilvl="2">
      <w:start w:val="0"/>
      <w:numFmt w:val="bullet"/>
      <w:lvlText w:val="•"/>
      <w:lvlJc w:val="left"/>
      <w:pPr>
        <w:ind w:left="3108" w:hanging="236"/>
      </w:pPr>
      <w:rPr>
        <w:rFonts w:hint="default"/>
        <w:lang w:val="zh-CN" w:eastAsia="zh-CN" w:bidi="zh-CN"/>
      </w:rPr>
    </w:lvl>
    <w:lvl w:ilvl="3">
      <w:start w:val="0"/>
      <w:numFmt w:val="bullet"/>
      <w:lvlText w:val="•"/>
      <w:lvlJc w:val="left"/>
      <w:pPr>
        <w:ind w:left="3983" w:hanging="236"/>
      </w:pPr>
      <w:rPr>
        <w:rFonts w:hint="default"/>
        <w:lang w:val="zh-CN" w:eastAsia="zh-CN" w:bidi="zh-CN"/>
      </w:rPr>
    </w:lvl>
    <w:lvl w:ilvl="4">
      <w:start w:val="0"/>
      <w:numFmt w:val="bullet"/>
      <w:lvlText w:val="•"/>
      <w:lvlJc w:val="left"/>
      <w:pPr>
        <w:ind w:left="4857" w:hanging="236"/>
      </w:pPr>
      <w:rPr>
        <w:rFonts w:hint="default"/>
        <w:lang w:val="zh-CN" w:eastAsia="zh-CN" w:bidi="zh-CN"/>
      </w:rPr>
    </w:lvl>
    <w:lvl w:ilvl="5">
      <w:start w:val="0"/>
      <w:numFmt w:val="bullet"/>
      <w:lvlText w:val="•"/>
      <w:lvlJc w:val="left"/>
      <w:pPr>
        <w:ind w:left="5732" w:hanging="236"/>
      </w:pPr>
      <w:rPr>
        <w:rFonts w:hint="default"/>
        <w:lang w:val="zh-CN" w:eastAsia="zh-CN" w:bidi="zh-CN"/>
      </w:rPr>
    </w:lvl>
    <w:lvl w:ilvl="6">
      <w:start w:val="0"/>
      <w:numFmt w:val="bullet"/>
      <w:lvlText w:val="•"/>
      <w:lvlJc w:val="left"/>
      <w:pPr>
        <w:ind w:left="6606" w:hanging="236"/>
      </w:pPr>
      <w:rPr>
        <w:rFonts w:hint="default"/>
        <w:lang w:val="zh-CN" w:eastAsia="zh-CN" w:bidi="zh-CN"/>
      </w:rPr>
    </w:lvl>
    <w:lvl w:ilvl="7">
      <w:start w:val="0"/>
      <w:numFmt w:val="bullet"/>
      <w:lvlText w:val="•"/>
      <w:lvlJc w:val="left"/>
      <w:pPr>
        <w:ind w:left="7480" w:hanging="236"/>
      </w:pPr>
      <w:rPr>
        <w:rFonts w:hint="default"/>
        <w:lang w:val="zh-CN" w:eastAsia="zh-CN" w:bidi="zh-CN"/>
      </w:rPr>
    </w:lvl>
    <w:lvl w:ilvl="8">
      <w:start w:val="0"/>
      <w:numFmt w:val="bullet"/>
      <w:lvlText w:val="•"/>
      <w:lvlJc w:val="left"/>
      <w:pPr>
        <w:ind w:left="8355" w:hanging="236"/>
      </w:pPr>
      <w:rPr>
        <w:rFonts w:hint="default"/>
        <w:lang w:val="zh-CN" w:eastAsia="zh-CN" w:bidi="zh-CN"/>
      </w:rPr>
    </w:lvl>
  </w:abstractNum>
  <w:abstractNum w:abstractNumId="32">
    <w:nsid w:val="4C1BAE26"/>
    <w:multiLevelType w:val="multilevel"/>
    <w:tmpl w:val="4C1BAE26"/>
    <w:lvl w:ilvl="0">
      <w:start w:val="1"/>
      <w:numFmt w:val="upperLetter"/>
      <w:lvlText w:val="%1."/>
      <w:lvlJc w:val="left"/>
      <w:pPr>
        <w:ind w:left="1848" w:hanging="231"/>
        <w:jc w:val="left"/>
      </w:pPr>
      <w:rPr>
        <w:rFonts w:ascii="Times New Roman" w:eastAsia="Times New Roman" w:hAnsi="Times New Roman" w:cs="Times New Roman" w:hint="default"/>
        <w:spacing w:val="-6"/>
        <w:w w:val="99"/>
        <w:sz w:val="22"/>
        <w:szCs w:val="22"/>
        <w:lang w:val="zh-CN" w:eastAsia="zh-CN" w:bidi="zh-CN"/>
      </w:rPr>
    </w:lvl>
    <w:lvl w:ilvl="1">
      <w:start w:val="0"/>
      <w:numFmt w:val="bullet"/>
      <w:lvlText w:val="•"/>
      <w:lvlJc w:val="left"/>
      <w:pPr>
        <w:ind w:left="2666" w:hanging="231"/>
      </w:pPr>
      <w:rPr>
        <w:rFonts w:hint="default"/>
        <w:lang w:val="zh-CN" w:eastAsia="zh-CN" w:bidi="zh-CN"/>
      </w:rPr>
    </w:lvl>
    <w:lvl w:ilvl="2">
      <w:start w:val="0"/>
      <w:numFmt w:val="bullet"/>
      <w:lvlText w:val="•"/>
      <w:lvlJc w:val="left"/>
      <w:pPr>
        <w:ind w:left="3492" w:hanging="231"/>
      </w:pPr>
      <w:rPr>
        <w:rFonts w:hint="default"/>
        <w:lang w:val="zh-CN" w:eastAsia="zh-CN" w:bidi="zh-CN"/>
      </w:rPr>
    </w:lvl>
    <w:lvl w:ilvl="3">
      <w:start w:val="0"/>
      <w:numFmt w:val="bullet"/>
      <w:lvlText w:val="•"/>
      <w:lvlJc w:val="left"/>
      <w:pPr>
        <w:ind w:left="4319" w:hanging="231"/>
      </w:pPr>
      <w:rPr>
        <w:rFonts w:hint="default"/>
        <w:lang w:val="zh-CN" w:eastAsia="zh-CN" w:bidi="zh-CN"/>
      </w:rPr>
    </w:lvl>
    <w:lvl w:ilvl="4">
      <w:start w:val="0"/>
      <w:numFmt w:val="bullet"/>
      <w:lvlText w:val="•"/>
      <w:lvlJc w:val="left"/>
      <w:pPr>
        <w:ind w:left="5145" w:hanging="231"/>
      </w:pPr>
      <w:rPr>
        <w:rFonts w:hint="default"/>
        <w:lang w:val="zh-CN" w:eastAsia="zh-CN" w:bidi="zh-CN"/>
      </w:rPr>
    </w:lvl>
    <w:lvl w:ilvl="5">
      <w:start w:val="0"/>
      <w:numFmt w:val="bullet"/>
      <w:lvlText w:val="•"/>
      <w:lvlJc w:val="left"/>
      <w:pPr>
        <w:ind w:left="5972" w:hanging="231"/>
      </w:pPr>
      <w:rPr>
        <w:rFonts w:hint="default"/>
        <w:lang w:val="zh-CN" w:eastAsia="zh-CN" w:bidi="zh-CN"/>
      </w:rPr>
    </w:lvl>
    <w:lvl w:ilvl="6">
      <w:start w:val="0"/>
      <w:numFmt w:val="bullet"/>
      <w:lvlText w:val="•"/>
      <w:lvlJc w:val="left"/>
      <w:pPr>
        <w:ind w:left="6798" w:hanging="231"/>
      </w:pPr>
      <w:rPr>
        <w:rFonts w:hint="default"/>
        <w:lang w:val="zh-CN" w:eastAsia="zh-CN" w:bidi="zh-CN"/>
      </w:rPr>
    </w:lvl>
    <w:lvl w:ilvl="7">
      <w:start w:val="0"/>
      <w:numFmt w:val="bullet"/>
      <w:lvlText w:val="•"/>
      <w:lvlJc w:val="left"/>
      <w:pPr>
        <w:ind w:left="7624" w:hanging="231"/>
      </w:pPr>
      <w:rPr>
        <w:rFonts w:hint="default"/>
        <w:lang w:val="zh-CN" w:eastAsia="zh-CN" w:bidi="zh-CN"/>
      </w:rPr>
    </w:lvl>
    <w:lvl w:ilvl="8">
      <w:start w:val="0"/>
      <w:numFmt w:val="bullet"/>
      <w:lvlText w:val="•"/>
      <w:lvlJc w:val="left"/>
      <w:pPr>
        <w:ind w:left="8451" w:hanging="231"/>
      </w:pPr>
      <w:rPr>
        <w:rFonts w:hint="default"/>
        <w:lang w:val="zh-CN" w:eastAsia="zh-CN" w:bidi="zh-CN"/>
      </w:rPr>
    </w:lvl>
  </w:abstractNum>
  <w:abstractNum w:abstractNumId="33">
    <w:nsid w:val="4D4DC07F"/>
    <w:multiLevelType w:val="multilevel"/>
    <w:tmpl w:val="4D4DC07F"/>
    <w:lvl w:ilvl="0">
      <w:start w:val="1"/>
      <w:numFmt w:val="decimal"/>
      <w:lvlText w:val="（%1）"/>
      <w:lvlJc w:val="left"/>
      <w:pPr>
        <w:ind w:left="1368" w:hanging="602"/>
        <w:jc w:val="left"/>
      </w:pPr>
      <w:rPr>
        <w:rFonts w:ascii="宋体" w:eastAsia="宋体" w:hAnsi="宋体" w:cs="宋体" w:hint="default"/>
        <w:spacing w:val="-20"/>
        <w:w w:val="100"/>
        <w:sz w:val="22"/>
        <w:szCs w:val="22"/>
        <w:lang w:val="zh-CN" w:eastAsia="zh-CN" w:bidi="zh-CN"/>
      </w:rPr>
    </w:lvl>
    <w:lvl w:ilvl="1">
      <w:start w:val="0"/>
      <w:numFmt w:val="bullet"/>
      <w:lvlText w:val="•"/>
      <w:lvlJc w:val="left"/>
      <w:pPr>
        <w:ind w:left="2234" w:hanging="602"/>
      </w:pPr>
      <w:rPr>
        <w:rFonts w:hint="default"/>
        <w:lang w:val="zh-CN" w:eastAsia="zh-CN" w:bidi="zh-CN"/>
      </w:rPr>
    </w:lvl>
    <w:lvl w:ilvl="2">
      <w:start w:val="0"/>
      <w:numFmt w:val="bullet"/>
      <w:lvlText w:val="•"/>
      <w:lvlJc w:val="left"/>
      <w:pPr>
        <w:ind w:left="3108" w:hanging="602"/>
      </w:pPr>
      <w:rPr>
        <w:rFonts w:hint="default"/>
        <w:lang w:val="zh-CN" w:eastAsia="zh-CN" w:bidi="zh-CN"/>
      </w:rPr>
    </w:lvl>
    <w:lvl w:ilvl="3">
      <w:start w:val="0"/>
      <w:numFmt w:val="bullet"/>
      <w:lvlText w:val="•"/>
      <w:lvlJc w:val="left"/>
      <w:pPr>
        <w:ind w:left="3983" w:hanging="602"/>
      </w:pPr>
      <w:rPr>
        <w:rFonts w:hint="default"/>
        <w:lang w:val="zh-CN" w:eastAsia="zh-CN" w:bidi="zh-CN"/>
      </w:rPr>
    </w:lvl>
    <w:lvl w:ilvl="4">
      <w:start w:val="0"/>
      <w:numFmt w:val="bullet"/>
      <w:lvlText w:val="•"/>
      <w:lvlJc w:val="left"/>
      <w:pPr>
        <w:ind w:left="4857" w:hanging="602"/>
      </w:pPr>
      <w:rPr>
        <w:rFonts w:hint="default"/>
        <w:lang w:val="zh-CN" w:eastAsia="zh-CN" w:bidi="zh-CN"/>
      </w:rPr>
    </w:lvl>
    <w:lvl w:ilvl="5">
      <w:start w:val="0"/>
      <w:numFmt w:val="bullet"/>
      <w:lvlText w:val="•"/>
      <w:lvlJc w:val="left"/>
      <w:pPr>
        <w:ind w:left="5732" w:hanging="602"/>
      </w:pPr>
      <w:rPr>
        <w:rFonts w:hint="default"/>
        <w:lang w:val="zh-CN" w:eastAsia="zh-CN" w:bidi="zh-CN"/>
      </w:rPr>
    </w:lvl>
    <w:lvl w:ilvl="6">
      <w:start w:val="0"/>
      <w:numFmt w:val="bullet"/>
      <w:lvlText w:val="•"/>
      <w:lvlJc w:val="left"/>
      <w:pPr>
        <w:ind w:left="6606" w:hanging="602"/>
      </w:pPr>
      <w:rPr>
        <w:rFonts w:hint="default"/>
        <w:lang w:val="zh-CN" w:eastAsia="zh-CN" w:bidi="zh-CN"/>
      </w:rPr>
    </w:lvl>
    <w:lvl w:ilvl="7">
      <w:start w:val="0"/>
      <w:numFmt w:val="bullet"/>
      <w:lvlText w:val="•"/>
      <w:lvlJc w:val="left"/>
      <w:pPr>
        <w:ind w:left="7480" w:hanging="602"/>
      </w:pPr>
      <w:rPr>
        <w:rFonts w:hint="default"/>
        <w:lang w:val="zh-CN" w:eastAsia="zh-CN" w:bidi="zh-CN"/>
      </w:rPr>
    </w:lvl>
    <w:lvl w:ilvl="8">
      <w:start w:val="0"/>
      <w:numFmt w:val="bullet"/>
      <w:lvlText w:val="•"/>
      <w:lvlJc w:val="left"/>
      <w:pPr>
        <w:ind w:left="8355" w:hanging="602"/>
      </w:pPr>
      <w:rPr>
        <w:rFonts w:hint="default"/>
        <w:lang w:val="zh-CN" w:eastAsia="zh-CN" w:bidi="zh-CN"/>
      </w:rPr>
    </w:lvl>
  </w:abstractNum>
  <w:abstractNum w:abstractNumId="34">
    <w:nsid w:val="4D94DA66"/>
    <w:multiLevelType w:val="multilevel"/>
    <w:tmpl w:val="4D94DA66"/>
    <w:lvl w:ilvl="0">
      <w:start w:val="1"/>
      <w:numFmt w:val="decimal"/>
      <w:lvlText w:val="（%1）"/>
      <w:lvlJc w:val="left"/>
      <w:pPr>
        <w:ind w:left="2210"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74" w:hanging="602"/>
      </w:pPr>
      <w:rPr>
        <w:rFonts w:hint="default"/>
        <w:lang w:val="zh-CN" w:eastAsia="zh-CN" w:bidi="zh-CN"/>
      </w:rPr>
    </w:lvl>
    <w:lvl w:ilvl="2">
      <w:start w:val="0"/>
      <w:numFmt w:val="bullet"/>
      <w:lvlText w:val="•"/>
      <w:lvlJc w:val="left"/>
      <w:pPr>
        <w:ind w:left="3729" w:hanging="602"/>
      </w:pPr>
      <w:rPr>
        <w:rFonts w:hint="default"/>
        <w:lang w:val="zh-CN" w:eastAsia="zh-CN" w:bidi="zh-CN"/>
      </w:rPr>
    </w:lvl>
    <w:lvl w:ilvl="3">
      <w:start w:val="0"/>
      <w:numFmt w:val="bullet"/>
      <w:lvlText w:val="•"/>
      <w:lvlJc w:val="left"/>
      <w:pPr>
        <w:ind w:left="4484" w:hanging="602"/>
      </w:pPr>
      <w:rPr>
        <w:rFonts w:hint="default"/>
        <w:lang w:val="zh-CN" w:eastAsia="zh-CN" w:bidi="zh-CN"/>
      </w:rPr>
    </w:lvl>
    <w:lvl w:ilvl="4">
      <w:start w:val="0"/>
      <w:numFmt w:val="bullet"/>
      <w:lvlText w:val="•"/>
      <w:lvlJc w:val="left"/>
      <w:pPr>
        <w:ind w:left="5239" w:hanging="602"/>
      </w:pPr>
      <w:rPr>
        <w:rFonts w:hint="default"/>
        <w:lang w:val="zh-CN" w:eastAsia="zh-CN" w:bidi="zh-CN"/>
      </w:rPr>
    </w:lvl>
    <w:lvl w:ilvl="5">
      <w:start w:val="0"/>
      <w:numFmt w:val="bullet"/>
      <w:lvlText w:val="•"/>
      <w:lvlJc w:val="left"/>
      <w:pPr>
        <w:ind w:left="5994" w:hanging="602"/>
      </w:pPr>
      <w:rPr>
        <w:rFonts w:hint="default"/>
        <w:lang w:val="zh-CN" w:eastAsia="zh-CN" w:bidi="zh-CN"/>
      </w:rPr>
    </w:lvl>
    <w:lvl w:ilvl="6">
      <w:start w:val="0"/>
      <w:numFmt w:val="bullet"/>
      <w:lvlText w:val="•"/>
      <w:lvlJc w:val="left"/>
      <w:pPr>
        <w:ind w:left="6749" w:hanging="602"/>
      </w:pPr>
      <w:rPr>
        <w:rFonts w:hint="default"/>
        <w:lang w:val="zh-CN" w:eastAsia="zh-CN" w:bidi="zh-CN"/>
      </w:rPr>
    </w:lvl>
    <w:lvl w:ilvl="7">
      <w:start w:val="0"/>
      <w:numFmt w:val="bullet"/>
      <w:lvlText w:val="•"/>
      <w:lvlJc w:val="left"/>
      <w:pPr>
        <w:ind w:left="7504" w:hanging="602"/>
      </w:pPr>
      <w:rPr>
        <w:rFonts w:hint="default"/>
        <w:lang w:val="zh-CN" w:eastAsia="zh-CN" w:bidi="zh-CN"/>
      </w:rPr>
    </w:lvl>
    <w:lvl w:ilvl="8">
      <w:start w:val="0"/>
      <w:numFmt w:val="bullet"/>
      <w:lvlText w:val="•"/>
      <w:lvlJc w:val="left"/>
      <w:pPr>
        <w:ind w:left="8259" w:hanging="602"/>
      </w:pPr>
      <w:rPr>
        <w:rFonts w:hint="default"/>
        <w:lang w:val="zh-CN" w:eastAsia="zh-CN" w:bidi="zh-CN"/>
      </w:rPr>
    </w:lvl>
  </w:abstractNum>
  <w:abstractNum w:abstractNumId="35">
    <w:nsid w:val="58765686"/>
    <w:multiLevelType w:val="multilevel"/>
    <w:tmpl w:val="58765686"/>
    <w:lvl w:ilvl="0">
      <w:start w:val="1"/>
      <w:numFmt w:val="decimal"/>
      <w:lvlText w:val="%1）"/>
      <w:lvlJc w:val="left"/>
      <w:pPr>
        <w:ind w:left="1970"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2758" w:hanging="361"/>
      </w:pPr>
      <w:rPr>
        <w:rFonts w:hint="default"/>
        <w:lang w:val="zh-CN" w:eastAsia="zh-CN" w:bidi="zh-CN"/>
      </w:rPr>
    </w:lvl>
    <w:lvl w:ilvl="2">
      <w:start w:val="0"/>
      <w:numFmt w:val="bullet"/>
      <w:lvlText w:val="•"/>
      <w:lvlJc w:val="left"/>
      <w:pPr>
        <w:ind w:left="3537" w:hanging="361"/>
      </w:pPr>
      <w:rPr>
        <w:rFonts w:hint="default"/>
        <w:lang w:val="zh-CN" w:eastAsia="zh-CN" w:bidi="zh-CN"/>
      </w:rPr>
    </w:lvl>
    <w:lvl w:ilvl="3">
      <w:start w:val="0"/>
      <w:numFmt w:val="bullet"/>
      <w:lvlText w:val="•"/>
      <w:lvlJc w:val="left"/>
      <w:pPr>
        <w:ind w:left="4316" w:hanging="361"/>
      </w:pPr>
      <w:rPr>
        <w:rFonts w:hint="default"/>
        <w:lang w:val="zh-CN" w:eastAsia="zh-CN" w:bidi="zh-CN"/>
      </w:rPr>
    </w:lvl>
    <w:lvl w:ilvl="4">
      <w:start w:val="0"/>
      <w:numFmt w:val="bullet"/>
      <w:lvlText w:val="•"/>
      <w:lvlJc w:val="left"/>
      <w:pPr>
        <w:ind w:left="5095" w:hanging="361"/>
      </w:pPr>
      <w:rPr>
        <w:rFonts w:hint="default"/>
        <w:lang w:val="zh-CN" w:eastAsia="zh-CN" w:bidi="zh-CN"/>
      </w:rPr>
    </w:lvl>
    <w:lvl w:ilvl="5">
      <w:start w:val="0"/>
      <w:numFmt w:val="bullet"/>
      <w:lvlText w:val="•"/>
      <w:lvlJc w:val="left"/>
      <w:pPr>
        <w:ind w:left="5874" w:hanging="361"/>
      </w:pPr>
      <w:rPr>
        <w:rFonts w:hint="default"/>
        <w:lang w:val="zh-CN" w:eastAsia="zh-CN" w:bidi="zh-CN"/>
      </w:rPr>
    </w:lvl>
    <w:lvl w:ilvl="6">
      <w:start w:val="0"/>
      <w:numFmt w:val="bullet"/>
      <w:lvlText w:val="•"/>
      <w:lvlJc w:val="left"/>
      <w:pPr>
        <w:ind w:left="6653" w:hanging="361"/>
      </w:pPr>
      <w:rPr>
        <w:rFonts w:hint="default"/>
        <w:lang w:val="zh-CN" w:eastAsia="zh-CN" w:bidi="zh-CN"/>
      </w:rPr>
    </w:lvl>
    <w:lvl w:ilvl="7">
      <w:start w:val="0"/>
      <w:numFmt w:val="bullet"/>
      <w:lvlText w:val="•"/>
      <w:lvlJc w:val="left"/>
      <w:pPr>
        <w:ind w:left="7432" w:hanging="361"/>
      </w:pPr>
      <w:rPr>
        <w:rFonts w:hint="default"/>
        <w:lang w:val="zh-CN" w:eastAsia="zh-CN" w:bidi="zh-CN"/>
      </w:rPr>
    </w:lvl>
    <w:lvl w:ilvl="8">
      <w:start w:val="0"/>
      <w:numFmt w:val="bullet"/>
      <w:lvlText w:val="•"/>
      <w:lvlJc w:val="left"/>
      <w:pPr>
        <w:ind w:left="8211" w:hanging="361"/>
      </w:pPr>
      <w:rPr>
        <w:rFonts w:hint="default"/>
        <w:lang w:val="zh-CN" w:eastAsia="zh-CN" w:bidi="zh-CN"/>
      </w:rPr>
    </w:lvl>
  </w:abstractNum>
  <w:abstractNum w:abstractNumId="36">
    <w:nsid w:val="59ADCABA"/>
    <w:multiLevelType w:val="multilevel"/>
    <w:tmpl w:val="59ADCABA"/>
    <w:lvl w:ilvl="0">
      <w:start w:val="0"/>
      <w:numFmt w:val="bullet"/>
      <w:lvlText w:val=""/>
      <w:lvlJc w:val="left"/>
      <w:pPr>
        <w:ind w:left="224" w:hanging="216"/>
      </w:pPr>
      <w:rPr>
        <w:rFonts w:ascii="Wingdings" w:eastAsia="Wingdings" w:hAnsi="Wingdings" w:cs="Wingdings" w:hint="default"/>
        <w:spacing w:val="2"/>
        <w:w w:val="100"/>
        <w:sz w:val="22"/>
        <w:szCs w:val="22"/>
        <w:lang w:val="zh-CN" w:eastAsia="zh-CN" w:bidi="zh-CN"/>
      </w:rPr>
    </w:lvl>
    <w:lvl w:ilvl="1">
      <w:start w:val="0"/>
      <w:numFmt w:val="bullet"/>
      <w:lvlText w:val="•"/>
      <w:lvlJc w:val="left"/>
      <w:pPr>
        <w:ind w:left="410" w:hanging="216"/>
      </w:pPr>
      <w:rPr>
        <w:rFonts w:hint="default"/>
        <w:lang w:val="zh-CN" w:eastAsia="zh-CN" w:bidi="zh-CN"/>
      </w:rPr>
    </w:lvl>
    <w:lvl w:ilvl="2">
      <w:start w:val="0"/>
      <w:numFmt w:val="bullet"/>
      <w:lvlText w:val="•"/>
      <w:lvlJc w:val="left"/>
      <w:pPr>
        <w:ind w:left="600" w:hanging="216"/>
      </w:pPr>
      <w:rPr>
        <w:rFonts w:hint="default"/>
        <w:lang w:val="zh-CN" w:eastAsia="zh-CN" w:bidi="zh-CN"/>
      </w:rPr>
    </w:lvl>
    <w:lvl w:ilvl="3">
      <w:start w:val="0"/>
      <w:numFmt w:val="bullet"/>
      <w:lvlText w:val="•"/>
      <w:lvlJc w:val="left"/>
      <w:pPr>
        <w:ind w:left="790" w:hanging="216"/>
      </w:pPr>
      <w:rPr>
        <w:rFonts w:hint="default"/>
        <w:lang w:val="zh-CN" w:eastAsia="zh-CN" w:bidi="zh-CN"/>
      </w:rPr>
    </w:lvl>
    <w:lvl w:ilvl="4">
      <w:start w:val="0"/>
      <w:numFmt w:val="bullet"/>
      <w:lvlText w:val="•"/>
      <w:lvlJc w:val="left"/>
      <w:pPr>
        <w:ind w:left="980" w:hanging="216"/>
      </w:pPr>
      <w:rPr>
        <w:rFonts w:hint="default"/>
        <w:lang w:val="zh-CN" w:eastAsia="zh-CN" w:bidi="zh-CN"/>
      </w:rPr>
    </w:lvl>
    <w:lvl w:ilvl="5">
      <w:start w:val="0"/>
      <w:numFmt w:val="bullet"/>
      <w:lvlText w:val="•"/>
      <w:lvlJc w:val="left"/>
      <w:pPr>
        <w:ind w:left="1171" w:hanging="216"/>
      </w:pPr>
      <w:rPr>
        <w:rFonts w:hint="default"/>
        <w:lang w:val="zh-CN" w:eastAsia="zh-CN" w:bidi="zh-CN"/>
      </w:rPr>
    </w:lvl>
    <w:lvl w:ilvl="6">
      <w:start w:val="0"/>
      <w:numFmt w:val="bullet"/>
      <w:lvlText w:val="•"/>
      <w:lvlJc w:val="left"/>
      <w:pPr>
        <w:ind w:left="1361" w:hanging="216"/>
      </w:pPr>
      <w:rPr>
        <w:rFonts w:hint="default"/>
        <w:lang w:val="zh-CN" w:eastAsia="zh-CN" w:bidi="zh-CN"/>
      </w:rPr>
    </w:lvl>
    <w:lvl w:ilvl="7">
      <w:start w:val="0"/>
      <w:numFmt w:val="bullet"/>
      <w:lvlText w:val="•"/>
      <w:lvlJc w:val="left"/>
      <w:pPr>
        <w:ind w:left="1551" w:hanging="216"/>
      </w:pPr>
      <w:rPr>
        <w:rFonts w:hint="default"/>
        <w:lang w:val="zh-CN" w:eastAsia="zh-CN" w:bidi="zh-CN"/>
      </w:rPr>
    </w:lvl>
    <w:lvl w:ilvl="8">
      <w:start w:val="0"/>
      <w:numFmt w:val="bullet"/>
      <w:lvlText w:val="•"/>
      <w:lvlJc w:val="left"/>
      <w:pPr>
        <w:ind w:left="1741" w:hanging="216"/>
      </w:pPr>
      <w:rPr>
        <w:rFonts w:hint="default"/>
        <w:lang w:val="zh-CN" w:eastAsia="zh-CN" w:bidi="zh-CN"/>
      </w:rPr>
    </w:lvl>
  </w:abstractNum>
  <w:abstractNum w:abstractNumId="37">
    <w:nsid w:val="5A241D34"/>
    <w:multiLevelType w:val="multilevel"/>
    <w:tmpl w:val="5A241D34"/>
    <w:lvl w:ilvl="0">
      <w:start w:val="1"/>
      <w:numFmt w:val="decimal"/>
      <w:lvlText w:val="%1."/>
      <w:lvlJc w:val="left"/>
      <w:pPr>
        <w:ind w:left="273" w:hanging="160"/>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774" w:hanging="160"/>
      </w:pPr>
      <w:rPr>
        <w:rFonts w:hint="default"/>
        <w:lang w:val="zh-CN" w:eastAsia="zh-CN" w:bidi="zh-CN"/>
      </w:rPr>
    </w:lvl>
    <w:lvl w:ilvl="2">
      <w:start w:val="0"/>
      <w:numFmt w:val="bullet"/>
      <w:lvlText w:val="•"/>
      <w:lvlJc w:val="left"/>
      <w:pPr>
        <w:ind w:left="1268" w:hanging="160"/>
      </w:pPr>
      <w:rPr>
        <w:rFonts w:hint="default"/>
        <w:lang w:val="zh-CN" w:eastAsia="zh-CN" w:bidi="zh-CN"/>
      </w:rPr>
    </w:lvl>
    <w:lvl w:ilvl="3">
      <w:start w:val="0"/>
      <w:numFmt w:val="bullet"/>
      <w:lvlText w:val="•"/>
      <w:lvlJc w:val="left"/>
      <w:pPr>
        <w:ind w:left="1763" w:hanging="160"/>
      </w:pPr>
      <w:rPr>
        <w:rFonts w:hint="default"/>
        <w:lang w:val="zh-CN" w:eastAsia="zh-CN" w:bidi="zh-CN"/>
      </w:rPr>
    </w:lvl>
    <w:lvl w:ilvl="4">
      <w:start w:val="0"/>
      <w:numFmt w:val="bullet"/>
      <w:lvlText w:val="•"/>
      <w:lvlJc w:val="left"/>
      <w:pPr>
        <w:ind w:left="2257" w:hanging="160"/>
      </w:pPr>
      <w:rPr>
        <w:rFonts w:hint="default"/>
        <w:lang w:val="zh-CN" w:eastAsia="zh-CN" w:bidi="zh-CN"/>
      </w:rPr>
    </w:lvl>
    <w:lvl w:ilvl="5">
      <w:start w:val="0"/>
      <w:numFmt w:val="bullet"/>
      <w:lvlText w:val="•"/>
      <w:lvlJc w:val="left"/>
      <w:pPr>
        <w:ind w:left="2751" w:hanging="160"/>
      </w:pPr>
      <w:rPr>
        <w:rFonts w:hint="default"/>
        <w:lang w:val="zh-CN" w:eastAsia="zh-CN" w:bidi="zh-CN"/>
      </w:rPr>
    </w:lvl>
    <w:lvl w:ilvl="6">
      <w:start w:val="0"/>
      <w:numFmt w:val="bullet"/>
      <w:lvlText w:val="•"/>
      <w:lvlJc w:val="left"/>
      <w:pPr>
        <w:ind w:left="3246" w:hanging="160"/>
      </w:pPr>
      <w:rPr>
        <w:rFonts w:hint="default"/>
        <w:lang w:val="zh-CN" w:eastAsia="zh-CN" w:bidi="zh-CN"/>
      </w:rPr>
    </w:lvl>
    <w:lvl w:ilvl="7">
      <w:start w:val="0"/>
      <w:numFmt w:val="bullet"/>
      <w:lvlText w:val="•"/>
      <w:lvlJc w:val="left"/>
      <w:pPr>
        <w:ind w:left="3740" w:hanging="160"/>
      </w:pPr>
      <w:rPr>
        <w:rFonts w:hint="default"/>
        <w:lang w:val="zh-CN" w:eastAsia="zh-CN" w:bidi="zh-CN"/>
      </w:rPr>
    </w:lvl>
    <w:lvl w:ilvl="8">
      <w:start w:val="0"/>
      <w:numFmt w:val="bullet"/>
      <w:lvlText w:val="•"/>
      <w:lvlJc w:val="left"/>
      <w:pPr>
        <w:ind w:left="4234" w:hanging="160"/>
      </w:pPr>
      <w:rPr>
        <w:rFonts w:hint="default"/>
        <w:lang w:val="zh-CN" w:eastAsia="zh-CN" w:bidi="zh-CN"/>
      </w:rPr>
    </w:lvl>
  </w:abstractNum>
  <w:abstractNum w:abstractNumId="38">
    <w:nsid w:val="5E29AB5A"/>
    <w:multiLevelType w:val="multilevel"/>
    <w:tmpl w:val="5E29AB5A"/>
    <w:lvl w:ilvl="0">
      <w:start w:val="1"/>
      <w:numFmt w:val="decimal"/>
      <w:lvlText w:val="（%1）"/>
      <w:lvlJc w:val="left"/>
      <w:pPr>
        <w:ind w:left="1064" w:hanging="602"/>
        <w:jc w:val="left"/>
      </w:pPr>
      <w:rPr>
        <w:rFonts w:ascii="宋体" w:eastAsia="宋体" w:hAnsi="宋体" w:cs="宋体" w:hint="default"/>
        <w:spacing w:val="-53"/>
        <w:w w:val="100"/>
        <w:sz w:val="22"/>
        <w:szCs w:val="22"/>
        <w:lang w:val="zh-CN" w:eastAsia="zh-CN" w:bidi="zh-CN"/>
      </w:rPr>
    </w:lvl>
    <w:lvl w:ilvl="1">
      <w:start w:val="0"/>
      <w:numFmt w:val="bullet"/>
      <w:lvlText w:val="•"/>
      <w:lvlJc w:val="left"/>
      <w:pPr>
        <w:ind w:left="1946" w:hanging="602"/>
      </w:pPr>
      <w:rPr>
        <w:rFonts w:hint="default"/>
        <w:lang w:val="zh-CN" w:eastAsia="zh-CN" w:bidi="zh-CN"/>
      </w:rPr>
    </w:lvl>
    <w:lvl w:ilvl="2">
      <w:start w:val="0"/>
      <w:numFmt w:val="bullet"/>
      <w:lvlText w:val="•"/>
      <w:lvlJc w:val="left"/>
      <w:pPr>
        <w:ind w:left="2832" w:hanging="602"/>
      </w:pPr>
      <w:rPr>
        <w:rFonts w:hint="default"/>
        <w:lang w:val="zh-CN" w:eastAsia="zh-CN" w:bidi="zh-CN"/>
      </w:rPr>
    </w:lvl>
    <w:lvl w:ilvl="3">
      <w:start w:val="0"/>
      <w:numFmt w:val="bullet"/>
      <w:lvlText w:val="•"/>
      <w:lvlJc w:val="left"/>
      <w:pPr>
        <w:ind w:left="3719" w:hanging="602"/>
      </w:pPr>
      <w:rPr>
        <w:rFonts w:hint="default"/>
        <w:lang w:val="zh-CN" w:eastAsia="zh-CN" w:bidi="zh-CN"/>
      </w:rPr>
    </w:lvl>
    <w:lvl w:ilvl="4">
      <w:start w:val="0"/>
      <w:numFmt w:val="bullet"/>
      <w:lvlText w:val="•"/>
      <w:lvlJc w:val="left"/>
      <w:pPr>
        <w:ind w:left="4605" w:hanging="602"/>
      </w:pPr>
      <w:rPr>
        <w:rFonts w:hint="default"/>
        <w:lang w:val="zh-CN" w:eastAsia="zh-CN" w:bidi="zh-CN"/>
      </w:rPr>
    </w:lvl>
    <w:lvl w:ilvl="5">
      <w:start w:val="0"/>
      <w:numFmt w:val="bullet"/>
      <w:lvlText w:val="•"/>
      <w:lvlJc w:val="left"/>
      <w:pPr>
        <w:ind w:left="5492" w:hanging="602"/>
      </w:pPr>
      <w:rPr>
        <w:rFonts w:hint="default"/>
        <w:lang w:val="zh-CN" w:eastAsia="zh-CN" w:bidi="zh-CN"/>
      </w:rPr>
    </w:lvl>
    <w:lvl w:ilvl="6">
      <w:start w:val="0"/>
      <w:numFmt w:val="bullet"/>
      <w:lvlText w:val="•"/>
      <w:lvlJc w:val="left"/>
      <w:pPr>
        <w:ind w:left="6378" w:hanging="602"/>
      </w:pPr>
      <w:rPr>
        <w:rFonts w:hint="default"/>
        <w:lang w:val="zh-CN" w:eastAsia="zh-CN" w:bidi="zh-CN"/>
      </w:rPr>
    </w:lvl>
    <w:lvl w:ilvl="7">
      <w:start w:val="0"/>
      <w:numFmt w:val="bullet"/>
      <w:lvlText w:val="•"/>
      <w:lvlJc w:val="left"/>
      <w:pPr>
        <w:ind w:left="7264" w:hanging="602"/>
      </w:pPr>
      <w:rPr>
        <w:rFonts w:hint="default"/>
        <w:lang w:val="zh-CN" w:eastAsia="zh-CN" w:bidi="zh-CN"/>
      </w:rPr>
    </w:lvl>
    <w:lvl w:ilvl="8">
      <w:start w:val="0"/>
      <w:numFmt w:val="bullet"/>
      <w:lvlText w:val="•"/>
      <w:lvlJc w:val="left"/>
      <w:pPr>
        <w:ind w:left="8151" w:hanging="602"/>
      </w:pPr>
      <w:rPr>
        <w:rFonts w:hint="default"/>
        <w:lang w:val="zh-CN" w:eastAsia="zh-CN" w:bidi="zh-CN"/>
      </w:rPr>
    </w:lvl>
  </w:abstractNum>
  <w:abstractNum w:abstractNumId="39">
    <w:nsid w:val="5FD56FA6"/>
    <w:multiLevelType w:val="multilevel"/>
    <w:tmpl w:val="DCBA6B53"/>
    <w:lvl w:ilvl="0">
      <w:start w:val="2"/>
      <w:numFmt w:val="decimal"/>
      <w:lvlText w:val="（%1）"/>
      <w:lvlJc w:val="left"/>
      <w:pPr>
        <w:ind w:left="1191"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1899" w:hanging="602"/>
      </w:pPr>
      <w:rPr>
        <w:rFonts w:hint="default"/>
        <w:lang w:val="zh-CN" w:eastAsia="zh-CN" w:bidi="zh-CN"/>
      </w:rPr>
    </w:lvl>
    <w:lvl w:ilvl="2">
      <w:start w:val="0"/>
      <w:numFmt w:val="bullet"/>
      <w:lvlText w:val="•"/>
      <w:lvlJc w:val="left"/>
      <w:pPr>
        <w:ind w:left="2599" w:hanging="602"/>
      </w:pPr>
      <w:rPr>
        <w:rFonts w:hint="default"/>
        <w:lang w:val="zh-CN" w:eastAsia="zh-CN" w:bidi="zh-CN"/>
      </w:rPr>
    </w:lvl>
    <w:lvl w:ilvl="3">
      <w:start w:val="0"/>
      <w:numFmt w:val="bullet"/>
      <w:lvlText w:val="•"/>
      <w:lvlJc w:val="left"/>
      <w:pPr>
        <w:ind w:left="3298" w:hanging="602"/>
      </w:pPr>
      <w:rPr>
        <w:rFonts w:hint="default"/>
        <w:lang w:val="zh-CN" w:eastAsia="zh-CN" w:bidi="zh-CN"/>
      </w:rPr>
    </w:lvl>
    <w:lvl w:ilvl="4">
      <w:start w:val="0"/>
      <w:numFmt w:val="bullet"/>
      <w:lvlText w:val="•"/>
      <w:lvlJc w:val="left"/>
      <w:pPr>
        <w:ind w:left="3998" w:hanging="602"/>
      </w:pPr>
      <w:rPr>
        <w:rFonts w:hint="default"/>
        <w:lang w:val="zh-CN" w:eastAsia="zh-CN" w:bidi="zh-CN"/>
      </w:rPr>
    </w:lvl>
    <w:lvl w:ilvl="5">
      <w:start w:val="0"/>
      <w:numFmt w:val="bullet"/>
      <w:lvlText w:val="•"/>
      <w:lvlJc w:val="left"/>
      <w:pPr>
        <w:ind w:left="4698" w:hanging="602"/>
      </w:pPr>
      <w:rPr>
        <w:rFonts w:hint="default"/>
        <w:lang w:val="zh-CN" w:eastAsia="zh-CN" w:bidi="zh-CN"/>
      </w:rPr>
    </w:lvl>
    <w:lvl w:ilvl="6">
      <w:start w:val="0"/>
      <w:numFmt w:val="bullet"/>
      <w:lvlText w:val="•"/>
      <w:lvlJc w:val="left"/>
      <w:pPr>
        <w:ind w:left="5397" w:hanging="602"/>
      </w:pPr>
      <w:rPr>
        <w:rFonts w:hint="default"/>
        <w:lang w:val="zh-CN" w:eastAsia="zh-CN" w:bidi="zh-CN"/>
      </w:rPr>
    </w:lvl>
    <w:lvl w:ilvl="7">
      <w:start w:val="0"/>
      <w:numFmt w:val="bullet"/>
      <w:lvlText w:val="•"/>
      <w:lvlJc w:val="left"/>
      <w:pPr>
        <w:ind w:left="6097" w:hanging="602"/>
      </w:pPr>
      <w:rPr>
        <w:rFonts w:hint="default"/>
        <w:lang w:val="zh-CN" w:eastAsia="zh-CN" w:bidi="zh-CN"/>
      </w:rPr>
    </w:lvl>
    <w:lvl w:ilvl="8">
      <w:start w:val="0"/>
      <w:numFmt w:val="bullet"/>
      <w:lvlText w:val="•"/>
      <w:lvlJc w:val="left"/>
      <w:pPr>
        <w:ind w:left="6796" w:hanging="602"/>
      </w:pPr>
      <w:rPr>
        <w:rFonts w:hint="default"/>
        <w:lang w:val="zh-CN" w:eastAsia="zh-CN" w:bidi="zh-CN"/>
      </w:rPr>
    </w:lvl>
  </w:abstractNum>
  <w:abstractNum w:abstractNumId="40">
    <w:nsid w:val="5FFFB1A7"/>
    <w:multiLevelType w:val="multilevel"/>
    <w:tmpl w:val="5FFFB1A7"/>
    <w:lvl w:ilvl="0">
      <w:start w:val="1"/>
      <w:numFmt w:val="decimal"/>
      <w:lvlText w:val="%1."/>
      <w:lvlJc w:val="left"/>
      <w:pPr>
        <w:ind w:left="114" w:hanging="193"/>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473" w:hanging="193"/>
      </w:pPr>
      <w:rPr>
        <w:rFonts w:hint="default"/>
        <w:lang w:val="zh-CN" w:eastAsia="zh-CN" w:bidi="zh-CN"/>
      </w:rPr>
    </w:lvl>
    <w:lvl w:ilvl="2">
      <w:start w:val="0"/>
      <w:numFmt w:val="bullet"/>
      <w:lvlText w:val="•"/>
      <w:lvlJc w:val="left"/>
      <w:pPr>
        <w:ind w:left="826" w:hanging="193"/>
      </w:pPr>
      <w:rPr>
        <w:rFonts w:hint="default"/>
        <w:lang w:val="zh-CN" w:eastAsia="zh-CN" w:bidi="zh-CN"/>
      </w:rPr>
    </w:lvl>
    <w:lvl w:ilvl="3">
      <w:start w:val="0"/>
      <w:numFmt w:val="bullet"/>
      <w:lvlText w:val="•"/>
      <w:lvlJc w:val="left"/>
      <w:pPr>
        <w:ind w:left="1180" w:hanging="193"/>
      </w:pPr>
      <w:rPr>
        <w:rFonts w:hint="default"/>
        <w:lang w:val="zh-CN" w:eastAsia="zh-CN" w:bidi="zh-CN"/>
      </w:rPr>
    </w:lvl>
    <w:lvl w:ilvl="4">
      <w:start w:val="0"/>
      <w:numFmt w:val="bullet"/>
      <w:lvlText w:val="•"/>
      <w:lvlJc w:val="left"/>
      <w:pPr>
        <w:ind w:left="1533" w:hanging="193"/>
      </w:pPr>
      <w:rPr>
        <w:rFonts w:hint="default"/>
        <w:lang w:val="zh-CN" w:eastAsia="zh-CN" w:bidi="zh-CN"/>
      </w:rPr>
    </w:lvl>
    <w:lvl w:ilvl="5">
      <w:start w:val="0"/>
      <w:numFmt w:val="bullet"/>
      <w:lvlText w:val="•"/>
      <w:lvlJc w:val="left"/>
      <w:pPr>
        <w:ind w:left="1887" w:hanging="193"/>
      </w:pPr>
      <w:rPr>
        <w:rFonts w:hint="default"/>
        <w:lang w:val="zh-CN" w:eastAsia="zh-CN" w:bidi="zh-CN"/>
      </w:rPr>
    </w:lvl>
    <w:lvl w:ilvl="6">
      <w:start w:val="0"/>
      <w:numFmt w:val="bullet"/>
      <w:lvlText w:val="•"/>
      <w:lvlJc w:val="left"/>
      <w:pPr>
        <w:ind w:left="2240" w:hanging="193"/>
      </w:pPr>
      <w:rPr>
        <w:rFonts w:hint="default"/>
        <w:lang w:val="zh-CN" w:eastAsia="zh-CN" w:bidi="zh-CN"/>
      </w:rPr>
    </w:lvl>
    <w:lvl w:ilvl="7">
      <w:start w:val="0"/>
      <w:numFmt w:val="bullet"/>
      <w:lvlText w:val="•"/>
      <w:lvlJc w:val="left"/>
      <w:pPr>
        <w:ind w:left="2593" w:hanging="193"/>
      </w:pPr>
      <w:rPr>
        <w:rFonts w:hint="default"/>
        <w:lang w:val="zh-CN" w:eastAsia="zh-CN" w:bidi="zh-CN"/>
      </w:rPr>
    </w:lvl>
    <w:lvl w:ilvl="8">
      <w:start w:val="0"/>
      <w:numFmt w:val="bullet"/>
      <w:lvlText w:val="•"/>
      <w:lvlJc w:val="left"/>
      <w:pPr>
        <w:ind w:left="2947" w:hanging="193"/>
      </w:pPr>
      <w:rPr>
        <w:rFonts w:hint="default"/>
        <w:lang w:val="zh-CN" w:eastAsia="zh-CN" w:bidi="zh-CN"/>
      </w:rPr>
    </w:lvl>
  </w:abstractNum>
  <w:abstractNum w:abstractNumId="41">
    <w:nsid w:val="60382F6E"/>
    <w:multiLevelType w:val="multilevel"/>
    <w:tmpl w:val="60382F6E"/>
    <w:lvl w:ilvl="0">
      <w:start w:val="1"/>
      <w:numFmt w:val="upperLetter"/>
      <w:lvlText w:val="%1."/>
      <w:lvlJc w:val="left"/>
      <w:pPr>
        <w:ind w:left="2078" w:hanging="231"/>
        <w:jc w:val="left"/>
      </w:pPr>
      <w:rPr>
        <w:rFonts w:ascii="Times New Roman" w:eastAsia="Times New Roman" w:hAnsi="Times New Roman" w:cs="Times New Roman" w:hint="default"/>
        <w:spacing w:val="-6"/>
        <w:w w:val="99"/>
        <w:sz w:val="22"/>
        <w:szCs w:val="22"/>
        <w:lang w:val="zh-CN" w:eastAsia="zh-CN" w:bidi="zh-CN"/>
      </w:rPr>
    </w:lvl>
    <w:lvl w:ilvl="1">
      <w:start w:val="0"/>
      <w:numFmt w:val="bullet"/>
      <w:lvlText w:val="•"/>
      <w:lvlJc w:val="left"/>
      <w:pPr>
        <w:ind w:left="2882" w:hanging="231"/>
      </w:pPr>
      <w:rPr>
        <w:rFonts w:hint="default"/>
        <w:lang w:val="zh-CN" w:eastAsia="zh-CN" w:bidi="zh-CN"/>
      </w:rPr>
    </w:lvl>
    <w:lvl w:ilvl="2">
      <w:start w:val="0"/>
      <w:numFmt w:val="bullet"/>
      <w:lvlText w:val="•"/>
      <w:lvlJc w:val="left"/>
      <w:pPr>
        <w:ind w:left="3684" w:hanging="231"/>
      </w:pPr>
      <w:rPr>
        <w:rFonts w:hint="default"/>
        <w:lang w:val="zh-CN" w:eastAsia="zh-CN" w:bidi="zh-CN"/>
      </w:rPr>
    </w:lvl>
    <w:lvl w:ilvl="3">
      <w:start w:val="0"/>
      <w:numFmt w:val="bullet"/>
      <w:lvlText w:val="•"/>
      <w:lvlJc w:val="left"/>
      <w:pPr>
        <w:ind w:left="4487" w:hanging="231"/>
      </w:pPr>
      <w:rPr>
        <w:rFonts w:hint="default"/>
        <w:lang w:val="zh-CN" w:eastAsia="zh-CN" w:bidi="zh-CN"/>
      </w:rPr>
    </w:lvl>
    <w:lvl w:ilvl="4">
      <w:start w:val="0"/>
      <w:numFmt w:val="bullet"/>
      <w:lvlText w:val="•"/>
      <w:lvlJc w:val="left"/>
      <w:pPr>
        <w:ind w:left="5289" w:hanging="231"/>
      </w:pPr>
      <w:rPr>
        <w:rFonts w:hint="default"/>
        <w:lang w:val="zh-CN" w:eastAsia="zh-CN" w:bidi="zh-CN"/>
      </w:rPr>
    </w:lvl>
    <w:lvl w:ilvl="5">
      <w:start w:val="0"/>
      <w:numFmt w:val="bullet"/>
      <w:lvlText w:val="•"/>
      <w:lvlJc w:val="left"/>
      <w:pPr>
        <w:ind w:left="6092" w:hanging="231"/>
      </w:pPr>
      <w:rPr>
        <w:rFonts w:hint="default"/>
        <w:lang w:val="zh-CN" w:eastAsia="zh-CN" w:bidi="zh-CN"/>
      </w:rPr>
    </w:lvl>
    <w:lvl w:ilvl="6">
      <w:start w:val="0"/>
      <w:numFmt w:val="bullet"/>
      <w:lvlText w:val="•"/>
      <w:lvlJc w:val="left"/>
      <w:pPr>
        <w:ind w:left="6894" w:hanging="231"/>
      </w:pPr>
      <w:rPr>
        <w:rFonts w:hint="default"/>
        <w:lang w:val="zh-CN" w:eastAsia="zh-CN" w:bidi="zh-CN"/>
      </w:rPr>
    </w:lvl>
    <w:lvl w:ilvl="7">
      <w:start w:val="0"/>
      <w:numFmt w:val="bullet"/>
      <w:lvlText w:val="•"/>
      <w:lvlJc w:val="left"/>
      <w:pPr>
        <w:ind w:left="7696" w:hanging="231"/>
      </w:pPr>
      <w:rPr>
        <w:rFonts w:hint="default"/>
        <w:lang w:val="zh-CN" w:eastAsia="zh-CN" w:bidi="zh-CN"/>
      </w:rPr>
    </w:lvl>
    <w:lvl w:ilvl="8">
      <w:start w:val="0"/>
      <w:numFmt w:val="bullet"/>
      <w:lvlText w:val="•"/>
      <w:lvlJc w:val="left"/>
      <w:pPr>
        <w:ind w:left="8499" w:hanging="231"/>
      </w:pPr>
      <w:rPr>
        <w:rFonts w:hint="default"/>
        <w:lang w:val="zh-CN" w:eastAsia="zh-CN" w:bidi="zh-CN"/>
      </w:rPr>
    </w:lvl>
  </w:abstractNum>
  <w:abstractNum w:abstractNumId="42">
    <w:nsid w:val="629F7852"/>
    <w:multiLevelType w:val="multilevel"/>
    <w:tmpl w:val="629F7852"/>
    <w:lvl w:ilvl="0">
      <w:start w:val="3"/>
      <w:numFmt w:val="decimal"/>
      <w:lvlText w:val="%1）"/>
      <w:lvlJc w:val="left"/>
      <w:pPr>
        <w:ind w:left="956" w:hanging="361"/>
        <w:jc w:val="left"/>
      </w:pPr>
      <w:rPr>
        <w:rFonts w:ascii="Times New Roman" w:eastAsia="Times New Roman" w:hAnsi="Times New Roman" w:cs="Times New Roman" w:hint="default"/>
        <w:w w:val="100"/>
        <w:sz w:val="22"/>
        <w:szCs w:val="22"/>
        <w:lang w:val="zh-CN" w:eastAsia="zh-CN" w:bidi="zh-CN"/>
      </w:rPr>
    </w:lvl>
    <w:lvl w:ilvl="1">
      <w:start w:val="0"/>
      <w:numFmt w:val="bullet"/>
      <w:lvlText w:val="•"/>
      <w:lvlJc w:val="left"/>
      <w:pPr>
        <w:ind w:left="1690" w:hanging="361"/>
      </w:pPr>
      <w:rPr>
        <w:rFonts w:hint="default"/>
        <w:lang w:val="zh-CN" w:eastAsia="zh-CN" w:bidi="zh-CN"/>
      </w:rPr>
    </w:lvl>
    <w:lvl w:ilvl="2">
      <w:start w:val="0"/>
      <w:numFmt w:val="bullet"/>
      <w:lvlText w:val="•"/>
      <w:lvlJc w:val="left"/>
      <w:pPr>
        <w:ind w:left="2420" w:hanging="361"/>
      </w:pPr>
      <w:rPr>
        <w:rFonts w:hint="default"/>
        <w:lang w:val="zh-CN" w:eastAsia="zh-CN" w:bidi="zh-CN"/>
      </w:rPr>
    </w:lvl>
    <w:lvl w:ilvl="3">
      <w:start w:val="0"/>
      <w:numFmt w:val="bullet"/>
      <w:lvlText w:val="•"/>
      <w:lvlJc w:val="left"/>
      <w:pPr>
        <w:ind w:left="3150" w:hanging="361"/>
      </w:pPr>
      <w:rPr>
        <w:rFonts w:hint="default"/>
        <w:lang w:val="zh-CN" w:eastAsia="zh-CN" w:bidi="zh-CN"/>
      </w:rPr>
    </w:lvl>
    <w:lvl w:ilvl="4">
      <w:start w:val="0"/>
      <w:numFmt w:val="bullet"/>
      <w:lvlText w:val="•"/>
      <w:lvlJc w:val="left"/>
      <w:pPr>
        <w:ind w:left="3880" w:hanging="361"/>
      </w:pPr>
      <w:rPr>
        <w:rFonts w:hint="default"/>
        <w:lang w:val="zh-CN" w:eastAsia="zh-CN" w:bidi="zh-CN"/>
      </w:rPr>
    </w:lvl>
    <w:lvl w:ilvl="5">
      <w:start w:val="0"/>
      <w:numFmt w:val="bullet"/>
      <w:lvlText w:val="•"/>
      <w:lvlJc w:val="left"/>
      <w:pPr>
        <w:ind w:left="4611" w:hanging="361"/>
      </w:pPr>
      <w:rPr>
        <w:rFonts w:hint="default"/>
        <w:lang w:val="zh-CN" w:eastAsia="zh-CN" w:bidi="zh-CN"/>
      </w:rPr>
    </w:lvl>
    <w:lvl w:ilvl="6">
      <w:start w:val="0"/>
      <w:numFmt w:val="bullet"/>
      <w:lvlText w:val="•"/>
      <w:lvlJc w:val="left"/>
      <w:pPr>
        <w:ind w:left="5341" w:hanging="361"/>
      </w:pPr>
      <w:rPr>
        <w:rFonts w:hint="default"/>
        <w:lang w:val="zh-CN" w:eastAsia="zh-CN" w:bidi="zh-CN"/>
      </w:rPr>
    </w:lvl>
    <w:lvl w:ilvl="7">
      <w:start w:val="0"/>
      <w:numFmt w:val="bullet"/>
      <w:lvlText w:val="•"/>
      <w:lvlJc w:val="left"/>
      <w:pPr>
        <w:ind w:left="6071" w:hanging="361"/>
      </w:pPr>
      <w:rPr>
        <w:rFonts w:hint="default"/>
        <w:lang w:val="zh-CN" w:eastAsia="zh-CN" w:bidi="zh-CN"/>
      </w:rPr>
    </w:lvl>
    <w:lvl w:ilvl="8">
      <w:start w:val="0"/>
      <w:numFmt w:val="bullet"/>
      <w:lvlText w:val="•"/>
      <w:lvlJc w:val="left"/>
      <w:pPr>
        <w:ind w:left="6801" w:hanging="361"/>
      </w:pPr>
      <w:rPr>
        <w:rFonts w:hint="default"/>
        <w:lang w:val="zh-CN" w:eastAsia="zh-CN" w:bidi="zh-CN"/>
      </w:rPr>
    </w:lvl>
  </w:abstractNum>
  <w:abstractNum w:abstractNumId="43">
    <w:nsid w:val="72183CF9"/>
    <w:multiLevelType w:val="multilevel"/>
    <w:tmpl w:val="72183CF9"/>
    <w:lvl w:ilvl="0">
      <w:start w:val="1"/>
      <w:numFmt w:val="decimal"/>
      <w:lvlText w:val="%1."/>
      <w:lvlJc w:val="left"/>
      <w:pPr>
        <w:ind w:left="290" w:hanging="160"/>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603" w:hanging="160"/>
      </w:pPr>
      <w:rPr>
        <w:rFonts w:hint="default"/>
        <w:lang w:val="zh-CN" w:eastAsia="zh-CN" w:bidi="zh-CN"/>
      </w:rPr>
    </w:lvl>
    <w:lvl w:ilvl="2">
      <w:start w:val="0"/>
      <w:numFmt w:val="bullet"/>
      <w:lvlText w:val="•"/>
      <w:lvlJc w:val="left"/>
      <w:pPr>
        <w:ind w:left="907" w:hanging="160"/>
      </w:pPr>
      <w:rPr>
        <w:rFonts w:hint="default"/>
        <w:lang w:val="zh-CN" w:eastAsia="zh-CN" w:bidi="zh-CN"/>
      </w:rPr>
    </w:lvl>
    <w:lvl w:ilvl="3">
      <w:start w:val="0"/>
      <w:numFmt w:val="bullet"/>
      <w:lvlText w:val="•"/>
      <w:lvlJc w:val="left"/>
      <w:pPr>
        <w:ind w:left="1210" w:hanging="160"/>
      </w:pPr>
      <w:rPr>
        <w:rFonts w:hint="default"/>
        <w:lang w:val="zh-CN" w:eastAsia="zh-CN" w:bidi="zh-CN"/>
      </w:rPr>
    </w:lvl>
    <w:lvl w:ilvl="4">
      <w:start w:val="0"/>
      <w:numFmt w:val="bullet"/>
      <w:lvlText w:val="•"/>
      <w:lvlJc w:val="left"/>
      <w:pPr>
        <w:ind w:left="1514" w:hanging="160"/>
      </w:pPr>
      <w:rPr>
        <w:rFonts w:hint="default"/>
        <w:lang w:val="zh-CN" w:eastAsia="zh-CN" w:bidi="zh-CN"/>
      </w:rPr>
    </w:lvl>
    <w:lvl w:ilvl="5">
      <w:start w:val="0"/>
      <w:numFmt w:val="bullet"/>
      <w:lvlText w:val="•"/>
      <w:lvlJc w:val="left"/>
      <w:pPr>
        <w:ind w:left="1818" w:hanging="160"/>
      </w:pPr>
      <w:rPr>
        <w:rFonts w:hint="default"/>
        <w:lang w:val="zh-CN" w:eastAsia="zh-CN" w:bidi="zh-CN"/>
      </w:rPr>
    </w:lvl>
    <w:lvl w:ilvl="6">
      <w:start w:val="0"/>
      <w:numFmt w:val="bullet"/>
      <w:lvlText w:val="•"/>
      <w:lvlJc w:val="left"/>
      <w:pPr>
        <w:ind w:left="2121" w:hanging="160"/>
      </w:pPr>
      <w:rPr>
        <w:rFonts w:hint="default"/>
        <w:lang w:val="zh-CN" w:eastAsia="zh-CN" w:bidi="zh-CN"/>
      </w:rPr>
    </w:lvl>
    <w:lvl w:ilvl="7">
      <w:start w:val="0"/>
      <w:numFmt w:val="bullet"/>
      <w:lvlText w:val="•"/>
      <w:lvlJc w:val="left"/>
      <w:pPr>
        <w:ind w:left="2425" w:hanging="160"/>
      </w:pPr>
      <w:rPr>
        <w:rFonts w:hint="default"/>
        <w:lang w:val="zh-CN" w:eastAsia="zh-CN" w:bidi="zh-CN"/>
      </w:rPr>
    </w:lvl>
    <w:lvl w:ilvl="8">
      <w:start w:val="0"/>
      <w:numFmt w:val="bullet"/>
      <w:lvlText w:val="•"/>
      <w:lvlJc w:val="left"/>
      <w:pPr>
        <w:ind w:left="2729" w:hanging="160"/>
      </w:pPr>
      <w:rPr>
        <w:rFonts w:hint="default"/>
        <w:lang w:val="zh-CN" w:eastAsia="zh-CN" w:bidi="zh-CN"/>
      </w:rPr>
    </w:lvl>
  </w:abstractNum>
  <w:abstractNum w:abstractNumId="44">
    <w:nsid w:val="74C28B35"/>
    <w:multiLevelType w:val="multilevel"/>
    <w:tmpl w:val="74C28B35"/>
    <w:lvl w:ilvl="0">
      <w:start w:val="1"/>
      <w:numFmt w:val="decimal"/>
      <w:lvlText w:val="（%1）"/>
      <w:lvlJc w:val="left"/>
      <w:pPr>
        <w:ind w:left="1118" w:hanging="602"/>
        <w:jc w:val="right"/>
      </w:pPr>
      <w:rPr>
        <w:rFonts w:ascii="宋体" w:eastAsia="宋体" w:hAnsi="宋体" w:cs="宋体" w:hint="default"/>
        <w:spacing w:val="-82"/>
        <w:w w:val="100"/>
        <w:sz w:val="22"/>
        <w:szCs w:val="22"/>
        <w:lang w:val="zh-CN" w:eastAsia="zh-CN" w:bidi="zh-CN"/>
      </w:rPr>
    </w:lvl>
    <w:lvl w:ilvl="1">
      <w:start w:val="0"/>
      <w:numFmt w:val="bullet"/>
      <w:lvlText w:val="•"/>
      <w:lvlJc w:val="left"/>
      <w:pPr>
        <w:ind w:left="1373" w:hanging="602"/>
      </w:pPr>
      <w:rPr>
        <w:rFonts w:hint="default"/>
        <w:lang w:val="zh-CN" w:eastAsia="zh-CN" w:bidi="zh-CN"/>
      </w:rPr>
    </w:lvl>
    <w:lvl w:ilvl="2">
      <w:start w:val="0"/>
      <w:numFmt w:val="bullet"/>
      <w:lvlText w:val="•"/>
      <w:lvlJc w:val="left"/>
      <w:pPr>
        <w:ind w:left="1626" w:hanging="602"/>
      </w:pPr>
      <w:rPr>
        <w:rFonts w:hint="default"/>
        <w:lang w:val="zh-CN" w:eastAsia="zh-CN" w:bidi="zh-CN"/>
      </w:rPr>
    </w:lvl>
    <w:lvl w:ilvl="3">
      <w:start w:val="0"/>
      <w:numFmt w:val="bullet"/>
      <w:lvlText w:val="•"/>
      <w:lvlJc w:val="left"/>
      <w:pPr>
        <w:ind w:left="1880" w:hanging="602"/>
      </w:pPr>
      <w:rPr>
        <w:rFonts w:hint="default"/>
        <w:lang w:val="zh-CN" w:eastAsia="zh-CN" w:bidi="zh-CN"/>
      </w:rPr>
    </w:lvl>
    <w:lvl w:ilvl="4">
      <w:start w:val="0"/>
      <w:numFmt w:val="bullet"/>
      <w:lvlText w:val="•"/>
      <w:lvlJc w:val="left"/>
      <w:pPr>
        <w:ind w:left="2133" w:hanging="602"/>
      </w:pPr>
      <w:rPr>
        <w:rFonts w:hint="default"/>
        <w:lang w:val="zh-CN" w:eastAsia="zh-CN" w:bidi="zh-CN"/>
      </w:rPr>
    </w:lvl>
    <w:lvl w:ilvl="5">
      <w:start w:val="0"/>
      <w:numFmt w:val="bullet"/>
      <w:lvlText w:val="•"/>
      <w:lvlJc w:val="left"/>
      <w:pPr>
        <w:ind w:left="2387" w:hanging="602"/>
      </w:pPr>
      <w:rPr>
        <w:rFonts w:hint="default"/>
        <w:lang w:val="zh-CN" w:eastAsia="zh-CN" w:bidi="zh-CN"/>
      </w:rPr>
    </w:lvl>
    <w:lvl w:ilvl="6">
      <w:start w:val="0"/>
      <w:numFmt w:val="bullet"/>
      <w:lvlText w:val="•"/>
      <w:lvlJc w:val="left"/>
      <w:pPr>
        <w:ind w:left="2640" w:hanging="602"/>
      </w:pPr>
      <w:rPr>
        <w:rFonts w:hint="default"/>
        <w:lang w:val="zh-CN" w:eastAsia="zh-CN" w:bidi="zh-CN"/>
      </w:rPr>
    </w:lvl>
    <w:lvl w:ilvl="7">
      <w:start w:val="0"/>
      <w:numFmt w:val="bullet"/>
      <w:lvlText w:val="•"/>
      <w:lvlJc w:val="left"/>
      <w:pPr>
        <w:ind w:left="2893" w:hanging="602"/>
      </w:pPr>
      <w:rPr>
        <w:rFonts w:hint="default"/>
        <w:lang w:val="zh-CN" w:eastAsia="zh-CN" w:bidi="zh-CN"/>
      </w:rPr>
    </w:lvl>
    <w:lvl w:ilvl="8">
      <w:start w:val="0"/>
      <w:numFmt w:val="bullet"/>
      <w:lvlText w:val="•"/>
      <w:lvlJc w:val="left"/>
      <w:pPr>
        <w:ind w:left="3147" w:hanging="602"/>
      </w:pPr>
      <w:rPr>
        <w:rFonts w:hint="default"/>
        <w:lang w:val="zh-CN" w:eastAsia="zh-CN" w:bidi="zh-CN"/>
      </w:rPr>
    </w:lvl>
  </w:abstractNum>
  <w:abstractNum w:abstractNumId="45">
    <w:nsid w:val="77ECEA79"/>
    <w:multiLevelType w:val="multilevel"/>
    <w:tmpl w:val="77ECEA79"/>
    <w:lvl w:ilvl="0">
      <w:start w:val="1"/>
      <w:numFmt w:val="decimal"/>
      <w:lvlText w:val="%1"/>
      <w:lvlJc w:val="left"/>
      <w:pPr>
        <w:ind w:left="3259" w:hanging="2127"/>
        <w:jc w:val="left"/>
      </w:pPr>
      <w:rPr>
        <w:rFonts w:ascii="Times New Roman" w:eastAsia="Times New Roman" w:hAnsi="Times New Roman" w:cs="Times New Roman" w:hint="default"/>
        <w:w w:val="100"/>
        <w:sz w:val="21"/>
        <w:szCs w:val="21"/>
        <w:lang w:val="zh-CN" w:eastAsia="zh-CN" w:bidi="zh-CN"/>
      </w:rPr>
    </w:lvl>
    <w:lvl w:ilvl="1">
      <w:start w:val="0"/>
      <w:numFmt w:val="bullet"/>
      <w:lvlText w:val="•"/>
      <w:lvlJc w:val="left"/>
      <w:pPr>
        <w:ind w:left="3808" w:hanging="2127"/>
      </w:pPr>
      <w:rPr>
        <w:rFonts w:hint="default"/>
        <w:lang w:val="zh-CN" w:eastAsia="zh-CN" w:bidi="zh-CN"/>
      </w:rPr>
    </w:lvl>
    <w:lvl w:ilvl="2">
      <w:start w:val="0"/>
      <w:numFmt w:val="bullet"/>
      <w:lvlText w:val="•"/>
      <w:lvlJc w:val="left"/>
      <w:pPr>
        <w:ind w:left="4356" w:hanging="2127"/>
      </w:pPr>
      <w:rPr>
        <w:rFonts w:hint="default"/>
        <w:lang w:val="zh-CN" w:eastAsia="zh-CN" w:bidi="zh-CN"/>
      </w:rPr>
    </w:lvl>
    <w:lvl w:ilvl="3">
      <w:start w:val="0"/>
      <w:numFmt w:val="bullet"/>
      <w:lvlText w:val="•"/>
      <w:lvlJc w:val="left"/>
      <w:pPr>
        <w:ind w:left="4904" w:hanging="2127"/>
      </w:pPr>
      <w:rPr>
        <w:rFonts w:hint="default"/>
        <w:lang w:val="zh-CN" w:eastAsia="zh-CN" w:bidi="zh-CN"/>
      </w:rPr>
    </w:lvl>
    <w:lvl w:ilvl="4">
      <w:start w:val="0"/>
      <w:numFmt w:val="bullet"/>
      <w:lvlText w:val="•"/>
      <w:lvlJc w:val="left"/>
      <w:pPr>
        <w:ind w:left="5452" w:hanging="2127"/>
      </w:pPr>
      <w:rPr>
        <w:rFonts w:hint="default"/>
        <w:lang w:val="zh-CN" w:eastAsia="zh-CN" w:bidi="zh-CN"/>
      </w:rPr>
    </w:lvl>
    <w:lvl w:ilvl="5">
      <w:start w:val="0"/>
      <w:numFmt w:val="bullet"/>
      <w:lvlText w:val="•"/>
      <w:lvlJc w:val="left"/>
      <w:pPr>
        <w:ind w:left="6000" w:hanging="2127"/>
      </w:pPr>
      <w:rPr>
        <w:rFonts w:hint="default"/>
        <w:lang w:val="zh-CN" w:eastAsia="zh-CN" w:bidi="zh-CN"/>
      </w:rPr>
    </w:lvl>
    <w:lvl w:ilvl="6">
      <w:start w:val="0"/>
      <w:numFmt w:val="bullet"/>
      <w:lvlText w:val="•"/>
      <w:lvlJc w:val="left"/>
      <w:pPr>
        <w:ind w:left="6548" w:hanging="2127"/>
      </w:pPr>
      <w:rPr>
        <w:rFonts w:hint="default"/>
        <w:lang w:val="zh-CN" w:eastAsia="zh-CN" w:bidi="zh-CN"/>
      </w:rPr>
    </w:lvl>
    <w:lvl w:ilvl="7">
      <w:start w:val="0"/>
      <w:numFmt w:val="bullet"/>
      <w:lvlText w:val="•"/>
      <w:lvlJc w:val="left"/>
      <w:pPr>
        <w:ind w:left="7096" w:hanging="2127"/>
      </w:pPr>
      <w:rPr>
        <w:rFonts w:hint="default"/>
        <w:lang w:val="zh-CN" w:eastAsia="zh-CN" w:bidi="zh-CN"/>
      </w:rPr>
    </w:lvl>
    <w:lvl w:ilvl="8">
      <w:start w:val="0"/>
      <w:numFmt w:val="bullet"/>
      <w:lvlText w:val="•"/>
      <w:lvlJc w:val="left"/>
      <w:pPr>
        <w:ind w:left="7644" w:hanging="2127"/>
      </w:pPr>
      <w:rPr>
        <w:rFonts w:hint="default"/>
        <w:lang w:val="zh-CN" w:eastAsia="zh-CN" w:bidi="zh-CN"/>
      </w:rPr>
    </w:lvl>
  </w:abstractNum>
  <w:abstractNum w:abstractNumId="46">
    <w:nsid w:val="79AA4FA4"/>
    <w:multiLevelType w:val="multilevel"/>
    <w:tmpl w:val="79AA4FA4"/>
    <w:lvl w:ilvl="0">
      <w:start w:val="1"/>
      <w:numFmt w:val="decimal"/>
      <w:lvlText w:val="（%1）"/>
      <w:lvlJc w:val="left"/>
      <w:pPr>
        <w:ind w:left="2145"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18" w:hanging="602"/>
      </w:pPr>
      <w:rPr>
        <w:rFonts w:hint="default"/>
        <w:lang w:val="zh-CN" w:eastAsia="zh-CN" w:bidi="zh-CN"/>
      </w:rPr>
    </w:lvl>
    <w:lvl w:ilvl="2">
      <w:start w:val="0"/>
      <w:numFmt w:val="bullet"/>
      <w:lvlText w:val="•"/>
      <w:lvlJc w:val="left"/>
      <w:pPr>
        <w:ind w:left="3696" w:hanging="602"/>
      </w:pPr>
      <w:rPr>
        <w:rFonts w:hint="default"/>
        <w:lang w:val="zh-CN" w:eastAsia="zh-CN" w:bidi="zh-CN"/>
      </w:rPr>
    </w:lvl>
    <w:lvl w:ilvl="3">
      <w:start w:val="0"/>
      <w:numFmt w:val="bullet"/>
      <w:lvlText w:val="•"/>
      <w:lvlJc w:val="left"/>
      <w:pPr>
        <w:ind w:left="4475" w:hanging="602"/>
      </w:pPr>
      <w:rPr>
        <w:rFonts w:hint="default"/>
        <w:lang w:val="zh-CN" w:eastAsia="zh-CN" w:bidi="zh-CN"/>
      </w:rPr>
    </w:lvl>
    <w:lvl w:ilvl="4">
      <w:start w:val="0"/>
      <w:numFmt w:val="bullet"/>
      <w:lvlText w:val="•"/>
      <w:lvlJc w:val="left"/>
      <w:pPr>
        <w:ind w:left="5253" w:hanging="602"/>
      </w:pPr>
      <w:rPr>
        <w:rFonts w:hint="default"/>
        <w:lang w:val="zh-CN" w:eastAsia="zh-CN" w:bidi="zh-CN"/>
      </w:rPr>
    </w:lvl>
    <w:lvl w:ilvl="5">
      <w:start w:val="0"/>
      <w:numFmt w:val="bullet"/>
      <w:lvlText w:val="•"/>
      <w:lvlJc w:val="left"/>
      <w:pPr>
        <w:ind w:left="6032" w:hanging="602"/>
      </w:pPr>
      <w:rPr>
        <w:rFonts w:hint="default"/>
        <w:lang w:val="zh-CN" w:eastAsia="zh-CN" w:bidi="zh-CN"/>
      </w:rPr>
    </w:lvl>
    <w:lvl w:ilvl="6">
      <w:start w:val="0"/>
      <w:numFmt w:val="bullet"/>
      <w:lvlText w:val="•"/>
      <w:lvlJc w:val="left"/>
      <w:pPr>
        <w:ind w:left="6810" w:hanging="602"/>
      </w:pPr>
      <w:rPr>
        <w:rFonts w:hint="default"/>
        <w:lang w:val="zh-CN" w:eastAsia="zh-CN" w:bidi="zh-CN"/>
      </w:rPr>
    </w:lvl>
    <w:lvl w:ilvl="7">
      <w:start w:val="0"/>
      <w:numFmt w:val="bullet"/>
      <w:lvlText w:val="•"/>
      <w:lvlJc w:val="left"/>
      <w:pPr>
        <w:ind w:left="7588" w:hanging="602"/>
      </w:pPr>
      <w:rPr>
        <w:rFonts w:hint="default"/>
        <w:lang w:val="zh-CN" w:eastAsia="zh-CN" w:bidi="zh-CN"/>
      </w:rPr>
    </w:lvl>
    <w:lvl w:ilvl="8">
      <w:start w:val="0"/>
      <w:numFmt w:val="bullet"/>
      <w:lvlText w:val="•"/>
      <w:lvlJc w:val="left"/>
      <w:pPr>
        <w:ind w:left="8367" w:hanging="602"/>
      </w:pPr>
      <w:rPr>
        <w:rFonts w:hint="default"/>
        <w:lang w:val="zh-CN" w:eastAsia="zh-CN" w:bidi="zh-CN"/>
      </w:rPr>
    </w:lvl>
  </w:abstractNum>
  <w:abstractNum w:abstractNumId="47">
    <w:nsid w:val="7C246926"/>
    <w:multiLevelType w:val="multilevel"/>
    <w:tmpl w:val="7C246926"/>
    <w:lvl w:ilvl="0">
      <w:start w:val="1"/>
      <w:numFmt w:val="decimal"/>
      <w:lvlText w:val="%1"/>
      <w:lvlJc w:val="left"/>
      <w:pPr>
        <w:ind w:left="3259" w:hanging="2127"/>
        <w:jc w:val="left"/>
      </w:pPr>
      <w:rPr>
        <w:rFonts w:ascii="Times New Roman" w:eastAsia="Times New Roman" w:hAnsi="Times New Roman" w:cs="Times New Roman" w:hint="default"/>
        <w:w w:val="100"/>
        <w:sz w:val="21"/>
        <w:szCs w:val="21"/>
        <w:lang w:val="zh-CN" w:eastAsia="zh-CN" w:bidi="zh-CN"/>
      </w:rPr>
    </w:lvl>
    <w:lvl w:ilvl="1">
      <w:start w:val="0"/>
      <w:numFmt w:val="bullet"/>
      <w:lvlText w:val="•"/>
      <w:lvlJc w:val="left"/>
      <w:pPr>
        <w:ind w:left="3808" w:hanging="2127"/>
      </w:pPr>
      <w:rPr>
        <w:rFonts w:hint="default"/>
        <w:lang w:val="zh-CN" w:eastAsia="zh-CN" w:bidi="zh-CN"/>
      </w:rPr>
    </w:lvl>
    <w:lvl w:ilvl="2">
      <w:start w:val="0"/>
      <w:numFmt w:val="bullet"/>
      <w:lvlText w:val="•"/>
      <w:lvlJc w:val="left"/>
      <w:pPr>
        <w:ind w:left="4356" w:hanging="2127"/>
      </w:pPr>
      <w:rPr>
        <w:rFonts w:hint="default"/>
        <w:lang w:val="zh-CN" w:eastAsia="zh-CN" w:bidi="zh-CN"/>
      </w:rPr>
    </w:lvl>
    <w:lvl w:ilvl="3">
      <w:start w:val="0"/>
      <w:numFmt w:val="bullet"/>
      <w:lvlText w:val="•"/>
      <w:lvlJc w:val="left"/>
      <w:pPr>
        <w:ind w:left="4904" w:hanging="2127"/>
      </w:pPr>
      <w:rPr>
        <w:rFonts w:hint="default"/>
        <w:lang w:val="zh-CN" w:eastAsia="zh-CN" w:bidi="zh-CN"/>
      </w:rPr>
    </w:lvl>
    <w:lvl w:ilvl="4">
      <w:start w:val="0"/>
      <w:numFmt w:val="bullet"/>
      <w:lvlText w:val="•"/>
      <w:lvlJc w:val="left"/>
      <w:pPr>
        <w:ind w:left="5452" w:hanging="2127"/>
      </w:pPr>
      <w:rPr>
        <w:rFonts w:hint="default"/>
        <w:lang w:val="zh-CN" w:eastAsia="zh-CN" w:bidi="zh-CN"/>
      </w:rPr>
    </w:lvl>
    <w:lvl w:ilvl="5">
      <w:start w:val="0"/>
      <w:numFmt w:val="bullet"/>
      <w:lvlText w:val="•"/>
      <w:lvlJc w:val="left"/>
      <w:pPr>
        <w:ind w:left="6001" w:hanging="2127"/>
      </w:pPr>
      <w:rPr>
        <w:rFonts w:hint="default"/>
        <w:lang w:val="zh-CN" w:eastAsia="zh-CN" w:bidi="zh-CN"/>
      </w:rPr>
    </w:lvl>
    <w:lvl w:ilvl="6">
      <w:start w:val="0"/>
      <w:numFmt w:val="bullet"/>
      <w:lvlText w:val="•"/>
      <w:lvlJc w:val="left"/>
      <w:pPr>
        <w:ind w:left="6549" w:hanging="2127"/>
      </w:pPr>
      <w:rPr>
        <w:rFonts w:hint="default"/>
        <w:lang w:val="zh-CN" w:eastAsia="zh-CN" w:bidi="zh-CN"/>
      </w:rPr>
    </w:lvl>
    <w:lvl w:ilvl="7">
      <w:start w:val="0"/>
      <w:numFmt w:val="bullet"/>
      <w:lvlText w:val="•"/>
      <w:lvlJc w:val="left"/>
      <w:pPr>
        <w:ind w:left="7097" w:hanging="2127"/>
      </w:pPr>
      <w:rPr>
        <w:rFonts w:hint="default"/>
        <w:lang w:val="zh-CN" w:eastAsia="zh-CN" w:bidi="zh-CN"/>
      </w:rPr>
    </w:lvl>
    <w:lvl w:ilvl="8">
      <w:start w:val="0"/>
      <w:numFmt w:val="bullet"/>
      <w:lvlText w:val="•"/>
      <w:lvlJc w:val="left"/>
      <w:pPr>
        <w:ind w:left="7645" w:hanging="2127"/>
      </w:pPr>
      <w:rPr>
        <w:rFonts w:hint="default"/>
        <w:lang w:val="zh-CN" w:eastAsia="zh-CN" w:bidi="zh-CN"/>
      </w:rPr>
    </w:lvl>
  </w:abstractNum>
  <w:abstractNum w:abstractNumId="48">
    <w:nsid w:val="7DEC2089"/>
    <w:multiLevelType w:val="multilevel"/>
    <w:tmpl w:val="7DEC2089"/>
    <w:lvl w:ilvl="0">
      <w:start w:val="1"/>
      <w:numFmt w:val="decimal"/>
      <w:lvlText w:val="（%1）"/>
      <w:lvlJc w:val="left"/>
      <w:pPr>
        <w:ind w:left="2210" w:hanging="602"/>
        <w:jc w:val="left"/>
      </w:pPr>
      <w:rPr>
        <w:rFonts w:ascii="宋体" w:eastAsia="宋体" w:hAnsi="宋体" w:cs="宋体" w:hint="default"/>
        <w:w w:val="100"/>
        <w:sz w:val="22"/>
        <w:szCs w:val="22"/>
        <w:lang w:val="zh-CN" w:eastAsia="zh-CN" w:bidi="zh-CN"/>
      </w:rPr>
    </w:lvl>
    <w:lvl w:ilvl="1">
      <w:start w:val="0"/>
      <w:numFmt w:val="bullet"/>
      <w:lvlText w:val="•"/>
      <w:lvlJc w:val="left"/>
      <w:pPr>
        <w:ind w:left="2974" w:hanging="602"/>
      </w:pPr>
      <w:rPr>
        <w:rFonts w:hint="default"/>
        <w:lang w:val="zh-CN" w:eastAsia="zh-CN" w:bidi="zh-CN"/>
      </w:rPr>
    </w:lvl>
    <w:lvl w:ilvl="2">
      <w:start w:val="0"/>
      <w:numFmt w:val="bullet"/>
      <w:lvlText w:val="•"/>
      <w:lvlJc w:val="left"/>
      <w:pPr>
        <w:ind w:left="3729" w:hanging="602"/>
      </w:pPr>
      <w:rPr>
        <w:rFonts w:hint="default"/>
        <w:lang w:val="zh-CN" w:eastAsia="zh-CN" w:bidi="zh-CN"/>
      </w:rPr>
    </w:lvl>
    <w:lvl w:ilvl="3">
      <w:start w:val="0"/>
      <w:numFmt w:val="bullet"/>
      <w:lvlText w:val="•"/>
      <w:lvlJc w:val="left"/>
      <w:pPr>
        <w:ind w:left="4484" w:hanging="602"/>
      </w:pPr>
      <w:rPr>
        <w:rFonts w:hint="default"/>
        <w:lang w:val="zh-CN" w:eastAsia="zh-CN" w:bidi="zh-CN"/>
      </w:rPr>
    </w:lvl>
    <w:lvl w:ilvl="4">
      <w:start w:val="0"/>
      <w:numFmt w:val="bullet"/>
      <w:lvlText w:val="•"/>
      <w:lvlJc w:val="left"/>
      <w:pPr>
        <w:ind w:left="5239" w:hanging="602"/>
      </w:pPr>
      <w:rPr>
        <w:rFonts w:hint="default"/>
        <w:lang w:val="zh-CN" w:eastAsia="zh-CN" w:bidi="zh-CN"/>
      </w:rPr>
    </w:lvl>
    <w:lvl w:ilvl="5">
      <w:start w:val="0"/>
      <w:numFmt w:val="bullet"/>
      <w:lvlText w:val="•"/>
      <w:lvlJc w:val="left"/>
      <w:pPr>
        <w:ind w:left="5994" w:hanging="602"/>
      </w:pPr>
      <w:rPr>
        <w:rFonts w:hint="default"/>
        <w:lang w:val="zh-CN" w:eastAsia="zh-CN" w:bidi="zh-CN"/>
      </w:rPr>
    </w:lvl>
    <w:lvl w:ilvl="6">
      <w:start w:val="0"/>
      <w:numFmt w:val="bullet"/>
      <w:lvlText w:val="•"/>
      <w:lvlJc w:val="left"/>
      <w:pPr>
        <w:ind w:left="6749" w:hanging="602"/>
      </w:pPr>
      <w:rPr>
        <w:rFonts w:hint="default"/>
        <w:lang w:val="zh-CN" w:eastAsia="zh-CN" w:bidi="zh-CN"/>
      </w:rPr>
    </w:lvl>
    <w:lvl w:ilvl="7">
      <w:start w:val="0"/>
      <w:numFmt w:val="bullet"/>
      <w:lvlText w:val="•"/>
      <w:lvlJc w:val="left"/>
      <w:pPr>
        <w:ind w:left="7504" w:hanging="602"/>
      </w:pPr>
      <w:rPr>
        <w:rFonts w:hint="default"/>
        <w:lang w:val="zh-CN" w:eastAsia="zh-CN" w:bidi="zh-CN"/>
      </w:rPr>
    </w:lvl>
    <w:lvl w:ilvl="8">
      <w:start w:val="0"/>
      <w:numFmt w:val="bullet"/>
      <w:lvlText w:val="•"/>
      <w:lvlJc w:val="left"/>
      <w:pPr>
        <w:ind w:left="8259" w:hanging="602"/>
      </w:pPr>
      <w:rPr>
        <w:rFonts w:hint="default"/>
        <w:lang w:val="zh-CN" w:eastAsia="zh-CN" w:bidi="zh-CN"/>
      </w:rPr>
    </w:lvl>
  </w:abstractNum>
  <w:num w:numId="1">
    <w:abstractNumId w:val="36"/>
  </w:num>
  <w:num w:numId="2">
    <w:abstractNumId w:val="13"/>
  </w:num>
  <w:num w:numId="3">
    <w:abstractNumId w:val="9"/>
  </w:num>
  <w:num w:numId="4">
    <w:abstractNumId w:val="21"/>
  </w:num>
  <w:num w:numId="5">
    <w:abstractNumId w:val="26"/>
  </w:num>
  <w:num w:numId="6">
    <w:abstractNumId w:val="43"/>
  </w:num>
  <w:num w:numId="7">
    <w:abstractNumId w:val="20"/>
  </w:num>
  <w:num w:numId="8">
    <w:abstractNumId w:val="5"/>
  </w:num>
  <w:num w:numId="9">
    <w:abstractNumId w:val="27"/>
  </w:num>
  <w:num w:numId="10">
    <w:abstractNumId w:val="37"/>
  </w:num>
  <w:num w:numId="11">
    <w:abstractNumId w:val="14"/>
  </w:num>
  <w:num w:numId="12">
    <w:abstractNumId w:val="33"/>
  </w:num>
  <w:num w:numId="13">
    <w:abstractNumId w:val="18"/>
  </w:num>
  <w:num w:numId="14">
    <w:abstractNumId w:val="25"/>
  </w:num>
  <w:num w:numId="15">
    <w:abstractNumId w:val="16"/>
  </w:num>
  <w:num w:numId="16">
    <w:abstractNumId w:val="15"/>
  </w:num>
  <w:num w:numId="17">
    <w:abstractNumId w:val="7"/>
  </w:num>
  <w:num w:numId="18">
    <w:abstractNumId w:val="32"/>
  </w:num>
  <w:num w:numId="19">
    <w:abstractNumId w:val="41"/>
  </w:num>
  <w:num w:numId="20">
    <w:abstractNumId w:val="22"/>
  </w:num>
  <w:num w:numId="21">
    <w:abstractNumId w:val="31"/>
  </w:num>
  <w:num w:numId="22">
    <w:abstractNumId w:val="8"/>
  </w:num>
  <w:num w:numId="23">
    <w:abstractNumId w:val="47"/>
  </w:num>
  <w:num w:numId="24">
    <w:abstractNumId w:val="45"/>
  </w:num>
  <w:num w:numId="25">
    <w:abstractNumId w:val="12"/>
  </w:num>
  <w:num w:numId="26">
    <w:abstractNumId w:val="42"/>
  </w:num>
  <w:num w:numId="27">
    <w:abstractNumId w:val="6"/>
  </w:num>
  <w:num w:numId="28">
    <w:abstractNumId w:val="30"/>
  </w:num>
  <w:num w:numId="29">
    <w:abstractNumId w:val="2"/>
  </w:num>
  <w:num w:numId="30">
    <w:abstractNumId w:val="35"/>
  </w:num>
  <w:num w:numId="31">
    <w:abstractNumId w:val="48"/>
  </w:num>
  <w:num w:numId="32">
    <w:abstractNumId w:val="0"/>
  </w:num>
  <w:num w:numId="33">
    <w:abstractNumId w:val="24"/>
  </w:num>
  <w:num w:numId="34">
    <w:abstractNumId w:val="34"/>
  </w:num>
  <w:num w:numId="35">
    <w:abstractNumId w:val="19"/>
  </w:num>
  <w:num w:numId="36">
    <w:abstractNumId w:val="17"/>
  </w:num>
  <w:num w:numId="37">
    <w:abstractNumId w:val="28"/>
  </w:num>
  <w:num w:numId="38">
    <w:abstractNumId w:val="46"/>
  </w:num>
  <w:num w:numId="39">
    <w:abstractNumId w:val="11"/>
  </w:num>
  <w:num w:numId="40">
    <w:abstractNumId w:val="4"/>
  </w:num>
  <w:num w:numId="41">
    <w:abstractNumId w:val="10"/>
  </w:num>
  <w:num w:numId="42">
    <w:abstractNumId w:val="38"/>
  </w:num>
  <w:num w:numId="43">
    <w:abstractNumId w:val="1"/>
  </w:num>
  <w:num w:numId="44">
    <w:abstractNumId w:val="23"/>
  </w:num>
  <w:num w:numId="45">
    <w:abstractNumId w:val="3"/>
  </w:num>
  <w:num w:numId="46">
    <w:abstractNumId w:val="40"/>
  </w:num>
  <w:num w:numId="47">
    <w:abstractNumId w:val="44"/>
  </w:num>
  <w:num w:numId="48">
    <w:abstractNumId w:val="39"/>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DF3ACB"/>
    <w:rsid w:val="6B9B3EC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zh-CN" w:eastAsia="zh-CN" w:bidi="zh-CN"/>
    </w:rPr>
  </w:style>
  <w:style w:type="paragraph" w:styleId="Heading1">
    <w:name w:val="heading 1"/>
    <w:basedOn w:val="Normal"/>
    <w:next w:val="Normal"/>
    <w:uiPriority w:val="1"/>
    <w:qFormat/>
    <w:pPr>
      <w:ind w:left="271"/>
      <w:outlineLvl w:val="0"/>
    </w:pPr>
    <w:rPr>
      <w:rFonts w:ascii="宋体" w:eastAsia="宋体" w:hAnsi="宋体" w:cs="宋体"/>
      <w:sz w:val="36"/>
      <w:szCs w:val="36"/>
      <w:lang w:val="zh-CN" w:eastAsia="zh-CN" w:bidi="zh-CN"/>
    </w:rPr>
  </w:style>
  <w:style w:type="paragraph" w:styleId="Heading2">
    <w:name w:val="heading 2"/>
    <w:basedOn w:val="Normal"/>
    <w:next w:val="Normal"/>
    <w:uiPriority w:val="1"/>
    <w:qFormat/>
    <w:pPr>
      <w:ind w:left="271"/>
      <w:outlineLvl w:val="1"/>
    </w:pPr>
    <w:rPr>
      <w:rFonts w:ascii="宋体" w:eastAsia="宋体" w:hAnsi="宋体" w:cs="宋体"/>
      <w:sz w:val="32"/>
      <w:szCs w:val="32"/>
      <w:lang w:val="zh-CN" w:eastAsia="zh-CN" w:bidi="zh-CN"/>
    </w:rPr>
  </w:style>
  <w:style w:type="paragraph" w:styleId="Heading3">
    <w:name w:val="heading 3"/>
    <w:basedOn w:val="Normal"/>
    <w:next w:val="Normal"/>
    <w:uiPriority w:val="1"/>
    <w:qFormat/>
    <w:pPr>
      <w:spacing w:before="60"/>
      <w:ind w:left="448"/>
      <w:outlineLvl w:val="2"/>
    </w:pPr>
    <w:rPr>
      <w:rFonts w:ascii="宋体" w:eastAsia="宋体" w:hAnsi="宋体" w:cs="宋体"/>
      <w:sz w:val="30"/>
      <w:szCs w:val="30"/>
      <w:lang w:val="zh-CN" w:eastAsia="zh-CN" w:bidi="zh-CN"/>
    </w:rPr>
  </w:style>
  <w:style w:type="paragraph" w:styleId="Heading4">
    <w:name w:val="heading 4"/>
    <w:basedOn w:val="Normal"/>
    <w:next w:val="Normal"/>
    <w:uiPriority w:val="1"/>
    <w:qFormat/>
    <w:pPr>
      <w:ind w:left="1848"/>
      <w:outlineLvl w:val="3"/>
    </w:pPr>
    <w:rPr>
      <w:rFonts w:ascii="宋体" w:eastAsia="宋体" w:hAnsi="宋体" w:cs="宋体"/>
      <w:b/>
      <w:bCs/>
      <w:sz w:val="24"/>
      <w:szCs w:val="24"/>
      <w:lang w:val="zh-CN" w:eastAsia="zh-CN" w:bidi="zh-CN"/>
    </w:rPr>
  </w:style>
  <w:style w:type="character" w:default="1" w:styleId="DefaultParagraphFont">
    <w:name w:val="Default Paragraph Font"/>
    <w:uiPriority w:val="1"/>
    <w:semiHidden/>
    <w:unhideWhenUsed/>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4"/>
      <w:szCs w:val="24"/>
      <w:lang w:val="zh-CN" w:eastAsia="zh-CN" w:bidi="zh-CN"/>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2145" w:hanging="602"/>
    </w:pPr>
    <w:rPr>
      <w:rFonts w:ascii="宋体" w:eastAsia="宋体" w:hAnsi="宋体" w:cs="宋体"/>
      <w:lang w:val="zh-CN" w:eastAsia="zh-CN" w:bidi="zh-CN"/>
    </w:rPr>
  </w:style>
  <w:style w:type="paragraph" w:customStyle="1" w:styleId="TableParagraph">
    <w:name w:val="Table Paragraph"/>
    <w:basedOn w:val="Normal"/>
    <w:uiPriority w:val="1"/>
    <w:qFormat/>
    <w:rPr>
      <w:rFonts w:ascii="宋体" w:eastAsia="宋体" w:hAnsi="宋体" w:cs="宋体"/>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88134046031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35"/>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49"/>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6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73"/>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87"/>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099"/>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11"/>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23"/>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35"/>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47"/>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59"/>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71"/>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8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193"/>
    <customShpInfo spid="_x0000_s1203"/>
    <customShpInfo spid="_x0000_s1204"/>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05"/>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2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31"/>
    <customShpInfo spid="_x0000_s1261"/>
    <customShpInfo spid="_x0000_s1262"/>
    <customShpInfo spid="_x0000_s1263"/>
    <customShpInfo spid="_x0000_s1264"/>
    <customShpInfo spid="_x0000_s1265"/>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266"/>
    <customShpInfo spid="_x0000_s1314"/>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1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75"/>
    <customShpInfo spid="_x0000_s1399"/>
    <customShpInfo spid="_x0000_s1400"/>
    <customShpInfo spid="_x0000_s1401"/>
    <customShpInfo spid="_x0000_s1402"/>
    <customShpInfo spid="_x0000_s1403"/>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04"/>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16"/>
    <customShpInfo spid="_x0000_s1443"/>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44"/>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5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66"/>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78"/>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490"/>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02"/>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14"/>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26"/>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3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48"/>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62"/>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76"/>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590"/>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616"/>
    <customShpInfo spid="_x0000_s1617"/>
    <customShpInfo spid="_x0000_s1604"/>
    <customShpInfo spid="_x0000_s161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龙风呈祥</cp:lastModifiedBy>
  <cp:revision>0</cp:revision>
  <dcterms:created xsi:type="dcterms:W3CDTF">2024-03-01T02:50:00Z</dcterms:created>
  <dcterms:modified xsi:type="dcterms:W3CDTF">2024-03-01T03:12:54Z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2023-12-21T00:00:00Z</vt:filetime>
  </property>
  <property fmtid="{D5CDD505-2E9C-101B-9397-08002B2CF9AE}" pid="3" name="Creator">
    <vt:lpwstr>Microsoft® Office Word 2007</vt:lpwstr>
  </property>
  <property fmtid="{D5CDD505-2E9C-101B-9397-08002B2CF9AE}" pid="4" name="ICV">
    <vt:lpwstr>9E9E7D91D96943D4B68300B582F3C29D</vt:lpwstr>
  </property>
  <property fmtid="{D5CDD505-2E9C-101B-9397-08002B2CF9AE}" pid="5" name="KSOProductBuildVer">
    <vt:lpwstr>2052-11.1.0.10463</vt:lpwstr>
  </property>
  <property fmtid="{D5CDD505-2E9C-101B-9397-08002B2CF9AE}" pid="6" name="LastSaved">
    <vt:filetime>2024-03-01T00:00:00Z</vt:filetime>
  </property>
</Properties>
</file>