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383" w:lineRule="exact"/>
        <w:ind w:firstLine="12532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12432342</wp:posOffset>
            </wp:positionH>
            <wp:positionV relativeFrom="page">
              <wp:posOffset>16367431</wp:posOffset>
            </wp:positionV>
            <wp:extent cx="6350" cy="373428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734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1047926</wp:posOffset>
            </wp:positionH>
            <wp:positionV relativeFrom="page">
              <wp:posOffset>17417529</wp:posOffset>
            </wp:positionV>
            <wp:extent cx="1260586" cy="12347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0586" cy="1234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7"/>
        </w:rPr>
        <w:drawing>
          <wp:inline distT="0" distB="0" distL="0" distR="0">
            <wp:extent cx="2888260" cy="151378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8260" cy="1513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312" w:line="222" w:lineRule="auto"/>
        <w:ind w:left="199"/>
        <w:outlineLvl w:val="0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18"/>
          <w:sz w:val="96"/>
          <w:szCs w:val="96"/>
        </w:rPr>
        <w:t>中华人民共和国出入境检验检疫行业标准</w:t>
      </w:r>
    </w:p>
    <w:p>
      <w:pPr>
        <w:pStyle w:val="BodyText"/>
        <w:spacing w:line="342" w:lineRule="auto"/>
      </w:pPr>
    </w:p>
    <w:p>
      <w:pPr>
        <w:pStyle w:val="BodyText"/>
        <w:spacing w:line="342" w:lineRule="auto"/>
      </w:pPr>
    </w:p>
    <w:p>
      <w:pPr>
        <w:spacing w:before="156" w:line="224" w:lineRule="auto"/>
        <w:ind w:left="13536"/>
        <w:rPr>
          <w:rFonts w:ascii="SimSun" w:eastAsia="SimSun" w:hAnsi="SimSun" w:cs="SimSun"/>
          <w:sz w:val="48"/>
          <w:szCs w:val="48"/>
        </w:rPr>
      </w:pPr>
      <w:r>
        <w:rPr>
          <w:rFonts w:ascii="SimSun" w:eastAsia="SimSun" w:hAnsi="SimSun" w:cs="SimSun"/>
          <w:spacing w:val="-6"/>
          <w:sz w:val="48"/>
          <w:szCs w:val="48"/>
        </w:rPr>
        <w:t>SN/T   1354—2004</w:t>
      </w:r>
    </w:p>
    <w:p>
      <w:pPr>
        <w:pStyle w:val="BodyText"/>
        <w:spacing w:line="315" w:lineRule="auto"/>
      </w:pP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spacing w:line="21" w:lineRule="exact"/>
      </w:pPr>
      <w:r>
        <w:drawing>
          <wp:inline distT="0" distB="0" distL="0" distR="0">
            <wp:extent cx="11531404" cy="1287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31404" cy="1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306" w:line="207" w:lineRule="auto"/>
        <w:ind w:left="5062" w:right="2577" w:hanging="2614"/>
        <w:rPr>
          <w:rFonts w:ascii="SimHei" w:eastAsia="SimHei" w:hAnsi="SimHei" w:cs="SimHei"/>
          <w:sz w:val="94"/>
          <w:szCs w:val="94"/>
        </w:rPr>
      </w:pPr>
      <w:r>
        <w:rPr>
          <w:rFonts w:ascii="SimHei" w:eastAsia="SimHei" w:hAnsi="SimHei" w:cs="SimHei"/>
          <w:spacing w:val="78"/>
          <w:sz w:val="94"/>
          <w:szCs w:val="94"/>
        </w:rPr>
        <w:t>进出口蜂蜜中咖啡因含量检验</w:t>
      </w:r>
      <w:r>
        <w:rPr>
          <w:rFonts w:ascii="SimHei" w:eastAsia="SimHei" w:hAnsi="SimHei" w:cs="SimHei"/>
          <w:spacing w:val="4"/>
          <w:sz w:val="94"/>
          <w:szCs w:val="94"/>
        </w:rPr>
        <w:t xml:space="preserve"> </w:t>
      </w:r>
      <w:r>
        <w:rPr>
          <w:rFonts w:ascii="SimHei" w:eastAsia="SimHei" w:hAnsi="SimHei" w:cs="SimHei"/>
          <w:spacing w:val="64"/>
          <w:sz w:val="94"/>
          <w:szCs w:val="94"/>
        </w:rPr>
        <w:t>方法</w:t>
      </w:r>
      <w:r>
        <w:rPr>
          <w:rFonts w:ascii="SimHei" w:eastAsia="SimHei" w:hAnsi="SimHei" w:cs="SimHei"/>
          <w:spacing w:val="64"/>
          <w:sz w:val="94"/>
          <w:szCs w:val="94"/>
        </w:rPr>
        <w:t xml:space="preserve">  </w:t>
      </w:r>
      <w:r>
        <w:rPr>
          <w:rFonts w:ascii="SimHei" w:eastAsia="SimHei" w:hAnsi="SimHei" w:cs="SimHei"/>
          <w:spacing w:val="64"/>
          <w:sz w:val="94"/>
          <w:szCs w:val="94"/>
        </w:rPr>
        <w:t>液相色谱法</w:t>
      </w:r>
    </w:p>
    <w:p>
      <w:pPr>
        <w:pStyle w:val="BodyText"/>
        <w:spacing w:line="345" w:lineRule="auto"/>
      </w:pPr>
    </w:p>
    <w:p>
      <w:pPr>
        <w:pStyle w:val="BodyText"/>
        <w:spacing w:line="346" w:lineRule="auto"/>
      </w:pPr>
    </w:p>
    <w:p>
      <w:pPr>
        <w:spacing w:before="172" w:line="795" w:lineRule="exact"/>
        <w:ind w:left="2843"/>
        <w:rPr>
          <w:rFonts w:ascii="Times New Roman" w:eastAsia="Times New Roman" w:hAnsi="Times New Roman" w:cs="Times New Roman"/>
          <w:sz w:val="60"/>
          <w:szCs w:val="60"/>
        </w:rPr>
      </w:pPr>
      <w:r>
        <w:rPr>
          <w:rFonts w:ascii="Times New Roman" w:eastAsia="Times New Roman" w:hAnsi="Times New Roman" w:cs="Times New Roman"/>
          <w:b/>
          <w:bCs/>
          <w:spacing w:val="-6"/>
          <w:position w:val="22"/>
          <w:sz w:val="60"/>
          <w:szCs w:val="60"/>
        </w:rPr>
        <w:t>Determination of caffeine in honey for import and</w:t>
      </w:r>
    </w:p>
    <w:p>
      <w:pPr>
        <w:spacing w:before="1" w:line="190" w:lineRule="auto"/>
        <w:ind w:left="5021"/>
        <w:rPr>
          <w:rFonts w:ascii="Times New Roman" w:eastAsia="Times New Roman" w:hAnsi="Times New Roman" w:cs="Times New Roman"/>
          <w:sz w:val="60"/>
          <w:szCs w:val="60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60"/>
          <w:szCs w:val="60"/>
        </w:rPr>
        <w:t>export —Liquid chromatography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  <w:sectPr>
          <w:pgSz w:w="21427" w:h="31681"/>
          <w:pgMar w:top="896" w:right="1802" w:bottom="0" w:left="1359" w:header="0" w:footer="0" w:gutter="0"/>
          <w:cols w:space="708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56" w:line="221" w:lineRule="auto"/>
        <w:ind w:left="47"/>
        <w:rPr>
          <w:rFonts w:ascii="SimHei" w:eastAsia="SimHei" w:hAnsi="SimHei" w:cs="SimHei"/>
          <w:sz w:val="48"/>
          <w:szCs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0.15pt;height:29.55pt;margin-top:11.98pt;margin-left:724.36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6" w:lineRule="auto"/>
                    <w:ind w:left="20"/>
                    <w:rPr>
                      <w:rFonts w:ascii="SimHei" w:eastAsia="SimHei" w:hAnsi="SimHei" w:cs="SimHei"/>
                      <w:sz w:val="45"/>
                      <w:szCs w:val="45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z w:val="45"/>
                      <w:szCs w:val="45"/>
                    </w:rPr>
                    <w:t>2004-12-01</w:t>
                  </w:r>
                  <w:r>
                    <w:rPr>
                      <w:rFonts w:ascii="SimHei" w:eastAsia="SimHei" w:hAnsi="SimHei" w:cs="SimHei"/>
                      <w:spacing w:val="130"/>
                      <w:sz w:val="45"/>
                      <w:szCs w:val="45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z w:val="45"/>
                      <w:szCs w:val="45"/>
                    </w:rPr>
                    <w:t>实施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7"/>
          <w:sz w:val="48"/>
          <w:szCs w:val="48"/>
        </w:rPr>
        <w:t>2004-06-01</w:t>
      </w:r>
      <w:r>
        <w:rPr>
          <w:rFonts w:ascii="SimHei" w:eastAsia="SimHei" w:hAnsi="SimHei" w:cs="SimHei"/>
          <w:spacing w:val="-7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8"/>
          <w:szCs w:val="48"/>
        </w:rPr>
        <w:t>发布</w:t>
      </w:r>
    </w:p>
    <w:p>
      <w:pPr>
        <w:spacing w:before="147" w:line="21" w:lineRule="exact"/>
      </w:pPr>
      <w:r>
        <w:drawing>
          <wp:inline distT="0" distB="0" distL="0" distR="0">
            <wp:extent cx="11598075" cy="1287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98075" cy="12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2" w:lineRule="auto"/>
      </w:pPr>
    </w:p>
    <w:p>
      <w:pPr>
        <w:pStyle w:val="BodyText"/>
        <w:spacing w:line="352" w:lineRule="auto"/>
      </w:pPr>
    </w:p>
    <w:p>
      <w:pPr>
        <w:spacing w:before="162" w:line="196" w:lineRule="auto"/>
        <w:ind w:left="3500"/>
        <w:rPr>
          <w:rFonts w:ascii="SimSun" w:eastAsia="SimSun" w:hAnsi="SimSun" w:cs="SimSun"/>
          <w:sz w:val="50"/>
          <w:szCs w:val="50"/>
        </w:rPr>
      </w:pPr>
      <w:r>
        <w:pict>
          <v:shape id="_x0000_s1026" type="#_x0000_t202" style="width:65.5pt;height:31.95pt;margin-top:23.71pt;margin-left:669.95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ind w:left="20"/>
                    <w:rPr>
                      <w:rFonts w:ascii="SimHei" w:eastAsia="SimHei" w:hAnsi="SimHei" w:cs="SimHei"/>
                      <w:sz w:val="50"/>
                      <w:szCs w:val="50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7"/>
                      <w:sz w:val="50"/>
                      <w:szCs w:val="50"/>
                    </w:rPr>
                    <w:t>发</w:t>
                  </w:r>
                  <w:r>
                    <w:rPr>
                      <w:rFonts w:ascii="SimHei" w:eastAsia="SimHei" w:hAnsi="SimHei" w:cs="SimHei"/>
                      <w:spacing w:val="58"/>
                      <w:sz w:val="50"/>
                      <w:szCs w:val="50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7"/>
                      <w:sz w:val="50"/>
                      <w:szCs w:val="50"/>
                    </w:rPr>
                    <w:t>布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中</w:t>
      </w:r>
      <w:r>
        <w:rPr>
          <w:rFonts w:ascii="SimSun" w:eastAsia="SimSun" w:hAnsi="SimSun" w:cs="SimSun"/>
          <w:spacing w:val="-21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华</w:t>
      </w:r>
      <w:r>
        <w:rPr>
          <w:rFonts w:ascii="SimSun" w:eastAsia="SimSun" w:hAnsi="SimSun" w:cs="SimSun"/>
          <w:spacing w:val="-21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人</w:t>
      </w:r>
      <w:r>
        <w:rPr>
          <w:rFonts w:ascii="SimSun" w:eastAsia="SimSun" w:hAnsi="SimSun" w:cs="SimSun"/>
          <w:spacing w:val="12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民</w:t>
      </w:r>
      <w:r>
        <w:rPr>
          <w:rFonts w:ascii="SimSun" w:eastAsia="SimSun" w:hAnsi="SimSun" w:cs="SimSun"/>
          <w:spacing w:val="72"/>
          <w:sz w:val="50"/>
          <w:szCs w:val="50"/>
        </w:rPr>
        <w:t xml:space="preserve">   </w: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共</w:t>
      </w:r>
      <w:r>
        <w:rPr>
          <w:rFonts w:ascii="SimSun" w:eastAsia="SimSun" w:hAnsi="SimSun" w:cs="SimSun"/>
          <w:spacing w:val="-21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和</w:t>
      </w:r>
      <w:r>
        <w:rPr>
          <w:rFonts w:ascii="SimSun" w:eastAsia="SimSun" w:hAnsi="SimSun" w:cs="SimSun"/>
          <w:spacing w:val="2"/>
          <w:sz w:val="50"/>
          <w:szCs w:val="50"/>
        </w:rPr>
        <w:t xml:space="preserve">    </w:t>
      </w:r>
      <w:r>
        <w:rPr>
          <w:rFonts w:ascii="SimSun" w:eastAsia="SimSun" w:hAnsi="SimSun" w:cs="SimSun"/>
          <w:b/>
          <w:bCs/>
          <w:spacing w:val="-21"/>
          <w:sz w:val="50"/>
          <w:szCs w:val="50"/>
        </w:rPr>
        <w:t>国</w:t>
      </w:r>
    </w:p>
    <w:p>
      <w:pPr>
        <w:spacing w:before="3" w:line="194" w:lineRule="auto"/>
        <w:ind w:left="3524"/>
        <w:rPr>
          <w:rFonts w:ascii="SimSun" w:eastAsia="SimSun" w:hAnsi="SimSun" w:cs="SimSun"/>
          <w:sz w:val="77"/>
          <w:szCs w:val="77"/>
        </w:rPr>
      </w:pPr>
      <w:r>
        <w:rPr>
          <w:rFonts w:ascii="SimSun" w:eastAsia="SimSun" w:hAnsi="SimSun" w:cs="SimSun"/>
          <w:b/>
          <w:bCs/>
          <w:spacing w:val="-2"/>
          <w:sz w:val="77"/>
          <w:szCs w:val="77"/>
        </w:rPr>
        <w:t>国家质量监督检验检疫总局</w:t>
      </w:r>
    </w:p>
    <w:p>
      <w:pPr>
        <w:spacing w:line="194" w:lineRule="auto"/>
        <w:rPr>
          <w:rFonts w:ascii="SimSun" w:eastAsia="SimSun" w:hAnsi="SimSun" w:cs="SimSun"/>
          <w:sz w:val="77"/>
          <w:szCs w:val="77"/>
        </w:rPr>
        <w:sectPr>
          <w:type w:val="nextPage"/>
          <w:pgSz w:w="21427" w:h="31681"/>
          <w:pgMar w:top="896" w:right="1802" w:bottom="0" w:left="1359" w:header="0" w:footer="0" w:gutter="0"/>
          <w:pgNumType w:start="2"/>
          <w:cols w:space="708"/>
          <w:titlePg w:val="0"/>
        </w:sectPr>
      </w:pPr>
    </w:p>
    <w:p>
      <w:pPr>
        <w:spacing w:before="75" w:line="225" w:lineRule="auto"/>
        <w:jc w:val="right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4"/>
          <w:sz w:val="37"/>
          <w:szCs w:val="37"/>
        </w:rPr>
        <w:t>SN/T</w:t>
      </w:r>
      <w:r>
        <w:rPr>
          <w:rFonts w:ascii="SimSun" w:eastAsia="SimSun" w:hAnsi="SimSun" w:cs="SimSun"/>
          <w:spacing w:val="51"/>
          <w:sz w:val="37"/>
          <w:szCs w:val="37"/>
        </w:rPr>
        <w:t xml:space="preserve">  </w:t>
      </w:r>
      <w:r>
        <w:rPr>
          <w:rFonts w:ascii="SimSun" w:eastAsia="SimSun" w:hAnsi="SimSun" w:cs="SimSun"/>
          <w:spacing w:val="-4"/>
          <w:sz w:val="37"/>
          <w:szCs w:val="37"/>
        </w:rPr>
        <w:t>1354—2004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82" w:line="223" w:lineRule="auto"/>
        <w:ind w:left="6686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前</w:t>
      </w:r>
      <w:r>
        <w:rPr>
          <w:rFonts w:ascii="SimHei" w:eastAsia="SimHei" w:hAnsi="SimHei" w:cs="SimHei"/>
          <w:spacing w:val="17"/>
          <w:sz w:val="56"/>
          <w:szCs w:val="56"/>
        </w:rPr>
        <w:t xml:space="preserve">    </w:t>
      </w:r>
      <w:r>
        <w:rPr>
          <w:rFonts w:ascii="SimHei" w:eastAsia="SimHei" w:hAnsi="SimHei" w:cs="SimHei"/>
          <w:b/>
          <w:bCs/>
          <w:spacing w:val="-17"/>
          <w:sz w:val="56"/>
          <w:szCs w:val="56"/>
        </w:rPr>
        <w:t>言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121" w:line="220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14"/>
          <w:sz w:val="37"/>
          <w:szCs w:val="37"/>
        </w:rPr>
        <w:t>本标准的附录</w:t>
      </w:r>
      <w:r>
        <w:rPr>
          <w:rFonts w:ascii="SimSun" w:eastAsia="SimSun" w:hAnsi="SimSun" w:cs="SimSun"/>
          <w:spacing w:val="-45"/>
          <w:sz w:val="37"/>
          <w:szCs w:val="37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37"/>
          <w:szCs w:val="37"/>
        </w:rPr>
        <w:t>A</w:t>
      </w:r>
      <w:r>
        <w:rPr>
          <w:rFonts w:ascii="Times New Roman" w:eastAsia="Times New Roman" w:hAnsi="Times New Roman" w:cs="Times New Roman"/>
          <w:spacing w:val="31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14"/>
          <w:sz w:val="37"/>
          <w:szCs w:val="37"/>
        </w:rPr>
        <w:t>为资料性附录。</w:t>
      </w:r>
    </w:p>
    <w:p>
      <w:pPr>
        <w:spacing w:before="120" w:line="220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19"/>
          <w:sz w:val="37"/>
          <w:szCs w:val="37"/>
        </w:rPr>
        <w:t>本标准由国家认证认可监督管理委员会提出并归</w:t>
      </w:r>
      <w:r>
        <w:rPr>
          <w:rFonts w:ascii="SimSun" w:eastAsia="SimSun" w:hAnsi="SimSun" w:cs="SimSun"/>
          <w:spacing w:val="18"/>
          <w:sz w:val="37"/>
          <w:szCs w:val="37"/>
        </w:rPr>
        <w:t>口。</w:t>
      </w:r>
    </w:p>
    <w:p>
      <w:pPr>
        <w:spacing w:before="147" w:line="220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19"/>
          <w:sz w:val="37"/>
          <w:szCs w:val="37"/>
        </w:rPr>
        <w:t>本标准由中华人民共和国湖南出入境检验检疫局负责起草。</w:t>
      </w:r>
    </w:p>
    <w:p>
      <w:pPr>
        <w:spacing w:before="148" w:line="605" w:lineRule="exact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17"/>
          <w:position w:val="17"/>
          <w:sz w:val="37"/>
          <w:szCs w:val="37"/>
        </w:rPr>
        <w:t>本标准主要起草人：戴华、李拥军、熊芳、李献坤、黄志强、袁智能。</w:t>
      </w:r>
    </w:p>
    <w:p>
      <w:pPr>
        <w:spacing w:before="1" w:line="219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17"/>
          <w:sz w:val="37"/>
          <w:szCs w:val="37"/>
        </w:rPr>
        <w:t>本标准系首次发布的检验检疫行业标准。</w:t>
      </w:r>
    </w:p>
    <w:p>
      <w:pPr>
        <w:spacing w:line="219" w:lineRule="auto"/>
        <w:rPr>
          <w:rFonts w:ascii="SimSun" w:eastAsia="SimSun" w:hAnsi="SimSun" w:cs="SimSun"/>
          <w:sz w:val="37"/>
          <w:szCs w:val="37"/>
        </w:rPr>
        <w:sectPr>
          <w:footerReference w:type="default" r:id="rId9"/>
          <w:pgSz w:w="21427" w:h="31681"/>
          <w:pgMar w:top="2484" w:right="2100" w:bottom="2726" w:left="2867" w:header="0" w:footer="2338" w:gutter="0"/>
          <w:pgNumType w:start="3"/>
          <w:cols w:space="708"/>
        </w:sectPr>
      </w:pPr>
    </w:p>
    <w:p>
      <w:pPr>
        <w:spacing w:before="75" w:line="227" w:lineRule="auto"/>
        <w:ind w:right="61"/>
        <w:jc w:val="right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6"/>
          <w:sz w:val="37"/>
          <w:szCs w:val="37"/>
        </w:rPr>
        <w:t>SN/T</w:t>
      </w:r>
      <w:r>
        <w:rPr>
          <w:rFonts w:ascii="SimSun" w:eastAsia="SimSun" w:hAnsi="SimSun" w:cs="SimSun"/>
          <w:spacing w:val="30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37"/>
          <w:szCs w:val="37"/>
        </w:rPr>
        <w:t>1354—2004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182" w:line="769" w:lineRule="exact"/>
        <w:ind w:left="4835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pacing w:val="19"/>
          <w:position w:val="13"/>
          <w:sz w:val="56"/>
          <w:szCs w:val="56"/>
        </w:rPr>
        <w:t>进出口蜂蜜中咖啡因含量检验</w:t>
      </w:r>
    </w:p>
    <w:p>
      <w:pPr>
        <w:spacing w:before="1" w:line="222" w:lineRule="auto"/>
        <w:ind w:left="6300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pacing w:val="19"/>
          <w:sz w:val="56"/>
          <w:szCs w:val="56"/>
        </w:rPr>
        <w:t>方法</w:t>
      </w:r>
      <w:r>
        <w:rPr>
          <w:rFonts w:ascii="SimHei" w:eastAsia="SimHei" w:hAnsi="SimHei" w:cs="SimHei"/>
          <w:spacing w:val="8"/>
          <w:sz w:val="56"/>
          <w:szCs w:val="56"/>
        </w:rPr>
        <w:t xml:space="preserve">  </w:t>
      </w:r>
      <w:r>
        <w:rPr>
          <w:rFonts w:ascii="SimHei" w:eastAsia="SimHei" w:hAnsi="SimHei" w:cs="SimHei"/>
          <w:spacing w:val="19"/>
          <w:sz w:val="56"/>
          <w:szCs w:val="56"/>
        </w:rPr>
        <w:t>液相色谱法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20" w:line="223" w:lineRule="auto"/>
        <w:ind w:left="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5"/>
          <w:sz w:val="37"/>
          <w:szCs w:val="37"/>
        </w:rPr>
        <w:t>1</w:t>
      </w:r>
      <w:r>
        <w:rPr>
          <w:rFonts w:ascii="SimSun" w:eastAsia="SimSun" w:hAnsi="SimSun" w:cs="SimSun"/>
          <w:spacing w:val="25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37"/>
          <w:szCs w:val="37"/>
        </w:rPr>
        <w:t>范围</w:t>
      </w:r>
    </w:p>
    <w:p>
      <w:pPr>
        <w:pStyle w:val="BodyText"/>
        <w:spacing w:line="304" w:lineRule="auto"/>
      </w:pPr>
    </w:p>
    <w:p>
      <w:pPr>
        <w:spacing w:before="127" w:line="608" w:lineRule="exact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4"/>
          <w:position w:val="15"/>
          <w:sz w:val="39"/>
          <w:szCs w:val="39"/>
        </w:rPr>
        <w:t>本标准规定了进出口蜂蜜中咖啡因含量检验的抽样、制样和液相色谱</w:t>
      </w:r>
      <w:r>
        <w:rPr>
          <w:rFonts w:ascii="SimSun" w:eastAsia="SimSun" w:hAnsi="SimSun" w:cs="SimSun"/>
          <w:spacing w:val="-5"/>
          <w:position w:val="15"/>
          <w:sz w:val="39"/>
          <w:szCs w:val="39"/>
        </w:rPr>
        <w:t>测定方法。</w:t>
      </w:r>
    </w:p>
    <w:p>
      <w:pPr>
        <w:spacing w:before="2" w:line="222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"/>
          <w:sz w:val="39"/>
          <w:szCs w:val="39"/>
        </w:rPr>
        <w:t>本标准适用于进出口蜂蜜中咖啡因含量的检验。</w:t>
      </w:r>
    </w:p>
    <w:p>
      <w:pPr>
        <w:pStyle w:val="BodyText"/>
        <w:spacing w:line="298" w:lineRule="auto"/>
      </w:pPr>
    </w:p>
    <w:p>
      <w:pPr>
        <w:spacing w:before="128" w:line="228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2</w:t>
      </w:r>
      <w:r>
        <w:rPr>
          <w:rFonts w:ascii="SimHei" w:eastAsia="SimHei" w:hAnsi="SimHei" w:cs="SimHei"/>
          <w:spacing w:val="182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抽样和制样</w:t>
      </w:r>
    </w:p>
    <w:p>
      <w:pPr>
        <w:pStyle w:val="BodyText"/>
        <w:spacing w:line="285" w:lineRule="auto"/>
      </w:pPr>
    </w:p>
    <w:p>
      <w:pPr>
        <w:spacing w:before="127" w:line="224" w:lineRule="auto"/>
        <w:ind w:left="5"/>
        <w:outlineLvl w:val="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5"/>
          <w:sz w:val="39"/>
          <w:szCs w:val="39"/>
        </w:rPr>
        <w:t>2.1</w:t>
      </w:r>
      <w:r>
        <w:rPr>
          <w:rFonts w:ascii="SimSun" w:eastAsia="SimSun" w:hAnsi="SimSun" w:cs="SimSun"/>
          <w:spacing w:val="192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39"/>
          <w:szCs w:val="39"/>
        </w:rPr>
        <w:t>检验批</w:t>
      </w:r>
    </w:p>
    <w:p>
      <w:pPr>
        <w:spacing w:before="73" w:line="217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4"/>
          <w:sz w:val="39"/>
          <w:szCs w:val="39"/>
        </w:rPr>
        <w:t xml:space="preserve">以不超过1000件(或25 </w:t>
      </w:r>
      <w:r>
        <w:rPr>
          <w:rFonts w:ascii="Times New Roman" w:eastAsia="Times New Roman" w:hAnsi="Times New Roman" w:cs="Times New Roman"/>
          <w:spacing w:val="14"/>
          <w:sz w:val="39"/>
          <w:szCs w:val="39"/>
        </w:rPr>
        <w:t xml:space="preserve">t) </w:t>
      </w:r>
      <w:r>
        <w:rPr>
          <w:rFonts w:ascii="SimSun" w:eastAsia="SimSun" w:hAnsi="SimSun" w:cs="SimSun"/>
          <w:spacing w:val="14"/>
          <w:sz w:val="39"/>
          <w:szCs w:val="39"/>
        </w:rPr>
        <w:t>为一检验批。</w:t>
      </w:r>
    </w:p>
    <w:p>
      <w:pPr>
        <w:spacing w:before="171" w:line="224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7"/>
          <w:sz w:val="39"/>
          <w:szCs w:val="39"/>
        </w:rPr>
        <w:t>同一检验批的商品应具有相同的特性，如包</w:t>
      </w:r>
      <w:r>
        <w:rPr>
          <w:rFonts w:ascii="SimSun" w:eastAsia="SimSun" w:hAnsi="SimSun" w:cs="SimSun"/>
          <w:spacing w:val="-18"/>
          <w:sz w:val="39"/>
          <w:szCs w:val="39"/>
        </w:rPr>
        <w:t>装、标记、产地、规格和等级等</w:t>
      </w:r>
    </w:p>
    <w:p>
      <w:pPr>
        <w:spacing w:before="130" w:line="227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2.2</w:t>
      </w:r>
      <w:r>
        <w:rPr>
          <w:rFonts w:ascii="SimHei" w:eastAsia="SimHei" w:hAnsi="SimHei" w:cs="SimHei"/>
          <w:spacing w:val="182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抽样数量</w:t>
      </w:r>
    </w:p>
    <w:p>
      <w:pPr>
        <w:spacing w:before="131" w:line="224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6"/>
          <w:sz w:val="39"/>
          <w:szCs w:val="39"/>
        </w:rPr>
        <w:t>抽样数量见表1。</w:t>
      </w:r>
    </w:p>
    <w:p>
      <w:pPr>
        <w:spacing w:before="111" w:line="226" w:lineRule="auto"/>
        <w:ind w:left="8084"/>
        <w:rPr>
          <w:rFonts w:ascii="SimHei" w:eastAsia="SimHei" w:hAnsi="SimHei" w:cs="SimHei"/>
          <w:sz w:val="37"/>
          <w:szCs w:val="37"/>
        </w:rPr>
      </w:pPr>
      <w:r>
        <w:pict>
          <v:shape id="_x0000_s1027" type="#_x0000_t202" style="width:69.7pt;height:21.85pt;margin-top:6.68pt;margin-left:776.45pt;position:absolute;z-index:251662336" filled="f" stroked="f">
            <o:lock v:ext="edit" aspectratio="f"/>
            <v:textbox inset="0,0,0,0">
              <w:txbxContent>
                <w:p>
                  <w:pPr>
                    <w:spacing w:before="20" w:line="222" w:lineRule="auto"/>
                    <w:ind w:left="20"/>
                    <w:rPr>
                      <w:rFonts w:ascii="SimSun" w:eastAsia="SimSun" w:hAnsi="SimSun" w:cs="SimSun"/>
                      <w:sz w:val="33"/>
                      <w:szCs w:val="33"/>
                    </w:rPr>
                  </w:pPr>
                  <w:r>
                    <w:rPr>
                      <w:rFonts w:ascii="SimSun" w:eastAsia="SimSun" w:hAnsi="SimSun" w:cs="SimSun"/>
                      <w:spacing w:val="8"/>
                      <w:sz w:val="33"/>
                      <w:szCs w:val="33"/>
                    </w:rPr>
                    <w:t>单位为件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2"/>
          <w:sz w:val="37"/>
          <w:szCs w:val="37"/>
        </w:rPr>
        <w:t>表</w:t>
      </w:r>
      <w:r>
        <w:rPr>
          <w:rFonts w:ascii="SimHei" w:eastAsia="SimHei" w:hAnsi="SimHei" w:cs="SimHei"/>
          <w:spacing w:val="81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spacing w:val="-12"/>
          <w:sz w:val="37"/>
          <w:szCs w:val="37"/>
        </w:rPr>
        <w:t>1</w:t>
      </w:r>
    </w:p>
    <w:p>
      <w:pPr>
        <w:spacing w:line="120" w:lineRule="exact"/>
      </w:pPr>
    </w:p>
    <w:tbl>
      <w:tblPr>
        <w:tblStyle w:val="TableNormal0"/>
        <w:tblW w:w="17235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440"/>
        <w:gridCol w:w="8795"/>
      </w:tblGrid>
      <w:tr>
        <w:tblPrEx>
          <w:tblW w:w="17235" w:type="dxa"/>
          <w:tblInd w:w="5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8"/>
        </w:trPr>
        <w:tc>
          <w:tcPr>
            <w:tcW w:w="8440" w:type="dxa"/>
            <w:vAlign w:val="top"/>
          </w:tcPr>
          <w:p>
            <w:pPr>
              <w:spacing w:before="195" w:line="226" w:lineRule="auto"/>
              <w:ind w:left="3909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3"/>
                <w:sz w:val="30"/>
                <w:szCs w:val="30"/>
              </w:rPr>
              <w:t>批量</w:t>
            </w:r>
          </w:p>
        </w:tc>
        <w:tc>
          <w:tcPr>
            <w:tcW w:w="8795" w:type="dxa"/>
            <w:vAlign w:val="top"/>
          </w:tcPr>
          <w:p>
            <w:pPr>
              <w:spacing w:before="191" w:line="224" w:lineRule="auto"/>
              <w:ind w:left="3626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0"/>
                <w:sz w:val="30"/>
                <w:szCs w:val="30"/>
              </w:rPr>
              <w:t>最低抽样数</w:t>
            </w:r>
          </w:p>
        </w:tc>
      </w:tr>
      <w:tr>
        <w:tblPrEx>
          <w:tblW w:w="17235" w:type="dxa"/>
          <w:tblInd w:w="54" w:type="dxa"/>
          <w:tblLayout w:type="fixed"/>
        </w:tblPrEx>
        <w:trPr>
          <w:trHeight w:val="684"/>
        </w:trPr>
        <w:tc>
          <w:tcPr>
            <w:tcW w:w="8440" w:type="dxa"/>
            <w:vAlign w:val="top"/>
          </w:tcPr>
          <w:p>
            <w:pPr>
              <w:spacing w:before="276" w:line="187" w:lineRule="auto"/>
              <w:ind w:left="3831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-4"/>
                <w:sz w:val="30"/>
                <w:szCs w:val="30"/>
              </w:rPr>
              <w:t>1～10</w:t>
            </w:r>
          </w:p>
        </w:tc>
        <w:tc>
          <w:tcPr>
            <w:tcW w:w="8795" w:type="dxa"/>
            <w:vAlign w:val="top"/>
          </w:tcPr>
          <w:p>
            <w:pPr>
              <w:spacing w:before="276" w:line="187" w:lineRule="auto"/>
              <w:ind w:left="4316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z w:val="30"/>
                <w:szCs w:val="30"/>
              </w:rPr>
              <w:t>1</w:t>
            </w:r>
          </w:p>
        </w:tc>
      </w:tr>
      <w:tr>
        <w:tblPrEx>
          <w:tblW w:w="17235" w:type="dxa"/>
          <w:tblInd w:w="54" w:type="dxa"/>
          <w:tblLayout w:type="fixed"/>
        </w:tblPrEx>
        <w:trPr>
          <w:trHeight w:val="674"/>
        </w:trPr>
        <w:tc>
          <w:tcPr>
            <w:tcW w:w="8440" w:type="dxa"/>
            <w:vAlign w:val="top"/>
          </w:tcPr>
          <w:p>
            <w:pPr>
              <w:spacing w:before="274" w:line="187" w:lineRule="auto"/>
              <w:ind w:left="3753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-2"/>
                <w:sz w:val="30"/>
                <w:szCs w:val="30"/>
              </w:rPr>
              <w:t>11～50</w:t>
            </w:r>
          </w:p>
        </w:tc>
        <w:tc>
          <w:tcPr>
            <w:tcW w:w="8795" w:type="dxa"/>
            <w:vAlign w:val="top"/>
          </w:tcPr>
          <w:p>
            <w:pPr>
              <w:spacing w:before="277" w:line="185" w:lineRule="auto"/>
              <w:ind w:left="4316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z w:val="30"/>
                <w:szCs w:val="30"/>
              </w:rPr>
              <w:t>5</w:t>
            </w:r>
          </w:p>
        </w:tc>
      </w:tr>
      <w:tr>
        <w:tblPrEx>
          <w:tblW w:w="17235" w:type="dxa"/>
          <w:tblInd w:w="54" w:type="dxa"/>
          <w:tblLayout w:type="fixed"/>
        </w:tblPrEx>
        <w:trPr>
          <w:trHeight w:val="674"/>
        </w:trPr>
        <w:tc>
          <w:tcPr>
            <w:tcW w:w="8440" w:type="dxa"/>
            <w:vAlign w:val="top"/>
          </w:tcPr>
          <w:p>
            <w:pPr>
              <w:spacing w:before="275" w:line="187" w:lineRule="auto"/>
              <w:ind w:left="3676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1"/>
                <w:sz w:val="30"/>
                <w:szCs w:val="30"/>
              </w:rPr>
              <w:t>51～100</w:t>
            </w:r>
          </w:p>
        </w:tc>
        <w:tc>
          <w:tcPr>
            <w:tcW w:w="8795" w:type="dxa"/>
            <w:vAlign w:val="top"/>
          </w:tcPr>
          <w:p>
            <w:pPr>
              <w:spacing w:before="275" w:line="187" w:lineRule="auto"/>
              <w:ind w:left="4241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-7"/>
                <w:sz w:val="30"/>
                <w:szCs w:val="30"/>
              </w:rPr>
              <w:t>10</w:t>
            </w:r>
          </w:p>
        </w:tc>
      </w:tr>
      <w:tr>
        <w:tblPrEx>
          <w:tblW w:w="17235" w:type="dxa"/>
          <w:tblInd w:w="54" w:type="dxa"/>
          <w:tblLayout w:type="fixed"/>
        </w:tblPrEx>
        <w:trPr>
          <w:trHeight w:val="684"/>
        </w:trPr>
        <w:tc>
          <w:tcPr>
            <w:tcW w:w="8440" w:type="dxa"/>
            <w:vAlign w:val="top"/>
          </w:tcPr>
          <w:p>
            <w:pPr>
              <w:spacing w:before="279" w:line="187" w:lineRule="auto"/>
              <w:ind w:left="3601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-1"/>
                <w:sz w:val="30"/>
                <w:szCs w:val="30"/>
              </w:rPr>
              <w:t>101～500</w:t>
            </w:r>
          </w:p>
        </w:tc>
        <w:tc>
          <w:tcPr>
            <w:tcW w:w="8795" w:type="dxa"/>
            <w:vAlign w:val="top"/>
          </w:tcPr>
          <w:p>
            <w:pPr>
              <w:spacing w:before="196" w:line="221" w:lineRule="auto"/>
              <w:ind w:left="3240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7"/>
                <w:sz w:val="30"/>
                <w:szCs w:val="30"/>
              </w:rPr>
              <w:t>每增加100,增取5</w:t>
            </w:r>
          </w:p>
        </w:tc>
      </w:tr>
      <w:tr>
        <w:tblPrEx>
          <w:tblW w:w="17235" w:type="dxa"/>
          <w:tblInd w:w="54" w:type="dxa"/>
          <w:tblLayout w:type="fixed"/>
        </w:tblPrEx>
        <w:trPr>
          <w:trHeight w:val="669"/>
        </w:trPr>
        <w:tc>
          <w:tcPr>
            <w:tcW w:w="8440" w:type="dxa"/>
            <w:vAlign w:val="top"/>
          </w:tcPr>
          <w:p>
            <w:pPr>
              <w:spacing w:before="199" w:line="227" w:lineRule="auto"/>
              <w:ind w:left="3676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8"/>
                <w:sz w:val="30"/>
                <w:szCs w:val="30"/>
              </w:rPr>
              <w:t>501以上</w:t>
            </w:r>
          </w:p>
        </w:tc>
        <w:tc>
          <w:tcPr>
            <w:tcW w:w="8795" w:type="dxa"/>
            <w:vAlign w:val="top"/>
          </w:tcPr>
          <w:p>
            <w:pPr>
              <w:spacing w:before="190" w:line="221" w:lineRule="auto"/>
              <w:ind w:left="3240"/>
              <w:rPr>
                <w:rFonts w:ascii="SimSun" w:eastAsia="SimSun" w:hAnsi="SimSun" w:cs="SimSun"/>
                <w:sz w:val="30"/>
                <w:szCs w:val="30"/>
              </w:rPr>
            </w:pPr>
            <w:r>
              <w:rPr>
                <w:rFonts w:ascii="SimSun" w:eastAsia="SimSun" w:hAnsi="SimSun" w:cs="SimSun"/>
                <w:spacing w:val="7"/>
                <w:sz w:val="30"/>
                <w:szCs w:val="30"/>
              </w:rPr>
              <w:t>每增加100,增取2</w:t>
            </w:r>
          </w:p>
        </w:tc>
      </w:tr>
    </w:tbl>
    <w:p>
      <w:pPr>
        <w:spacing w:before="194" w:line="228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"/>
          <w:sz w:val="39"/>
          <w:szCs w:val="39"/>
        </w:rPr>
        <w:t>2.3</w:t>
      </w:r>
      <w:r>
        <w:rPr>
          <w:rFonts w:ascii="SimHei" w:eastAsia="SimHei" w:hAnsi="SimHei" w:cs="SimHei"/>
          <w:spacing w:val="-1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9"/>
          <w:szCs w:val="39"/>
        </w:rPr>
        <w:t>抽样工具</w:t>
      </w:r>
    </w:p>
    <w:p>
      <w:pPr>
        <w:spacing w:before="38" w:line="217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2"/>
          <w:sz w:val="39"/>
          <w:szCs w:val="39"/>
        </w:rPr>
        <w:t>2.3.1</w:t>
      </w:r>
      <w:r>
        <w:rPr>
          <w:rFonts w:ascii="SimSun" w:eastAsia="SimSun" w:hAnsi="SimSun" w:cs="SimSun"/>
          <w:spacing w:val="-2"/>
          <w:sz w:val="39"/>
          <w:szCs w:val="39"/>
        </w:rPr>
        <w:t xml:space="preserve">  取样管：不锈钢管，长约115</w:t>
      </w:r>
      <w:r>
        <w:rPr>
          <w:rFonts w:ascii="SimSun" w:eastAsia="SimSun" w:hAnsi="SimSun" w:cs="SimSun"/>
          <w:spacing w:val="-11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cm,</w:t>
      </w:r>
      <w:r>
        <w:rPr>
          <w:rFonts w:ascii="Times New Roman" w:eastAsia="Times New Roman" w:hAnsi="Times New Roman" w:cs="Times New Roman"/>
          <w:spacing w:val="3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内径约2.5</w:t>
      </w:r>
      <w:r>
        <w:rPr>
          <w:rFonts w:ascii="SimSun" w:eastAsia="SimSun" w:hAnsi="SimSun" w:cs="SimSun"/>
          <w:spacing w:val="-9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 xml:space="preserve">cm; </w:t>
      </w:r>
      <w:r>
        <w:rPr>
          <w:rFonts w:ascii="SimSun" w:eastAsia="SimSun" w:hAnsi="SimSun" w:cs="SimSun"/>
          <w:spacing w:val="-2"/>
          <w:sz w:val="39"/>
          <w:szCs w:val="39"/>
        </w:rPr>
        <w:t>玻璃管，长约115</w:t>
      </w:r>
      <w:r>
        <w:rPr>
          <w:rFonts w:ascii="SimSun" w:eastAsia="SimSun" w:hAnsi="SimSun" w:cs="SimSun"/>
          <w:spacing w:val="-9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cm,</w:t>
      </w:r>
      <w:r>
        <w:rPr>
          <w:rFonts w:ascii="Times New Roman" w:eastAsia="Times New Roman" w:hAnsi="Times New Roman" w:cs="Times New Roman"/>
          <w:spacing w:val="3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内径约2</w:t>
      </w:r>
      <w:r>
        <w:rPr>
          <w:rFonts w:ascii="SimSun" w:eastAsia="SimSun" w:hAnsi="SimSun" w:cs="SimSun"/>
          <w:spacing w:val="-3"/>
          <w:sz w:val="39"/>
          <w:szCs w:val="39"/>
        </w:rPr>
        <w:t xml:space="preserve">.5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cm</w:t>
      </w:r>
      <w:r>
        <w:rPr>
          <w:rFonts w:ascii="SimSun" w:eastAsia="SimSun" w:hAnsi="SimSun" w:cs="SimSun"/>
          <w:spacing w:val="-3"/>
          <w:sz w:val="39"/>
          <w:szCs w:val="39"/>
        </w:rPr>
        <w:t>。</w:t>
      </w:r>
    </w:p>
    <w:p>
      <w:pPr>
        <w:spacing w:before="193" w:line="223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12"/>
          <w:sz w:val="39"/>
          <w:szCs w:val="39"/>
        </w:rPr>
        <w:t>2.3.2</w:t>
      </w:r>
      <w:r>
        <w:rPr>
          <w:rFonts w:ascii="SimSun" w:eastAsia="SimSun" w:hAnsi="SimSun" w:cs="SimSun"/>
          <w:spacing w:val="18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2"/>
          <w:sz w:val="39"/>
          <w:szCs w:val="39"/>
        </w:rPr>
        <w:t>混样器：搪瓷桶(或杯)。</w:t>
      </w:r>
    </w:p>
    <w:p>
      <w:pPr>
        <w:spacing w:before="138" w:line="224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10"/>
          <w:sz w:val="39"/>
          <w:szCs w:val="39"/>
        </w:rPr>
        <w:t>2.3.3</w:t>
      </w:r>
      <w:r>
        <w:rPr>
          <w:rFonts w:ascii="SimSun" w:eastAsia="SimSun" w:hAnsi="SimSun" w:cs="SimSun"/>
          <w:spacing w:val="-10"/>
          <w:sz w:val="39"/>
          <w:szCs w:val="39"/>
        </w:rPr>
        <w:t xml:space="preserve">  样品瓶：500 </w:t>
      </w:r>
      <w:r>
        <w:rPr>
          <w:rFonts w:ascii="Times New Roman" w:eastAsia="Times New Roman" w:hAnsi="Times New Roman" w:cs="Times New Roman"/>
          <w:spacing w:val="-10"/>
          <w:sz w:val="39"/>
          <w:szCs w:val="39"/>
        </w:rPr>
        <w:t xml:space="preserve">mL </w:t>
      </w:r>
      <w:r>
        <w:rPr>
          <w:rFonts w:ascii="SimSun" w:eastAsia="SimSun" w:hAnsi="SimSun" w:cs="SimSun"/>
          <w:spacing w:val="-10"/>
          <w:sz w:val="39"/>
          <w:szCs w:val="39"/>
        </w:rPr>
        <w:t>具塞广口玻璃瓶。</w:t>
      </w:r>
    </w:p>
    <w:p>
      <w:pPr>
        <w:spacing w:before="64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5"/>
          <w:sz w:val="39"/>
          <w:szCs w:val="39"/>
        </w:rPr>
        <w:t>2.4</w:t>
      </w:r>
      <w:r>
        <w:rPr>
          <w:rFonts w:ascii="SimHei" w:eastAsia="SimHei" w:hAnsi="SimHei" w:cs="SimHei"/>
          <w:spacing w:val="16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39"/>
          <w:szCs w:val="39"/>
        </w:rPr>
        <w:t>抽样方法</w:t>
      </w:r>
    </w:p>
    <w:p>
      <w:pPr>
        <w:spacing w:before="137" w:line="278" w:lineRule="auto"/>
        <w:ind w:right="40" w:firstLine="774"/>
        <w:jc w:val="both"/>
        <w:rPr>
          <w:rFonts w:ascii="SimSun" w:eastAsia="SimSun" w:hAnsi="SimSun" w:cs="SimSun"/>
          <w:sz w:val="39"/>
          <w:szCs w:val="39"/>
        </w:rPr>
        <w:sectPr>
          <w:footerReference w:type="default" r:id="rId10"/>
          <w:pgSz w:w="21427" w:h="31681"/>
          <w:pgMar w:top="2454" w:right="2044" w:bottom="2604" w:left="2089" w:header="0" w:footer="2355" w:gutter="0"/>
          <w:pgNumType w:start="4"/>
          <w:cols w:space="708"/>
        </w:sectPr>
      </w:pPr>
      <w:r>
        <w:rPr>
          <w:rFonts w:ascii="SimSun" w:eastAsia="SimSun" w:hAnsi="SimSun" w:cs="SimSun"/>
          <w:spacing w:val="-2"/>
          <w:sz w:val="39"/>
          <w:szCs w:val="39"/>
        </w:rPr>
        <w:t>按2.2规定的抽样件数随机抽取，逐件开启。将玻璃管缓缓从开口处放入</w:t>
      </w:r>
      <w:r>
        <w:rPr>
          <w:rFonts w:ascii="SimSun" w:eastAsia="SimSun" w:hAnsi="SimSun" w:cs="SimSun"/>
          <w:spacing w:val="-3"/>
          <w:sz w:val="39"/>
          <w:szCs w:val="39"/>
        </w:rPr>
        <w:t>直至桶底，吸取样品。如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 xml:space="preserve">遇蜂蜜结晶，用不锈钢管缓缓插入，直至桶底，吸取样品。每件抽取样品不少于100 </w:t>
      </w:r>
      <w:r>
        <w:rPr>
          <w:rFonts w:ascii="Times New Roman" w:eastAsia="Times New Roman" w:hAnsi="Times New Roman" w:cs="Times New Roman"/>
          <w:spacing w:val="1"/>
          <w:sz w:val="39"/>
          <w:szCs w:val="39"/>
        </w:rPr>
        <w:t>g</w:t>
      </w:r>
      <w:r>
        <w:rPr>
          <w:rFonts w:ascii="Times New Roman" w:eastAsia="Times New Roman" w:hAnsi="Times New Roman" w:cs="Times New Roman"/>
          <w:spacing w:val="2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"/>
          <w:sz w:val="39"/>
          <w:szCs w:val="39"/>
        </w:rPr>
        <w:t>作为</w:t>
      </w:r>
      <w:r>
        <w:rPr>
          <w:rFonts w:ascii="SimSun" w:eastAsia="SimSun" w:hAnsi="SimSun" w:cs="SimSun"/>
          <w:sz w:val="39"/>
          <w:szCs w:val="39"/>
        </w:rPr>
        <w:t xml:space="preserve">原始样品 </w:t>
      </w:r>
      <w:r>
        <w:rPr>
          <w:rFonts w:ascii="SimSun" w:eastAsia="SimSun" w:hAnsi="SimSun" w:cs="SimSun"/>
          <w:spacing w:val="-9"/>
          <w:sz w:val="39"/>
          <w:szCs w:val="39"/>
        </w:rPr>
        <w:t>将所取样品倾人混样器内，混合均匀，分出约1</w:t>
      </w:r>
      <w:r>
        <w:rPr>
          <w:rFonts w:ascii="SimSun" w:eastAsia="SimSun" w:hAnsi="SimSun" w:cs="SimSun"/>
          <w:spacing w:val="-8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39"/>
          <w:szCs w:val="39"/>
        </w:rPr>
        <w:t>k</w:t>
      </w:r>
      <w:r>
        <w:rPr>
          <w:rFonts w:ascii="Times New Roman" w:eastAsia="Times New Roman" w:hAnsi="Times New Roman" w:cs="Times New Roman"/>
          <w:spacing w:val="-10"/>
          <w:sz w:val="39"/>
          <w:szCs w:val="39"/>
        </w:rPr>
        <w:t>g,</w:t>
      </w:r>
      <w:r>
        <w:rPr>
          <w:rFonts w:ascii="Times New Roman" w:eastAsia="Times New Roman" w:hAnsi="Times New Roman" w:cs="Times New Roman"/>
          <w:spacing w:val="3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0"/>
          <w:sz w:val="39"/>
          <w:szCs w:val="39"/>
        </w:rPr>
        <w:t>装入清洁干燥的样品瓶内，加封后，标明标记，及时</w:t>
      </w:r>
    </w:p>
    <w:p>
      <w:pPr>
        <w:spacing w:before="1" w:line="224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8"/>
          <w:sz w:val="39"/>
          <w:szCs w:val="39"/>
        </w:rPr>
        <w:t>送交实验室。</w:t>
      </w:r>
    </w:p>
    <w:p>
      <w:pPr>
        <w:spacing w:before="128" w:line="223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1"/>
          <w:sz w:val="39"/>
          <w:szCs w:val="39"/>
        </w:rPr>
        <w:t>如属瓶装蜂蜜，按应开件数，从每件中随机取一瓶，标明</w:t>
      </w:r>
      <w:r>
        <w:rPr>
          <w:rFonts w:ascii="SimSun" w:eastAsia="SimSun" w:hAnsi="SimSun" w:cs="SimSun"/>
          <w:spacing w:val="-22"/>
          <w:sz w:val="39"/>
          <w:szCs w:val="39"/>
        </w:rPr>
        <w:t>标记，及时送交实验室。</w:t>
      </w:r>
    </w:p>
    <w:p>
      <w:pPr>
        <w:spacing w:before="111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z w:val="39"/>
          <w:szCs w:val="39"/>
        </w:rPr>
        <w:t>2.5</w:t>
      </w:r>
      <w:r>
        <w:rPr>
          <w:rFonts w:ascii="SimHei" w:eastAsia="SimHei" w:hAnsi="SimHei" w:cs="SimHei"/>
          <w:spacing w:val="186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z w:val="39"/>
          <w:szCs w:val="39"/>
        </w:rPr>
        <w:t>试样制备</w:t>
      </w:r>
    </w:p>
    <w:p>
      <w:pPr>
        <w:spacing w:before="137" w:line="224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2"/>
          <w:sz w:val="39"/>
          <w:szCs w:val="39"/>
        </w:rPr>
        <w:t>将取回样品充分搅匀，均分成两份，装入试样瓶中作为试样，密封，标明标记。</w:t>
      </w:r>
    </w:p>
    <w:p>
      <w:pPr>
        <w:spacing w:before="112" w:line="609" w:lineRule="exact"/>
        <w:ind w:right="52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position w:val="15"/>
          <w:sz w:val="39"/>
          <w:szCs w:val="39"/>
        </w:rPr>
        <w:t>如取回样品中有结晶析出，则将样品瓶加盖后，置于不超过40℃的水浴中温热。待结晶全部</w:t>
      </w:r>
      <w:r>
        <w:rPr>
          <w:rFonts w:ascii="SimSun" w:eastAsia="SimSun" w:hAnsi="SimSun" w:cs="SimSun"/>
          <w:spacing w:val="1"/>
          <w:position w:val="15"/>
          <w:sz w:val="39"/>
          <w:szCs w:val="39"/>
        </w:rPr>
        <w:t>融化</w:t>
      </w:r>
    </w:p>
    <w:p>
      <w:pPr>
        <w:spacing w:before="2" w:line="223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39"/>
          <w:sz w:val="39"/>
          <w:szCs w:val="39"/>
        </w:rPr>
        <w:t>后，启盖，充分搅匀，均分成两份，密封，并标明标记。</w:t>
      </w:r>
    </w:p>
    <w:p>
      <w:pPr>
        <w:spacing w:before="46" w:line="631" w:lineRule="exact"/>
        <w:ind w:right="37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9"/>
          <w:position w:val="17"/>
          <w:sz w:val="39"/>
          <w:szCs w:val="39"/>
        </w:rPr>
        <w:t>如属瓶装蜂蜜，将取回的全部蜂蜜，倒在一起，充分搅匀，分取出约1</w:t>
      </w:r>
      <w:r>
        <w:rPr>
          <w:rFonts w:ascii="SimSun" w:eastAsia="SimSun" w:hAnsi="SimSun" w:cs="SimSun"/>
          <w:spacing w:val="-67"/>
          <w:position w:val="1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17"/>
          <w:sz w:val="39"/>
          <w:szCs w:val="39"/>
        </w:rPr>
        <w:t>kg</w:t>
      </w:r>
      <w:r>
        <w:rPr>
          <w:rFonts w:ascii="Times New Roman" w:eastAsia="Times New Roman" w:hAnsi="Times New Roman" w:cs="Times New Roman"/>
          <w:spacing w:val="31"/>
          <w:position w:val="1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9"/>
          <w:position w:val="17"/>
          <w:sz w:val="39"/>
          <w:szCs w:val="39"/>
        </w:rPr>
        <w:t>代表性样品。</w:t>
      </w:r>
      <w:r>
        <w:rPr>
          <w:rFonts w:ascii="SimSun" w:eastAsia="SimSun" w:hAnsi="SimSun" w:cs="SimSun"/>
          <w:spacing w:val="-10"/>
          <w:position w:val="17"/>
          <w:sz w:val="39"/>
          <w:szCs w:val="39"/>
        </w:rPr>
        <w:t>再将1</w:t>
      </w:r>
      <w:r>
        <w:rPr>
          <w:rFonts w:ascii="SimSun" w:eastAsia="SimSun" w:hAnsi="SimSun" w:cs="SimSun"/>
          <w:spacing w:val="-90"/>
          <w:position w:val="1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7"/>
          <w:sz w:val="39"/>
          <w:szCs w:val="39"/>
        </w:rPr>
        <w:t>kg</w:t>
      </w:r>
      <w:r>
        <w:rPr>
          <w:rFonts w:ascii="Times New Roman" w:eastAsia="Times New Roman" w:hAnsi="Times New Roman" w:cs="Times New Roman"/>
          <w:spacing w:val="51"/>
          <w:position w:val="1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0"/>
          <w:position w:val="17"/>
          <w:sz w:val="39"/>
          <w:szCs w:val="39"/>
        </w:rPr>
        <w:t>代</w:t>
      </w:r>
    </w:p>
    <w:p>
      <w:pPr>
        <w:spacing w:before="1" w:line="223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7"/>
          <w:sz w:val="39"/>
          <w:szCs w:val="39"/>
        </w:rPr>
        <w:t>表性样品经搅匀后，均分成两份，装人试样瓶中作为试样，密封，标明标记。在抽样和制样的操作过程</w:t>
      </w:r>
    </w:p>
    <w:p>
      <w:pPr>
        <w:spacing w:line="223" w:lineRule="auto"/>
        <w:rPr>
          <w:rFonts w:ascii="SimSun" w:eastAsia="SimSun" w:hAnsi="SimSun" w:cs="SimSun"/>
          <w:sz w:val="39"/>
          <w:szCs w:val="39"/>
        </w:rPr>
        <w:sectPr>
          <w:footerReference w:type="default" r:id="rId11"/>
          <w:type w:val="nextPage"/>
          <w:pgSz w:w="21427" w:h="31681"/>
          <w:pgMar w:top="2454" w:right="2044" w:bottom="2604" w:left="2089" w:header="0" w:footer="2355" w:gutter="0"/>
          <w:pgNumType w:start="5"/>
          <w:cols w:space="708"/>
          <w:titlePg w:val="0"/>
        </w:sectPr>
      </w:pPr>
    </w:p>
    <w:p>
      <w:pPr>
        <w:spacing w:before="71" w:line="227" w:lineRule="auto"/>
        <w:ind w:left="5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6"/>
          <w:sz w:val="35"/>
          <w:szCs w:val="35"/>
        </w:rPr>
        <w:t>SN/T</w:t>
      </w:r>
      <w:r>
        <w:rPr>
          <w:rFonts w:ascii="SimSun" w:eastAsia="SimSun" w:hAnsi="SimSun" w:cs="SimSun"/>
          <w:spacing w:val="16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6"/>
          <w:sz w:val="35"/>
          <w:szCs w:val="35"/>
        </w:rPr>
        <w:t>1354—2004</w:t>
      </w: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20" w:line="222" w:lineRule="auto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7"/>
          <w:sz w:val="37"/>
          <w:szCs w:val="37"/>
        </w:rPr>
        <w:t>中，应防止样品受到污染或发生含量的变化。</w:t>
      </w:r>
    </w:p>
    <w:p>
      <w:pPr>
        <w:spacing w:before="88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2.6</w:t>
      </w:r>
      <w:r>
        <w:rPr>
          <w:rFonts w:ascii="SimHei" w:eastAsia="SimHei" w:hAnsi="SimHei" w:cs="SimHei"/>
          <w:spacing w:val="-3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试样保存</w:t>
      </w:r>
    </w:p>
    <w:p>
      <w:pPr>
        <w:spacing w:before="140" w:line="224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4"/>
          <w:sz w:val="39"/>
          <w:szCs w:val="39"/>
        </w:rPr>
        <w:t>将试样于室温下保存。</w:t>
      </w:r>
    </w:p>
    <w:p>
      <w:pPr>
        <w:pStyle w:val="BodyText"/>
        <w:spacing w:line="290" w:lineRule="auto"/>
      </w:pPr>
    </w:p>
    <w:p>
      <w:pPr>
        <w:spacing w:before="127" w:line="225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7"/>
          <w:sz w:val="39"/>
          <w:szCs w:val="39"/>
        </w:rPr>
        <w:t>3</w:t>
      </w:r>
      <w:r>
        <w:rPr>
          <w:rFonts w:ascii="SimHei" w:eastAsia="SimHei" w:hAnsi="SimHei" w:cs="SimHei"/>
          <w:spacing w:val="17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39"/>
          <w:szCs w:val="39"/>
        </w:rPr>
        <w:t>测定方法</w:t>
      </w:r>
    </w:p>
    <w:p>
      <w:pPr>
        <w:pStyle w:val="BodyText"/>
        <w:spacing w:line="275" w:lineRule="auto"/>
      </w:pPr>
    </w:p>
    <w:p>
      <w:pPr>
        <w:spacing w:before="128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3.1</w:t>
      </w:r>
      <w:r>
        <w:rPr>
          <w:rFonts w:ascii="SimHei" w:eastAsia="SimHei" w:hAnsi="SimHei" w:cs="SimHei"/>
          <w:spacing w:val="187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方法提要</w:t>
      </w:r>
    </w:p>
    <w:p>
      <w:pPr>
        <w:spacing w:before="116" w:line="586" w:lineRule="exact"/>
        <w:ind w:right="28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5"/>
          <w:position w:val="13"/>
          <w:sz w:val="39"/>
          <w:szCs w:val="39"/>
        </w:rPr>
        <w:t>样品中咖啡因在碱性条件下，用三氯甲烷提取，提取</w:t>
      </w:r>
      <w:r>
        <w:rPr>
          <w:rFonts w:ascii="SimSun" w:eastAsia="SimSun" w:hAnsi="SimSun" w:cs="SimSun"/>
          <w:spacing w:val="-16"/>
          <w:position w:val="13"/>
          <w:sz w:val="39"/>
          <w:szCs w:val="39"/>
        </w:rPr>
        <w:t>液经净化、浓缩后，用配有紫外检测器的液相色</w:t>
      </w:r>
    </w:p>
    <w:p>
      <w:pPr>
        <w:spacing w:before="2" w:line="223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1"/>
          <w:sz w:val="39"/>
          <w:szCs w:val="39"/>
        </w:rPr>
        <w:t>谱仪测定，外标法定量。</w:t>
      </w:r>
    </w:p>
    <w:p>
      <w:pPr>
        <w:spacing w:before="128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5"/>
          <w:sz w:val="39"/>
          <w:szCs w:val="39"/>
        </w:rPr>
        <w:t>3.2</w:t>
      </w:r>
      <w:r>
        <w:rPr>
          <w:rFonts w:ascii="SimHei" w:eastAsia="SimHei" w:hAnsi="SimHei" w:cs="SimHei"/>
          <w:spacing w:val="188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39"/>
          <w:szCs w:val="39"/>
        </w:rPr>
        <w:t>试剂和材料</w:t>
      </w:r>
    </w:p>
    <w:p>
      <w:pPr>
        <w:spacing w:before="137" w:line="223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7"/>
          <w:sz w:val="39"/>
          <w:szCs w:val="39"/>
        </w:rPr>
        <w:t>所有试剂除特殊注明外，均为分析纯，水为重蒸馏水。</w:t>
      </w:r>
    </w:p>
    <w:p>
      <w:pPr>
        <w:spacing w:before="113" w:line="222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10"/>
          <w:sz w:val="39"/>
          <w:szCs w:val="39"/>
        </w:rPr>
        <w:t>3.2.1</w:t>
      </w:r>
      <w:r>
        <w:rPr>
          <w:rFonts w:ascii="SimSun" w:eastAsia="SimSun" w:hAnsi="SimSun" w:cs="SimSun"/>
          <w:spacing w:val="-10"/>
          <w:sz w:val="39"/>
          <w:szCs w:val="39"/>
        </w:rPr>
        <w:t xml:space="preserve">  乙腈：液相色谱纯或相当者。</w:t>
      </w:r>
    </w:p>
    <w:p>
      <w:pPr>
        <w:spacing w:before="121" w:line="225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z w:val="39"/>
          <w:szCs w:val="39"/>
        </w:rPr>
        <w:t>3.2.2</w:t>
      </w:r>
      <w:r>
        <w:rPr>
          <w:rFonts w:ascii="SimSun" w:eastAsia="SimSun" w:hAnsi="SimSun" w:cs="SimSun"/>
          <w:sz w:val="39"/>
          <w:szCs w:val="39"/>
        </w:rPr>
        <w:t xml:space="preserve">  冰乙酸：99.9%。</w:t>
      </w:r>
    </w:p>
    <w:p>
      <w:pPr>
        <w:spacing w:before="68" w:line="224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2"/>
          <w:sz w:val="39"/>
          <w:szCs w:val="39"/>
        </w:rPr>
        <w:t>3.2.3</w:t>
      </w:r>
      <w:r>
        <w:rPr>
          <w:rFonts w:ascii="SimSun" w:eastAsia="SimSun" w:hAnsi="SimSun" w:cs="SimSun"/>
          <w:spacing w:val="18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三氯甲烷。</w:t>
      </w:r>
    </w:p>
    <w:p>
      <w:pPr>
        <w:spacing w:before="162" w:line="218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z w:val="39"/>
          <w:szCs w:val="39"/>
        </w:rPr>
        <w:t>3.2.4</w:t>
      </w:r>
      <w:r>
        <w:rPr>
          <w:rFonts w:ascii="SimSun" w:eastAsia="SimSun" w:hAnsi="SimSun" w:cs="SimSun"/>
          <w:sz w:val="39"/>
          <w:szCs w:val="39"/>
        </w:rPr>
        <w:t xml:space="preserve">  氢氧化钠水溶液：称取5.0.g</w:t>
      </w:r>
      <w:r>
        <w:rPr>
          <w:rFonts w:ascii="SimSun" w:eastAsia="SimSun" w:hAnsi="SimSun" w:cs="SimSun"/>
          <w:spacing w:val="-88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氢氧化钠用100 mL 水溶解。</w:t>
      </w:r>
    </w:p>
    <w:p>
      <w:pPr>
        <w:spacing w:before="115" w:line="226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Sun" w:eastAsia="SimSun" w:hAnsi="SimSun" w:cs="SimSun"/>
          <w:b/>
          <w:bCs/>
          <w:sz w:val="39"/>
          <w:szCs w:val="39"/>
        </w:rPr>
        <w:t>3.2.5</w:t>
      </w:r>
      <w:r>
        <w:rPr>
          <w:rFonts w:ascii="SimSun" w:eastAsia="SimSun" w:hAnsi="SimSun" w:cs="SimSun"/>
          <w:sz w:val="39"/>
          <w:szCs w:val="39"/>
        </w:rPr>
        <w:t xml:space="preserve">  咖啡因</w:t>
      </w:r>
      <w:r>
        <w:rPr>
          <w:rFonts w:ascii="SimHei" w:eastAsia="SimHei" w:hAnsi="SimHei" w:cs="SimHei"/>
          <w:sz w:val="39"/>
          <w:szCs w:val="39"/>
        </w:rPr>
        <w:t>：纯度≥99.5%。</w:t>
      </w:r>
    </w:p>
    <w:p>
      <w:pPr>
        <w:spacing w:before="129" w:line="258" w:lineRule="auto"/>
        <w:ind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5"/>
          <w:sz w:val="39"/>
          <w:szCs w:val="39"/>
        </w:rPr>
        <w:t>3.2.6</w:t>
      </w:r>
      <w:r>
        <w:rPr>
          <w:rFonts w:ascii="SimSun" w:eastAsia="SimSun" w:hAnsi="SimSun" w:cs="SimSun"/>
          <w:spacing w:val="15"/>
          <w:sz w:val="39"/>
          <w:szCs w:val="39"/>
        </w:rPr>
        <w:t xml:space="preserve">  标准溶液(1</w:t>
      </w:r>
      <w:r>
        <w:rPr>
          <w:rFonts w:ascii="SimSun" w:eastAsia="SimSun" w:hAnsi="SimSun" w:cs="SimSun"/>
          <w:spacing w:val="-11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mg</w:t>
      </w:r>
      <w:r>
        <w:rPr>
          <w:rFonts w:ascii="Times New Roman" w:eastAsia="Times New Roman" w:hAnsi="Times New Roman" w:cs="Times New Roman"/>
          <w:spacing w:val="15"/>
          <w:sz w:val="39"/>
          <w:szCs w:val="39"/>
        </w:rPr>
        <w:t>/</w:t>
      </w:r>
      <w:r>
        <w:rPr>
          <w:rFonts w:ascii="Times New Roman" w:eastAsia="Times New Roman" w:hAnsi="Times New Roman" w:cs="Times New Roman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15"/>
          <w:sz w:val="39"/>
          <w:szCs w:val="39"/>
        </w:rPr>
        <w:t xml:space="preserve">):   </w:t>
      </w:r>
      <w:r>
        <w:rPr>
          <w:rFonts w:ascii="SimSun" w:eastAsia="SimSun" w:hAnsi="SimSun" w:cs="SimSun"/>
          <w:spacing w:val="15"/>
          <w:sz w:val="39"/>
          <w:szCs w:val="39"/>
        </w:rPr>
        <w:t>准确称取0.1</w:t>
      </w:r>
      <w:r>
        <w:rPr>
          <w:rFonts w:ascii="SimSun" w:eastAsia="SimSun" w:hAnsi="SimSun" w:cs="SimSun"/>
          <w:spacing w:val="-9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39"/>
          <w:szCs w:val="39"/>
        </w:rPr>
        <w:t>g</w:t>
      </w:r>
      <w:r>
        <w:rPr>
          <w:rFonts w:ascii="SimSun" w:eastAsia="SimSun" w:hAnsi="SimSun" w:cs="SimSun"/>
          <w:spacing w:val="15"/>
          <w:sz w:val="39"/>
          <w:szCs w:val="39"/>
        </w:rPr>
        <w:t>(准确至0.0001</w:t>
      </w:r>
      <w:r>
        <w:rPr>
          <w:rFonts w:ascii="SimSun" w:eastAsia="SimSun" w:hAnsi="SimSun" w:cs="SimSun"/>
          <w:spacing w:val="-9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39"/>
          <w:szCs w:val="39"/>
        </w:rPr>
        <w:t xml:space="preserve">g) </w:t>
      </w:r>
      <w:r>
        <w:rPr>
          <w:rFonts w:ascii="SimSun" w:eastAsia="SimSun" w:hAnsi="SimSun" w:cs="SimSun"/>
          <w:spacing w:val="15"/>
          <w:sz w:val="39"/>
          <w:szCs w:val="39"/>
        </w:rPr>
        <w:t>咖啡因标准品，用水溶解</w:t>
      </w:r>
      <w:r>
        <w:rPr>
          <w:rFonts w:ascii="SimSun" w:eastAsia="SimSun" w:hAnsi="SimSun" w:cs="SimSun"/>
          <w:spacing w:val="14"/>
          <w:sz w:val="39"/>
          <w:szCs w:val="39"/>
        </w:rPr>
        <w:t>并定容至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100  mL,作为标准储备液。再根据需要用水将</w:t>
      </w:r>
      <w:r>
        <w:rPr>
          <w:rFonts w:ascii="SimSun" w:eastAsia="SimSun" w:hAnsi="SimSun" w:cs="SimSun"/>
          <w:spacing w:val="-1"/>
          <w:sz w:val="39"/>
          <w:szCs w:val="39"/>
        </w:rPr>
        <w:t>标准储备液稀释至适当浓度。</w:t>
      </w:r>
    </w:p>
    <w:p>
      <w:pPr>
        <w:spacing w:before="77" w:line="226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5"/>
          <w:sz w:val="39"/>
          <w:szCs w:val="39"/>
        </w:rPr>
        <w:t>3.3</w:t>
      </w:r>
      <w:r>
        <w:rPr>
          <w:rFonts w:ascii="SimHei" w:eastAsia="SimHei" w:hAnsi="SimHei" w:cs="SimHei"/>
          <w:spacing w:val="187"/>
          <w:sz w:val="39"/>
          <w:szCs w:val="39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39"/>
          <w:szCs w:val="39"/>
        </w:rPr>
        <w:t>仪器和设备</w:t>
      </w:r>
    </w:p>
    <w:p>
      <w:pPr>
        <w:spacing w:before="137" w:line="224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2"/>
          <w:sz w:val="39"/>
          <w:szCs w:val="39"/>
        </w:rPr>
        <w:t>3.3.1</w:t>
      </w:r>
      <w:r>
        <w:rPr>
          <w:rFonts w:ascii="SimSun" w:eastAsia="SimSun" w:hAnsi="SimSun" w:cs="SimSun"/>
          <w:spacing w:val="19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高效液相色谱仪配紫外检测器。</w:t>
      </w:r>
    </w:p>
    <w:p>
      <w:pPr>
        <w:spacing w:before="76" w:line="225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3"/>
          <w:sz w:val="39"/>
          <w:szCs w:val="39"/>
        </w:rPr>
        <w:t>3.3.2</w:t>
      </w:r>
      <w:r>
        <w:rPr>
          <w:rFonts w:ascii="SimSun" w:eastAsia="SimSun" w:hAnsi="SimSun" w:cs="SimSun"/>
          <w:spacing w:val="-3"/>
          <w:sz w:val="39"/>
          <w:szCs w:val="39"/>
        </w:rPr>
        <w:t xml:space="preserve">  旋涡混匀器。</w:t>
      </w:r>
    </w:p>
    <w:p>
      <w:pPr>
        <w:spacing w:before="108" w:line="221" w:lineRule="auto"/>
        <w:ind w:left="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2"/>
          <w:sz w:val="37"/>
          <w:szCs w:val="37"/>
        </w:rPr>
        <w:t>3.3.3</w:t>
      </w:r>
      <w:r>
        <w:rPr>
          <w:rFonts w:ascii="SimSun" w:eastAsia="SimSun" w:hAnsi="SimSun" w:cs="SimSun"/>
          <w:spacing w:val="39"/>
          <w:sz w:val="37"/>
          <w:szCs w:val="37"/>
        </w:rPr>
        <w:t xml:space="preserve">  </w:t>
      </w:r>
      <w:r>
        <w:rPr>
          <w:rFonts w:ascii="SimSun" w:eastAsia="SimSun" w:hAnsi="SimSun" w:cs="SimSun"/>
          <w:spacing w:val="2"/>
          <w:sz w:val="37"/>
          <w:szCs w:val="37"/>
        </w:rPr>
        <w:t xml:space="preserve">离心机：4000 </w:t>
      </w:r>
      <w:r>
        <w:rPr>
          <w:rFonts w:ascii="Times New Roman" w:eastAsia="Times New Roman" w:hAnsi="Times New Roman" w:cs="Times New Roman"/>
          <w:spacing w:val="2"/>
          <w:sz w:val="37"/>
          <w:szCs w:val="37"/>
        </w:rPr>
        <w:t>r/</w:t>
      </w:r>
      <w:r>
        <w:rPr>
          <w:rFonts w:ascii="Times New Roman" w:eastAsia="Times New Roman" w:hAnsi="Times New Roman" w:cs="Times New Roman"/>
          <w:sz w:val="37"/>
          <w:szCs w:val="37"/>
        </w:rPr>
        <w:t>min</w:t>
      </w:r>
      <w:r>
        <w:rPr>
          <w:rFonts w:ascii="SimSun" w:eastAsia="SimSun" w:hAnsi="SimSun" w:cs="SimSun"/>
          <w:spacing w:val="2"/>
          <w:sz w:val="37"/>
          <w:szCs w:val="37"/>
        </w:rPr>
        <w:t>。</w:t>
      </w:r>
    </w:p>
    <w:p>
      <w:pPr>
        <w:spacing w:before="160" w:line="224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z w:val="39"/>
          <w:szCs w:val="39"/>
        </w:rPr>
        <w:t>3.3.4</w:t>
      </w:r>
      <w:r>
        <w:rPr>
          <w:rFonts w:ascii="SimSun" w:eastAsia="SimSun" w:hAnsi="SimSun" w:cs="SimSun"/>
          <w:spacing w:val="18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多功能微量化样品处理仪或类似者。</w:t>
      </w:r>
    </w:p>
    <w:p>
      <w:pPr>
        <w:spacing w:before="104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3.4</w:t>
      </w:r>
      <w:r>
        <w:rPr>
          <w:rFonts w:ascii="SimHei" w:eastAsia="SimHei" w:hAnsi="SimHei" w:cs="SimHei"/>
          <w:spacing w:val="-3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测定步骤</w:t>
      </w:r>
    </w:p>
    <w:p>
      <w:pPr>
        <w:spacing w:before="154" w:line="225" w:lineRule="auto"/>
        <w:ind w:left="5"/>
        <w:outlineLvl w:val="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21"/>
          <w:sz w:val="39"/>
          <w:szCs w:val="39"/>
        </w:rPr>
        <w:t>3.4.1</w:t>
      </w:r>
      <w:r>
        <w:rPr>
          <w:rFonts w:ascii="SimHei" w:eastAsia="SimHei" w:hAnsi="SimHei" w:cs="SimHei"/>
          <w:spacing w:val="8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21"/>
          <w:sz w:val="39"/>
          <w:szCs w:val="39"/>
        </w:rPr>
        <w:t>提取、净化</w:t>
      </w:r>
    </w:p>
    <w:p>
      <w:pPr>
        <w:spacing w:before="96" w:line="257" w:lineRule="auto"/>
        <w:ind w:right="41" w:firstLine="774"/>
        <w:jc w:val="both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准确称取20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g</w:t>
      </w:r>
      <w:r>
        <w:rPr>
          <w:rFonts w:ascii="SimSun" w:eastAsia="SimSun" w:hAnsi="SimSun" w:cs="SimSun"/>
          <w:spacing w:val="5"/>
          <w:sz w:val="39"/>
          <w:szCs w:val="39"/>
        </w:rPr>
        <w:t xml:space="preserve">(准确至0.01 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>g)</w:t>
      </w:r>
      <w:r>
        <w:rPr>
          <w:rFonts w:ascii="SimSun" w:eastAsia="SimSun" w:hAnsi="SimSun" w:cs="SimSun"/>
          <w:spacing w:val="5"/>
          <w:sz w:val="39"/>
          <w:szCs w:val="39"/>
        </w:rPr>
        <w:t xml:space="preserve">试样于50 </w:t>
      </w:r>
      <w:r>
        <w:rPr>
          <w:rFonts w:ascii="Times New Roman" w:eastAsia="Times New Roman" w:hAnsi="Times New Roman" w:cs="Times New Roman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 xml:space="preserve">具塞离心管中，加入10 </w:t>
      </w:r>
      <w:r>
        <w:rPr>
          <w:rFonts w:ascii="Times New Roman" w:eastAsia="Times New Roman" w:hAnsi="Times New Roman" w:cs="Times New Roman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氢氧化钠水溶液混匀，然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sz w:val="39"/>
          <w:szCs w:val="39"/>
        </w:rPr>
        <w:t>后定量加入20.0</w:t>
      </w:r>
      <w:r>
        <w:rPr>
          <w:rFonts w:ascii="Times New Roman" w:eastAsia="Times New Roman" w:hAnsi="Times New Roman" w:cs="Times New Roman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4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sz w:val="39"/>
          <w:szCs w:val="39"/>
        </w:rPr>
        <w:t>三氯甲烷，加塞，在旋涡混匀器上混匀5</w:t>
      </w:r>
      <w:r>
        <w:rPr>
          <w:rFonts w:ascii="SimSun" w:eastAsia="SimSun" w:hAnsi="SimSun" w:cs="SimSun"/>
          <w:spacing w:val="-11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min</w:t>
      </w:r>
      <w:r>
        <w:rPr>
          <w:rFonts w:ascii="Times New Roman" w:eastAsia="Times New Roman" w:hAnsi="Times New Roman" w:cs="Times New Roman"/>
          <w:spacing w:val="8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pacing w:val="4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8"/>
          <w:sz w:val="39"/>
          <w:szCs w:val="39"/>
        </w:rPr>
        <w:t>于200</w:t>
      </w:r>
      <w:r>
        <w:rPr>
          <w:rFonts w:ascii="SimSun" w:eastAsia="SimSun" w:hAnsi="SimSun" w:cs="SimSun"/>
          <w:spacing w:val="7"/>
          <w:sz w:val="39"/>
          <w:szCs w:val="39"/>
        </w:rPr>
        <w:t>0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r/</w:t>
      </w:r>
      <w:r>
        <w:rPr>
          <w:rFonts w:ascii="Times New Roman" w:eastAsia="Times New Roman" w:hAnsi="Times New Roman" w:cs="Times New Roman"/>
          <w:sz w:val="39"/>
          <w:szCs w:val="39"/>
        </w:rPr>
        <w:t>min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7"/>
          <w:sz w:val="39"/>
          <w:szCs w:val="39"/>
        </w:rPr>
        <w:t xml:space="preserve">离心5 </w:t>
      </w:r>
      <w:r>
        <w:rPr>
          <w:rFonts w:ascii="Times New Roman" w:eastAsia="Times New Roman" w:hAnsi="Times New Roman" w:cs="Times New Roman"/>
          <w:sz w:val="39"/>
          <w:szCs w:val="39"/>
        </w:rPr>
        <w:t>min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pacing w:val="-2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将上层水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5"/>
          <w:sz w:val="39"/>
          <w:szCs w:val="39"/>
        </w:rPr>
        <w:t>相用尖嘴吸管吸取弃去，有机相再用2×5</w:t>
      </w:r>
      <w:r>
        <w:rPr>
          <w:rFonts w:ascii="Times New Roman" w:eastAsia="Times New Roman" w:hAnsi="Times New Roman" w:cs="Times New Roman"/>
          <w:spacing w:val="-5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5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5"/>
          <w:sz w:val="39"/>
          <w:szCs w:val="39"/>
        </w:rPr>
        <w:t>氢氧化钠水溶液洗涤两次，弃去水相；将有机相在旋涡混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合器上混匀，用干燥滤纸过滤，弃去初液3</w:t>
      </w:r>
      <w:r>
        <w:rPr>
          <w:rFonts w:ascii="SimSun" w:eastAsia="SimSun" w:hAnsi="SimSun" w:cs="SimSun"/>
          <w:spacing w:val="-10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pacing w:val="4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收集滤液，定量取滤液10.0</w:t>
      </w:r>
      <w:r>
        <w:rPr>
          <w:rFonts w:ascii="SimSun" w:eastAsia="SimSun" w:hAnsi="SimSun" w:cs="SimSun"/>
          <w:spacing w:val="-11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2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pacing w:val="4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于45℃空气流下浓缩</w:t>
      </w:r>
    </w:p>
    <w:p>
      <w:pPr>
        <w:spacing w:before="236" w:line="223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7"/>
          <w:sz w:val="39"/>
          <w:szCs w:val="39"/>
        </w:rPr>
        <w:t>至近干，定量加入2.0</w:t>
      </w:r>
      <w:r>
        <w:rPr>
          <w:rFonts w:ascii="SimSun" w:eastAsia="SimSun" w:hAnsi="SimSun" w:cs="SimSun"/>
          <w:spacing w:val="-11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39"/>
          <w:szCs w:val="39"/>
        </w:rPr>
        <w:t>mL</w:t>
      </w:r>
      <w:r>
        <w:rPr>
          <w:rFonts w:ascii="Times New Roman" w:eastAsia="Times New Roman" w:hAnsi="Times New Roman" w:cs="Times New Roman"/>
          <w:spacing w:val="2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7"/>
          <w:sz w:val="39"/>
          <w:szCs w:val="39"/>
        </w:rPr>
        <w:t>水溶解残渣，过0.45</w:t>
      </w:r>
      <w:r>
        <w:rPr>
          <w:rFonts w:ascii="SimSun" w:eastAsia="SimSun" w:hAnsi="SimSun" w:cs="SimSun"/>
          <w:spacing w:val="98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7"/>
          <w:sz w:val="39"/>
          <w:szCs w:val="39"/>
        </w:rPr>
        <w:t>μ</w:t>
      </w:r>
      <w:r>
        <w:rPr>
          <w:rFonts w:ascii="Times New Roman" w:eastAsia="Times New Roman" w:hAnsi="Times New Roman" w:cs="Times New Roman"/>
          <w:spacing w:val="-17"/>
          <w:sz w:val="39"/>
          <w:szCs w:val="39"/>
        </w:rPr>
        <w:t>m</w:t>
      </w:r>
      <w:r>
        <w:rPr>
          <w:rFonts w:ascii="Times New Roman" w:eastAsia="Times New Roman" w:hAnsi="Times New Roman" w:cs="Times New Roman"/>
          <w:spacing w:val="2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17"/>
          <w:sz w:val="39"/>
          <w:szCs w:val="39"/>
        </w:rPr>
        <w:t>微孔滤膜后，上液相色谱仪</w:t>
      </w:r>
      <w:r>
        <w:rPr>
          <w:rFonts w:ascii="SimSun" w:eastAsia="SimSun" w:hAnsi="SimSun" w:cs="SimSun"/>
          <w:spacing w:val="-18"/>
          <w:sz w:val="39"/>
          <w:szCs w:val="39"/>
        </w:rPr>
        <w:t>测定，外标法定量。</w:t>
      </w:r>
    </w:p>
    <w:p>
      <w:pPr>
        <w:spacing w:before="96" w:line="226" w:lineRule="auto"/>
        <w:ind w:left="5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-1"/>
          <w:sz w:val="37"/>
          <w:szCs w:val="37"/>
        </w:rPr>
        <w:t>3.4.2</w:t>
      </w:r>
      <w:r>
        <w:rPr>
          <w:rFonts w:ascii="SimHei" w:eastAsia="SimHei" w:hAnsi="SimHei" w:cs="SimHei"/>
          <w:spacing w:val="55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7"/>
          <w:szCs w:val="37"/>
        </w:rPr>
        <w:t>测定</w:t>
      </w:r>
    </w:p>
    <w:p>
      <w:pPr>
        <w:spacing w:before="144" w:line="225" w:lineRule="auto"/>
        <w:ind w:left="5"/>
        <w:rPr>
          <w:rFonts w:ascii="SimHei" w:eastAsia="SimHei" w:hAnsi="SimHei" w:cs="SimHei"/>
          <w:sz w:val="39"/>
          <w:szCs w:val="39"/>
        </w:rPr>
      </w:pPr>
      <w:hyperlink r:id="rId12" w:history="1">
        <w:r>
          <w:rPr>
            <w:rFonts w:ascii="SimHei" w:eastAsia="SimHei" w:hAnsi="SimHei" w:cs="SimHei"/>
            <w:b/>
            <w:bCs/>
            <w:spacing w:val="-1"/>
            <w:sz w:val="39"/>
            <w:szCs w:val="39"/>
          </w:rPr>
          <w:t>3.4.2.1</w:t>
        </w:r>
      </w:hyperlink>
      <w:r>
        <w:rPr>
          <w:rFonts w:ascii="SimHei" w:eastAsia="SimHei" w:hAnsi="SimHei" w:cs="SimHei"/>
          <w:spacing w:val="-1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9"/>
          <w:szCs w:val="39"/>
        </w:rPr>
        <w:t>色谱条件</w:t>
      </w:r>
    </w:p>
    <w:p>
      <w:pPr>
        <w:spacing w:before="96" w:line="217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7"/>
          <w:sz w:val="39"/>
          <w:szCs w:val="39"/>
        </w:rPr>
        <w:t xml:space="preserve">a)     </w:t>
      </w:r>
      <w:r>
        <w:rPr>
          <w:rFonts w:ascii="SimSun" w:eastAsia="SimSun" w:hAnsi="SimSun" w:cs="SimSun"/>
          <w:spacing w:val="-7"/>
          <w:sz w:val="39"/>
          <w:szCs w:val="39"/>
        </w:rPr>
        <w:t>色谱柱：</w:t>
      </w:r>
      <w:r>
        <w:rPr>
          <w:rFonts w:ascii="Times New Roman" w:eastAsia="Times New Roman" w:hAnsi="Times New Roman" w:cs="Times New Roman"/>
          <w:spacing w:val="-7"/>
          <w:sz w:val="39"/>
          <w:szCs w:val="39"/>
        </w:rPr>
        <w:t>ODS</w:t>
      </w:r>
      <w:r>
        <w:rPr>
          <w:rFonts w:ascii="Times New Roman" w:eastAsia="Times New Roman" w:hAnsi="Times New Roman" w:cs="Times New Roman"/>
          <w:spacing w:val="6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39"/>
          <w:szCs w:val="39"/>
        </w:rPr>
        <w:t>C18</w:t>
      </w:r>
      <w:r>
        <w:rPr>
          <w:rFonts w:ascii="SimSun" w:eastAsia="SimSun" w:hAnsi="SimSun" w:cs="SimSun"/>
          <w:spacing w:val="-7"/>
          <w:sz w:val="39"/>
          <w:szCs w:val="39"/>
        </w:rPr>
        <w:t xml:space="preserve">柱，25 </w:t>
      </w:r>
      <w:r>
        <w:rPr>
          <w:rFonts w:ascii="Times New Roman" w:eastAsia="Times New Roman" w:hAnsi="Times New Roman" w:cs="Times New Roman"/>
          <w:spacing w:val="-7"/>
          <w:sz w:val="39"/>
          <w:szCs w:val="39"/>
        </w:rPr>
        <w:t>cm×4.6</w:t>
      </w:r>
      <w:r>
        <w:rPr>
          <w:rFonts w:ascii="Times New Roman" w:eastAsia="Times New Roman" w:hAnsi="Times New Roman" w:cs="Times New Roman"/>
          <w:spacing w:val="-8"/>
          <w:sz w:val="39"/>
          <w:szCs w:val="39"/>
        </w:rPr>
        <w:t xml:space="preserve">    mm</w:t>
      </w:r>
      <w:r>
        <w:rPr>
          <w:rFonts w:ascii="SimSun" w:eastAsia="SimSun" w:hAnsi="SimSun" w:cs="SimSun"/>
          <w:spacing w:val="-8"/>
          <w:sz w:val="39"/>
          <w:szCs w:val="39"/>
        </w:rPr>
        <w:t>(内径)×5μ</w:t>
      </w:r>
      <w:r>
        <w:rPr>
          <w:rFonts w:ascii="Times New Roman" w:eastAsia="Times New Roman" w:hAnsi="Times New Roman" w:cs="Times New Roman"/>
          <w:spacing w:val="-8"/>
          <w:sz w:val="39"/>
          <w:szCs w:val="39"/>
        </w:rPr>
        <w:t xml:space="preserve">m </w:t>
      </w:r>
      <w:r>
        <w:rPr>
          <w:rFonts w:ascii="SimSun" w:eastAsia="SimSun" w:hAnsi="SimSun" w:cs="SimSun"/>
          <w:spacing w:val="-8"/>
          <w:sz w:val="39"/>
          <w:szCs w:val="39"/>
        </w:rPr>
        <w:t>或类似柱；</w:t>
      </w:r>
    </w:p>
    <w:p>
      <w:pPr>
        <w:spacing w:before="106" w:line="217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b)</w:t>
      </w:r>
      <w:r>
        <w:rPr>
          <w:rFonts w:ascii="Times New Roman" w:eastAsia="Times New Roman" w:hAnsi="Times New Roman" w:cs="Times New Roman"/>
          <w:spacing w:val="23"/>
          <w:sz w:val="39"/>
          <w:szCs w:val="39"/>
        </w:rPr>
        <w:t xml:space="preserve">    </w:t>
      </w:r>
      <w:r>
        <w:rPr>
          <w:rFonts w:ascii="SimSun" w:eastAsia="SimSun" w:hAnsi="SimSun" w:cs="SimSun"/>
          <w:spacing w:val="12"/>
          <w:sz w:val="39"/>
          <w:szCs w:val="39"/>
        </w:rPr>
        <w:t>流动相：乙腈：水：乙酸(16+83+</w:t>
      </w:r>
      <w:r>
        <w:rPr>
          <w:rFonts w:ascii="SimSun" w:eastAsia="SimSun" w:hAnsi="SimSun" w:cs="SimSun"/>
          <w:spacing w:val="11"/>
          <w:sz w:val="39"/>
          <w:szCs w:val="39"/>
        </w:rPr>
        <w:t>1);</w:t>
      </w:r>
    </w:p>
    <w:p>
      <w:pPr>
        <w:spacing w:before="106" w:line="217" w:lineRule="auto"/>
        <w:ind w:left="774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2"/>
          <w:sz w:val="39"/>
          <w:szCs w:val="39"/>
        </w:rPr>
        <w:t xml:space="preserve">c)     </w:t>
      </w:r>
      <w:r>
        <w:rPr>
          <w:rFonts w:ascii="SimSun" w:eastAsia="SimSun" w:hAnsi="SimSun" w:cs="SimSun"/>
          <w:spacing w:val="-12"/>
          <w:sz w:val="39"/>
          <w:szCs w:val="39"/>
        </w:rPr>
        <w:t xml:space="preserve">流速：0.50 </w:t>
      </w:r>
      <w:r>
        <w:rPr>
          <w:rFonts w:ascii="Times New Roman" w:eastAsia="Times New Roman" w:hAnsi="Times New Roman" w:cs="Times New Roman"/>
          <w:spacing w:val="-12"/>
          <w:sz w:val="39"/>
          <w:szCs w:val="39"/>
        </w:rPr>
        <w:t>mL/min;</w:t>
      </w:r>
    </w:p>
    <w:p>
      <w:pPr>
        <w:spacing w:before="107" w:line="217" w:lineRule="auto"/>
        <w:ind w:left="774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1"/>
          <w:sz w:val="39"/>
          <w:szCs w:val="39"/>
        </w:rPr>
        <w:t xml:space="preserve">d)     </w:t>
      </w:r>
      <w:r>
        <w:rPr>
          <w:rFonts w:ascii="SimSun" w:eastAsia="SimSun" w:hAnsi="SimSun" w:cs="SimSun"/>
          <w:spacing w:val="-11"/>
          <w:sz w:val="39"/>
          <w:szCs w:val="39"/>
        </w:rPr>
        <w:t xml:space="preserve">检测波长：273 </w:t>
      </w:r>
      <w:r>
        <w:rPr>
          <w:rFonts w:ascii="Times New Roman" w:eastAsia="Times New Roman" w:hAnsi="Times New Roman" w:cs="Times New Roman"/>
          <w:spacing w:val="-11"/>
          <w:sz w:val="39"/>
          <w:szCs w:val="39"/>
        </w:rPr>
        <w:t>nm;</w:t>
      </w:r>
    </w:p>
    <w:p>
      <w:pPr>
        <w:spacing w:before="167" w:line="217" w:lineRule="auto"/>
        <w:ind w:left="774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44"/>
          <w:sz w:val="39"/>
          <w:szCs w:val="39"/>
        </w:rPr>
        <w:t>e)</w:t>
      </w:r>
      <w:r>
        <w:rPr>
          <w:rFonts w:ascii="Times New Roman" w:eastAsia="Times New Roman" w:hAnsi="Times New Roman" w:cs="Times New Roman"/>
          <w:spacing w:val="24"/>
          <w:sz w:val="39"/>
          <w:szCs w:val="39"/>
        </w:rPr>
        <w:t xml:space="preserve">    </w:t>
      </w:r>
      <w:r>
        <w:rPr>
          <w:rFonts w:ascii="SimSun" w:eastAsia="SimSun" w:hAnsi="SimSun" w:cs="SimSun"/>
          <w:spacing w:val="-44"/>
          <w:sz w:val="39"/>
          <w:szCs w:val="39"/>
        </w:rPr>
        <w:t>进样量：20</w:t>
      </w:r>
      <w:r>
        <w:rPr>
          <w:rFonts w:ascii="SimSun" w:eastAsia="SimSun" w:hAnsi="SimSun" w:cs="SimSun"/>
          <w:spacing w:val="7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44"/>
          <w:sz w:val="39"/>
          <w:szCs w:val="39"/>
        </w:rPr>
        <w:t>μ</w:t>
      </w:r>
      <w:r>
        <w:rPr>
          <w:rFonts w:ascii="Times New Roman" w:eastAsia="Times New Roman" w:hAnsi="Times New Roman" w:cs="Times New Roman"/>
          <w:spacing w:val="-44"/>
          <w:sz w:val="39"/>
          <w:szCs w:val="39"/>
        </w:rPr>
        <w:t>L;</w:t>
      </w:r>
    </w:p>
    <w:p>
      <w:pPr>
        <w:spacing w:before="150" w:line="217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2"/>
          <w:sz w:val="39"/>
          <w:szCs w:val="39"/>
        </w:rPr>
        <w:t>f)</w:t>
      </w:r>
      <w:r>
        <w:rPr>
          <w:rFonts w:ascii="Times New Roman" w:eastAsia="Times New Roman" w:hAnsi="Times New Roman" w:cs="Times New Roman"/>
          <w:spacing w:val="24"/>
          <w:sz w:val="39"/>
          <w:szCs w:val="39"/>
        </w:rPr>
        <w:t xml:space="preserve">    </w:t>
      </w:r>
      <w:r>
        <w:rPr>
          <w:rFonts w:ascii="SimSun" w:eastAsia="SimSun" w:hAnsi="SimSun" w:cs="SimSun"/>
          <w:spacing w:val="-22"/>
          <w:sz w:val="39"/>
          <w:szCs w:val="39"/>
        </w:rPr>
        <w:t>柱温：40℃。</w:t>
      </w:r>
    </w:p>
    <w:p>
      <w:pPr>
        <w:spacing w:before="249" w:line="186" w:lineRule="auto"/>
        <w:ind w:left="5"/>
        <w:outlineLvl w:val="1"/>
        <w:rPr>
          <w:rFonts w:ascii="LiSu" w:eastAsia="LiSu" w:hAnsi="LiSu" w:cs="LiSu"/>
          <w:sz w:val="39"/>
          <w:szCs w:val="39"/>
        </w:rPr>
        <w:sectPr>
          <w:footerReference w:type="default" r:id="rId13"/>
          <w:pgSz w:w="21427" w:h="31681"/>
          <w:pgMar w:top="2372" w:right="2157" w:bottom="2702" w:left="1985" w:header="0" w:footer="2434" w:gutter="0"/>
          <w:pgNumType w:start="6"/>
          <w:cols w:space="708"/>
        </w:sectPr>
      </w:pPr>
      <w:hyperlink r:id="rId14" w:history="1">
        <w:r>
          <w:rPr>
            <w:rFonts w:ascii="LiSu" w:eastAsia="LiSu" w:hAnsi="LiSu" w:cs="LiSu"/>
            <w:b/>
            <w:bCs/>
            <w:spacing w:val="-2"/>
            <w:sz w:val="39"/>
            <w:szCs w:val="39"/>
          </w:rPr>
          <w:t>3.4.2.2</w:t>
        </w:r>
      </w:hyperlink>
      <w:r>
        <w:rPr>
          <w:rFonts w:ascii="LiSu" w:eastAsia="LiSu" w:hAnsi="LiSu" w:cs="LiSu"/>
          <w:spacing w:val="-2"/>
          <w:sz w:val="39"/>
          <w:szCs w:val="39"/>
        </w:rPr>
        <w:t xml:space="preserve">  </w:t>
      </w:r>
      <w:r>
        <w:rPr>
          <w:rFonts w:ascii="LiSu" w:eastAsia="LiSu" w:hAnsi="LiSu" w:cs="LiSu"/>
          <w:b/>
          <w:bCs/>
          <w:spacing w:val="-2"/>
          <w:sz w:val="39"/>
          <w:szCs w:val="39"/>
        </w:rPr>
        <w:t>色谱测定</w:t>
      </w:r>
    </w:p>
    <w:p>
      <w:pPr>
        <w:spacing w:before="93" w:line="272" w:lineRule="auto"/>
        <w:ind w:right="43" w:firstLine="774"/>
        <w:jc w:val="both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2"/>
          <w:sz w:val="39"/>
          <w:szCs w:val="39"/>
        </w:rPr>
        <w:t>根据样液中咖啡因的含量情况，选定峰面积相近的标准工作溶液。标准工作溶液和样液中的咖啡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"/>
          <w:sz w:val="39"/>
          <w:szCs w:val="39"/>
        </w:rPr>
        <w:t>因的响应值均应在仪器的检测线性范围内。对标准工作溶液和样液等体积参插</w:t>
      </w:r>
      <w:r>
        <w:rPr>
          <w:rFonts w:ascii="SimSun" w:eastAsia="SimSun" w:hAnsi="SimSun" w:cs="SimSun"/>
          <w:spacing w:val="1"/>
          <w:sz w:val="39"/>
          <w:szCs w:val="39"/>
        </w:rPr>
        <w:t>进样测定。在上述色谱</w:t>
      </w:r>
    </w:p>
    <w:p>
      <w:pPr>
        <w:spacing w:before="2" w:line="216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 xml:space="preserve">条件下，咖啡因的保留时间约为8.8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min,</w:t>
      </w:r>
      <w:r>
        <w:rPr>
          <w:rFonts w:ascii="Times New Roman" w:eastAsia="Times New Roman" w:hAnsi="Times New Roman" w:cs="Times New Roman"/>
          <w:spacing w:val="-15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"/>
          <w:sz w:val="39"/>
          <w:szCs w:val="39"/>
        </w:rPr>
        <w:t>标准品色谱图参见附录</w:t>
      </w:r>
      <w:r>
        <w:rPr>
          <w:rFonts w:ascii="SimSun" w:eastAsia="SimSun" w:hAnsi="SimSun" w:cs="SimSun"/>
          <w:spacing w:val="-10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A</w:t>
      </w:r>
      <w:r>
        <w:rPr>
          <w:rFonts w:ascii="SimSun" w:eastAsia="SimSun" w:hAnsi="SimSun" w:cs="SimSun"/>
          <w:spacing w:val="-2"/>
          <w:sz w:val="39"/>
          <w:szCs w:val="39"/>
        </w:rPr>
        <w:t>。</w:t>
      </w:r>
    </w:p>
    <w:p>
      <w:pPr>
        <w:spacing w:before="146" w:line="224" w:lineRule="auto"/>
        <w:ind w:left="5"/>
        <w:outlineLvl w:val="1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spacing w:val="-1"/>
          <w:sz w:val="37"/>
          <w:szCs w:val="37"/>
        </w:rPr>
        <w:t>3.4.3</w:t>
      </w:r>
      <w:r>
        <w:rPr>
          <w:rFonts w:ascii="SimHei" w:eastAsia="SimHei" w:hAnsi="SimHei" w:cs="SimHei"/>
          <w:spacing w:val="55"/>
          <w:sz w:val="37"/>
          <w:szCs w:val="37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37"/>
          <w:szCs w:val="37"/>
        </w:rPr>
        <w:t>空白试验</w:t>
      </w:r>
    </w:p>
    <w:p>
      <w:pPr>
        <w:spacing w:before="163" w:line="224" w:lineRule="auto"/>
        <w:ind w:left="77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3"/>
          <w:sz w:val="39"/>
          <w:szCs w:val="39"/>
        </w:rPr>
        <w:t>除不加试样外，按上述测定步骤进行。</w:t>
      </w:r>
    </w:p>
    <w:p>
      <w:pPr>
        <w:spacing w:line="224" w:lineRule="auto"/>
        <w:rPr>
          <w:rFonts w:ascii="SimSun" w:eastAsia="SimSun" w:hAnsi="SimSun" w:cs="SimSun"/>
          <w:sz w:val="39"/>
          <w:szCs w:val="39"/>
        </w:rPr>
        <w:sectPr>
          <w:footerReference w:type="default" r:id="rId15"/>
          <w:type w:val="nextPage"/>
          <w:pgSz w:w="21427" w:h="31681"/>
          <w:pgMar w:top="2372" w:right="2157" w:bottom="2702" w:left="1985" w:header="0" w:footer="2434" w:gutter="0"/>
          <w:pgNumType w:start="7"/>
          <w:cols w:space="708"/>
          <w:titlePg w:val="0"/>
        </w:sectPr>
      </w:pPr>
    </w:p>
    <w:p>
      <w:pPr>
        <w:spacing w:before="57" w:line="195" w:lineRule="auto"/>
        <w:jc w:val="right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SN/T  1354—2004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27" w:line="226" w:lineRule="auto"/>
        <w:ind w:left="40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-1"/>
          <w:sz w:val="37"/>
          <w:szCs w:val="37"/>
        </w:rPr>
        <w:t>3.5</w:t>
      </w:r>
      <w:r>
        <w:rPr>
          <w:rFonts w:ascii="SimHei" w:eastAsia="SimHei" w:hAnsi="SimHei" w:cs="SimHei"/>
          <w:spacing w:val="37"/>
          <w:sz w:val="37"/>
          <w:szCs w:val="37"/>
        </w:rPr>
        <w:t xml:space="preserve">  </w:t>
      </w:r>
      <w:r>
        <w:rPr>
          <w:rFonts w:ascii="SimHei" w:eastAsia="SimHei" w:hAnsi="SimHei" w:cs="SimHei"/>
          <w:spacing w:val="-1"/>
          <w:sz w:val="39"/>
          <w:szCs w:val="39"/>
        </w:rPr>
        <w:t>结果计算和表述</w:t>
      </w:r>
    </w:p>
    <w:sdt>
      <w:sdtPr>
        <w:rPr>
          <w:rFonts w:ascii="SimSun" w:eastAsia="SimSun" w:hAnsi="SimSun" w:cs="SimSun"/>
          <w:sz w:val="43"/>
          <w:szCs w:val="43"/>
        </w:rPr>
        <w:id w:val="128565498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9"/>
          <w:szCs w:val="39"/>
        </w:rPr>
      </w:sdtEndPr>
      <w:sdtContent>
        <w:p>
          <w:pPr>
            <w:spacing w:before="88" w:line="223" w:lineRule="auto"/>
            <w:ind w:left="794"/>
            <w:rPr>
              <w:rFonts w:ascii="SimSun" w:eastAsia="SimSun" w:hAnsi="SimSun" w:cs="SimSun"/>
              <w:sz w:val="43"/>
              <w:szCs w:val="43"/>
            </w:rPr>
          </w:pPr>
          <w:r>
            <w:rPr>
              <w:rFonts w:ascii="SimSun" w:eastAsia="SimSun" w:hAnsi="SimSun" w:cs="SimSun"/>
              <w:spacing w:val="-42"/>
              <w:sz w:val="43"/>
              <w:szCs w:val="43"/>
            </w:rPr>
            <w:t>用色谱数据处理机或按式(1)计算试样中咖啡因的含量，计算结果需扣除空白值。</w:t>
          </w:r>
        </w:p>
        <w:p>
          <w:pPr>
            <w:tabs>
              <w:tab w:val="right" w:leader="dot" w:pos="17096"/>
            </w:tabs>
            <w:spacing w:before="141"/>
            <w:ind w:left="7392"/>
            <w:rPr>
              <w:rFonts w:ascii="SimSun" w:eastAsia="SimSun" w:hAnsi="SimSun" w:cs="SimSun"/>
              <w:sz w:val="39"/>
              <w:szCs w:val="39"/>
            </w:rPr>
          </w:pPr>
          <w:r>
            <w:rPr>
              <w:rFonts w:ascii="SimSun" w:eastAsia="SimSun" w:hAnsi="SimSun" w:cs="SimSun"/>
              <w:position w:val="-35"/>
              <w:sz w:val="39"/>
              <w:szCs w:val="39"/>
            </w:rPr>
            <w:drawing>
              <wp:inline distT="0" distB="0" distL="0" distR="0">
                <wp:extent cx="1634178" cy="521912"/>
                <wp:effectExtent l="0" t="0" r="0" b="0"/>
                <wp:docPr id="12" name="IM 1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IM 12"/>
                        <pic:cNvPicPr/>
                      </pic:nvPicPr>
                      <pic:blipFill>
                        <a:blip xmlns:r="http://schemas.openxmlformats.org/officeDocument/2006/relationships" r:embed="rId1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4178" cy="5219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rFonts w:ascii="SimSun" w:eastAsia="SimSun" w:hAnsi="SimSun" w:cs="SimSun"/>
              <w:spacing w:val="47"/>
              <w:sz w:val="39"/>
              <w:szCs w:val="39"/>
            </w:rPr>
            <w:t xml:space="preserve">   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10"/>
              <w:sz w:val="39"/>
              <w:szCs w:val="39"/>
            </w:rPr>
            <w:t>(</w:t>
          </w:r>
          <w:hyperlink w:anchor="bookmark1" w:history="1">
            <w:r>
              <w:rPr>
                <w:rFonts w:ascii="SimSun" w:eastAsia="SimSun" w:hAnsi="SimSun" w:cs="SimSun"/>
                <w:spacing w:val="10"/>
                <w:sz w:val="39"/>
                <w:szCs w:val="39"/>
              </w:rPr>
              <w:t>1)</w:t>
            </w:r>
          </w:hyperlink>
        </w:p>
      </w:sdtContent>
    </w:sdt>
    <w:p>
      <w:pPr>
        <w:spacing w:before="219" w:line="220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31"/>
          <w:sz w:val="43"/>
          <w:szCs w:val="43"/>
        </w:rPr>
        <w:t>式中：</w:t>
      </w:r>
    </w:p>
    <w:p>
      <w:pPr>
        <w:spacing w:line="585" w:lineRule="exact"/>
        <w:ind w:left="835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33"/>
          <w:position w:val="10"/>
          <w:sz w:val="43"/>
          <w:szCs w:val="43"/>
        </w:rPr>
        <w:t>X——</w:t>
      </w:r>
      <w:r>
        <w:rPr>
          <w:rFonts w:ascii="SimSun" w:eastAsia="SimSun" w:hAnsi="SimSun" w:cs="SimSun"/>
          <w:spacing w:val="-33"/>
          <w:position w:val="10"/>
          <w:sz w:val="43"/>
          <w:szCs w:val="43"/>
        </w:rPr>
        <w:t>试样中咖啡因的含量，单位为毫克每千克</w:t>
      </w:r>
      <w:r>
        <w:rPr>
          <w:rFonts w:ascii="Times New Roman" w:eastAsia="Times New Roman" w:hAnsi="Times New Roman" w:cs="Times New Roman"/>
          <w:spacing w:val="-33"/>
          <w:position w:val="10"/>
          <w:sz w:val="43"/>
          <w:szCs w:val="43"/>
        </w:rPr>
        <w:t>(mg/kg);</w:t>
      </w:r>
    </w:p>
    <w:p>
      <w:pPr>
        <w:spacing w:before="1" w:line="216" w:lineRule="auto"/>
        <w:ind w:left="858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37"/>
          <w:w w:val="98"/>
          <w:sz w:val="43"/>
          <w:szCs w:val="43"/>
        </w:rPr>
        <w:t>A</w:t>
      </w:r>
      <w:r>
        <w:rPr>
          <w:rFonts w:ascii="Times New Roman" w:eastAsia="Times New Roman" w:hAnsi="Times New Roman" w:cs="Times New Roman"/>
          <w:spacing w:val="-29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trike/>
          <w:spacing w:val="14"/>
          <w:sz w:val="43"/>
          <w:szCs w:val="43"/>
        </w:rPr>
        <w:t xml:space="preserve">       </w:t>
      </w:r>
      <w:r>
        <w:rPr>
          <w:rFonts w:ascii="SimSun" w:eastAsia="SimSun" w:hAnsi="SimSun" w:cs="SimSun"/>
          <w:spacing w:val="-37"/>
          <w:w w:val="98"/>
          <w:sz w:val="43"/>
          <w:szCs w:val="43"/>
        </w:rPr>
        <w:t>样液中咖啡因的峰面积，单位为平方毫米</w:t>
      </w:r>
      <w:r>
        <w:rPr>
          <w:rFonts w:ascii="Times New Roman" w:eastAsia="Times New Roman" w:hAnsi="Times New Roman" w:cs="Times New Roman"/>
          <w:spacing w:val="-37"/>
          <w:w w:val="98"/>
          <w:sz w:val="43"/>
          <w:szCs w:val="43"/>
        </w:rPr>
        <w:t>(mm²)</w:t>
      </w:r>
    </w:p>
    <w:p>
      <w:pPr>
        <w:spacing w:before="80" w:line="615" w:lineRule="exact"/>
        <w:ind w:left="835"/>
        <w:rPr>
          <w:rFonts w:ascii="Times New Roman" w:eastAsia="Times New Roman" w:hAnsi="Times New Roman" w:cs="Times New Roman"/>
          <w:sz w:val="43"/>
          <w:szCs w:val="43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691451</wp:posOffset>
            </wp:positionH>
            <wp:positionV relativeFrom="paragraph">
              <wp:posOffset>262003</wp:posOffset>
            </wp:positionV>
            <wp:extent cx="558250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82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32"/>
          <w:position w:val="13"/>
          <w:sz w:val="43"/>
          <w:szCs w:val="43"/>
        </w:rPr>
        <w:t>c.</w:t>
      </w:r>
      <w:r>
        <w:rPr>
          <w:rFonts w:ascii="Times New Roman" w:eastAsia="Times New Roman" w:hAnsi="Times New Roman" w:cs="Times New Roman"/>
          <w:spacing w:val="-32"/>
          <w:position w:val="13"/>
          <w:sz w:val="43"/>
          <w:szCs w:val="43"/>
        </w:rPr>
        <w:t xml:space="preserve">        </w:t>
      </w:r>
      <w:r>
        <w:rPr>
          <w:rFonts w:ascii="SimSun" w:eastAsia="SimSun" w:hAnsi="SimSun" w:cs="SimSun"/>
          <w:spacing w:val="-32"/>
          <w:position w:val="13"/>
          <w:sz w:val="43"/>
          <w:szCs w:val="43"/>
        </w:rPr>
        <w:t>标准工作液中咖啡因的浓度，单位为微克每毫升(μ</w:t>
      </w:r>
      <w:r>
        <w:rPr>
          <w:rFonts w:ascii="Times New Roman" w:eastAsia="Times New Roman" w:hAnsi="Times New Roman" w:cs="Times New Roman"/>
          <w:spacing w:val="-32"/>
          <w:position w:val="13"/>
          <w:sz w:val="43"/>
          <w:szCs w:val="43"/>
        </w:rPr>
        <w:t>g</w:t>
      </w:r>
      <w:r>
        <w:rPr>
          <w:rFonts w:ascii="Times New Roman" w:eastAsia="Times New Roman" w:hAnsi="Times New Roman" w:cs="Times New Roman"/>
          <w:spacing w:val="-33"/>
          <w:position w:val="13"/>
          <w:sz w:val="43"/>
          <w:szCs w:val="43"/>
        </w:rPr>
        <w:t>/mL):</w:t>
      </w:r>
    </w:p>
    <w:p>
      <w:pPr>
        <w:spacing w:before="1" w:line="223" w:lineRule="auto"/>
        <w:ind w:left="754"/>
        <w:rPr>
          <w:rFonts w:ascii="SimSun" w:eastAsia="SimSun" w:hAnsi="SimSun" w:cs="SimSun"/>
          <w:sz w:val="43"/>
          <w:szCs w:val="43"/>
        </w:rPr>
      </w:pPr>
      <w:r>
        <w:rPr>
          <w:rFonts w:ascii="Times New Roman" w:eastAsia="Times New Roman" w:hAnsi="Times New Roman" w:cs="Times New Roman"/>
          <w:i/>
          <w:iCs/>
          <w:spacing w:val="-37"/>
          <w:sz w:val="43"/>
          <w:szCs w:val="43"/>
        </w:rPr>
        <w:t>A.</w:t>
      </w:r>
      <w:r>
        <w:rPr>
          <w:position w:val="6"/>
          <w:sz w:val="43"/>
          <w:szCs w:val="43"/>
        </w:rPr>
        <w:drawing>
          <wp:inline distT="0" distB="0" distL="0" distR="0">
            <wp:extent cx="498903" cy="300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8903" cy="3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7"/>
          <w:sz w:val="43"/>
          <w:szCs w:val="43"/>
        </w:rPr>
        <w:t>标准工作液中咖啡因的峰面积，单位为平方毫米(mm²)</w:t>
      </w:r>
    </w:p>
    <w:p>
      <w:pPr>
        <w:spacing w:before="79" w:line="217" w:lineRule="auto"/>
        <w:ind w:left="879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30"/>
          <w:w w:val="97"/>
          <w:sz w:val="43"/>
          <w:szCs w:val="43"/>
        </w:rPr>
        <w:t>V——</w:t>
      </w:r>
      <w:r>
        <w:rPr>
          <w:rFonts w:ascii="SimSun" w:eastAsia="SimSun" w:hAnsi="SimSun" w:cs="SimSun"/>
          <w:spacing w:val="-30"/>
          <w:w w:val="97"/>
          <w:sz w:val="43"/>
          <w:szCs w:val="43"/>
        </w:rPr>
        <w:t>样液最终定容体积，单位为毫升</w:t>
      </w:r>
      <w:r>
        <w:rPr>
          <w:rFonts w:ascii="Times New Roman" w:eastAsia="Times New Roman" w:hAnsi="Times New Roman" w:cs="Times New Roman"/>
          <w:spacing w:val="-30"/>
          <w:w w:val="97"/>
          <w:sz w:val="43"/>
          <w:szCs w:val="43"/>
        </w:rPr>
        <w:t>(mL);</w:t>
      </w:r>
    </w:p>
    <w:p>
      <w:pPr>
        <w:spacing w:before="80" w:line="951" w:lineRule="exact"/>
        <w:ind w:left="879"/>
        <w:rPr>
          <w:rFonts w:ascii="SimSun" w:eastAsia="SimSun" w:hAnsi="SimSun" w:cs="SimSun"/>
          <w:sz w:val="43"/>
          <w:szCs w:val="43"/>
        </w:rPr>
      </w:pPr>
      <w:r>
        <w:rPr>
          <w:rFonts w:ascii="Times New Roman" w:eastAsia="Times New Roman" w:hAnsi="Times New Roman" w:cs="Times New Roman"/>
          <w:spacing w:val="-34"/>
          <w:w w:val="98"/>
          <w:position w:val="39"/>
          <w:sz w:val="43"/>
          <w:szCs w:val="43"/>
        </w:rPr>
        <w:t>m——</w:t>
      </w:r>
      <w:r>
        <w:rPr>
          <w:rFonts w:ascii="SimSun" w:eastAsia="SimSun" w:hAnsi="SimSun" w:cs="SimSun"/>
          <w:spacing w:val="-34"/>
          <w:w w:val="98"/>
          <w:position w:val="39"/>
          <w:sz w:val="43"/>
          <w:szCs w:val="43"/>
        </w:rPr>
        <w:t>最终样液所代表的试样量，单位为克</w:t>
      </w:r>
      <w:r>
        <w:rPr>
          <w:rFonts w:ascii="Times New Roman" w:eastAsia="Times New Roman" w:hAnsi="Times New Roman" w:cs="Times New Roman"/>
          <w:spacing w:val="-34"/>
          <w:w w:val="98"/>
          <w:position w:val="39"/>
          <w:sz w:val="43"/>
          <w:szCs w:val="43"/>
        </w:rPr>
        <w:t>(g)</w:t>
      </w:r>
      <w:r>
        <w:rPr>
          <w:rFonts w:ascii="SimSun" w:eastAsia="SimSun" w:hAnsi="SimSun" w:cs="SimSun"/>
          <w:spacing w:val="-34"/>
          <w:w w:val="98"/>
          <w:position w:val="39"/>
          <w:sz w:val="43"/>
          <w:szCs w:val="43"/>
        </w:rPr>
        <w:t>。</w:t>
      </w:r>
    </w:p>
    <w:p>
      <w:pPr>
        <w:spacing w:before="1" w:line="227" w:lineRule="auto"/>
        <w:ind w:left="64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43"/>
          <w:w w:val="98"/>
          <w:sz w:val="43"/>
          <w:szCs w:val="43"/>
        </w:rPr>
        <w:t>4</w:t>
      </w:r>
      <w:r>
        <w:rPr>
          <w:rFonts w:ascii="SimHei" w:eastAsia="SimHei" w:hAnsi="SimHei" w:cs="SimHei"/>
          <w:spacing w:val="163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43"/>
          <w:w w:val="98"/>
          <w:sz w:val="43"/>
          <w:szCs w:val="43"/>
        </w:rPr>
        <w:t>测定低限、回收率</w:t>
      </w:r>
    </w:p>
    <w:p>
      <w:pPr>
        <w:spacing w:before="350" w:line="227" w:lineRule="auto"/>
        <w:ind w:left="64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17"/>
          <w:sz w:val="43"/>
          <w:szCs w:val="43"/>
        </w:rPr>
        <w:t>4.1</w:t>
      </w:r>
      <w:r>
        <w:rPr>
          <w:rFonts w:ascii="SimHei" w:eastAsia="SimHei" w:hAnsi="SimHei" w:cs="SimHei"/>
          <w:spacing w:val="140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17"/>
          <w:sz w:val="43"/>
          <w:szCs w:val="43"/>
        </w:rPr>
        <w:t>测定低限</w:t>
      </w:r>
    </w:p>
    <w:p>
      <w:pPr>
        <w:spacing w:before="47" w:line="217" w:lineRule="auto"/>
        <w:ind w:left="87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21"/>
          <w:sz w:val="43"/>
          <w:szCs w:val="43"/>
        </w:rPr>
        <w:t xml:space="preserve">本方法的测定低限为0.025 </w:t>
      </w:r>
      <w:r>
        <w:rPr>
          <w:rFonts w:ascii="Times New Roman" w:eastAsia="Times New Roman" w:hAnsi="Times New Roman" w:cs="Times New Roman"/>
          <w:spacing w:val="-21"/>
          <w:sz w:val="43"/>
          <w:szCs w:val="43"/>
        </w:rPr>
        <w:t>mg/kg</w:t>
      </w:r>
      <w:r>
        <w:rPr>
          <w:rFonts w:ascii="SimSun" w:eastAsia="SimSun" w:hAnsi="SimSun" w:cs="SimSun"/>
          <w:spacing w:val="-21"/>
          <w:sz w:val="43"/>
          <w:szCs w:val="43"/>
        </w:rPr>
        <w:t>。</w:t>
      </w:r>
    </w:p>
    <w:p>
      <w:pPr>
        <w:spacing w:before="113" w:line="227" w:lineRule="auto"/>
        <w:ind w:left="104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23"/>
          <w:sz w:val="43"/>
          <w:szCs w:val="43"/>
        </w:rPr>
        <w:t>4.2</w:t>
      </w:r>
      <w:r>
        <w:rPr>
          <w:rFonts w:ascii="SimHei" w:eastAsia="SimHei" w:hAnsi="SimHei" w:cs="SimHei"/>
          <w:spacing w:val="160"/>
          <w:sz w:val="43"/>
          <w:szCs w:val="43"/>
        </w:rPr>
        <w:t xml:space="preserve"> </w:t>
      </w:r>
      <w:r>
        <w:rPr>
          <w:rFonts w:ascii="SimHei" w:eastAsia="SimHei" w:hAnsi="SimHei" w:cs="SimHei"/>
          <w:spacing w:val="-23"/>
          <w:sz w:val="43"/>
          <w:szCs w:val="43"/>
        </w:rPr>
        <w:t>回收率</w:t>
      </w:r>
    </w:p>
    <w:p>
      <w:pPr>
        <w:spacing w:before="53" w:line="230" w:lineRule="auto"/>
        <w:ind w:left="91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41"/>
          <w:sz w:val="43"/>
          <w:szCs w:val="43"/>
        </w:rPr>
        <w:t>蜂蜜中咖啡因的添加浓度及其回收率的实验数据：</w:t>
      </w:r>
    </w:p>
    <w:p>
      <w:pPr>
        <w:spacing w:before="1" w:line="216" w:lineRule="auto"/>
        <w:ind w:left="87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5"/>
          <w:sz w:val="43"/>
          <w:szCs w:val="43"/>
        </w:rPr>
        <w:t>在0.025</w:t>
      </w:r>
      <w:r>
        <w:rPr>
          <w:rFonts w:ascii="Times New Roman" w:eastAsia="Times New Roman" w:hAnsi="Times New Roman" w:cs="Times New Roman"/>
          <w:spacing w:val="-5"/>
          <w:sz w:val="43"/>
          <w:szCs w:val="43"/>
        </w:rPr>
        <w:t xml:space="preserve">mg/kg </w:t>
      </w:r>
      <w:r>
        <w:rPr>
          <w:rFonts w:ascii="SimSun" w:eastAsia="SimSun" w:hAnsi="SimSun" w:cs="SimSun"/>
          <w:spacing w:val="-5"/>
          <w:sz w:val="43"/>
          <w:szCs w:val="43"/>
        </w:rPr>
        <w:t>时，回收率为93.2%;</w:t>
      </w:r>
    </w:p>
    <w:p>
      <w:pPr>
        <w:spacing w:before="141" w:line="585" w:lineRule="exact"/>
        <w:ind w:left="87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13"/>
          <w:position w:val="10"/>
          <w:sz w:val="43"/>
          <w:szCs w:val="43"/>
        </w:rPr>
        <w:t>在0.050 mg/kg</w:t>
      </w:r>
      <w:r>
        <w:rPr>
          <w:rFonts w:ascii="SimSun" w:eastAsia="SimSun" w:hAnsi="SimSun" w:cs="SimSun"/>
          <w:spacing w:val="-91"/>
          <w:position w:val="10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13"/>
          <w:position w:val="10"/>
          <w:sz w:val="43"/>
          <w:szCs w:val="43"/>
        </w:rPr>
        <w:t>时，回收率为96.0%;</w:t>
      </w:r>
    </w:p>
    <w:p>
      <w:pPr>
        <w:spacing w:before="2" w:line="217" w:lineRule="auto"/>
        <w:ind w:left="87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5"/>
          <w:sz w:val="39"/>
          <w:szCs w:val="39"/>
        </w:rPr>
        <w:t>在1.0</w:t>
      </w:r>
      <w:r>
        <w:rPr>
          <w:rFonts w:ascii="SimSun" w:eastAsia="SimSun" w:hAnsi="SimSun" w:cs="SimSun"/>
          <w:spacing w:val="-101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mg</w:t>
      </w:r>
      <w:r>
        <w:rPr>
          <w:rFonts w:ascii="SimSun" w:eastAsia="SimSun" w:hAnsi="SimSun" w:cs="SimSun"/>
          <w:spacing w:val="15"/>
          <w:sz w:val="39"/>
          <w:szCs w:val="39"/>
        </w:rPr>
        <w:t>/</w:t>
      </w:r>
      <w:r>
        <w:rPr>
          <w:rFonts w:ascii="SimSun" w:eastAsia="SimSun" w:hAnsi="SimSun" w:cs="SimSun"/>
          <w:sz w:val="39"/>
          <w:szCs w:val="39"/>
        </w:rPr>
        <w:t>kg</w:t>
      </w:r>
      <w:r>
        <w:rPr>
          <w:rFonts w:ascii="SimSun" w:eastAsia="SimSun" w:hAnsi="SimSun" w:cs="SimSun"/>
          <w:spacing w:val="15"/>
          <w:sz w:val="39"/>
          <w:szCs w:val="39"/>
        </w:rPr>
        <w:t xml:space="preserve"> 时，回收率为98.4%。</w:t>
      </w:r>
    </w:p>
    <w:p>
      <w:pPr>
        <w:spacing w:line="217" w:lineRule="auto"/>
        <w:rPr>
          <w:rFonts w:ascii="SimSun" w:eastAsia="SimSun" w:hAnsi="SimSun" w:cs="SimSun"/>
          <w:sz w:val="39"/>
          <w:szCs w:val="39"/>
        </w:rPr>
        <w:sectPr>
          <w:footerReference w:type="default" r:id="rId19"/>
          <w:pgSz w:w="21427" w:h="31681"/>
          <w:pgMar w:top="2500" w:right="2309" w:bottom="2627" w:left="1839" w:header="0" w:footer="2379" w:gutter="0"/>
          <w:pgNumType w:start="8"/>
          <w:cols w:space="708"/>
        </w:sectPr>
      </w:pPr>
    </w:p>
    <w:p>
      <w:pPr>
        <w:spacing w:before="71" w:line="227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3"/>
          <w:sz w:val="35"/>
          <w:szCs w:val="35"/>
        </w:rPr>
        <w:t>SN/T</w:t>
      </w:r>
      <w:r>
        <w:rPr>
          <w:rFonts w:ascii="SimSun" w:eastAsia="SimSun" w:hAnsi="SimSun" w:cs="SimSun"/>
          <w:spacing w:val="-3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3"/>
          <w:sz w:val="35"/>
          <w:szCs w:val="35"/>
        </w:rPr>
        <w:t>1354—2004</w:t>
      </w: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27" w:line="609" w:lineRule="exact"/>
        <w:ind w:left="7715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SimHei" w:eastAsia="SimHei" w:hAnsi="SimHei" w:cs="SimHei"/>
          <w:spacing w:val="-12"/>
          <w:position w:val="15"/>
          <w:sz w:val="39"/>
          <w:szCs w:val="39"/>
        </w:rPr>
        <w:t>附</w:t>
      </w:r>
      <w:r>
        <w:rPr>
          <w:rFonts w:ascii="SimHei" w:eastAsia="SimHei" w:hAnsi="SimHei" w:cs="SimHei"/>
          <w:spacing w:val="23"/>
          <w:position w:val="15"/>
          <w:sz w:val="39"/>
          <w:szCs w:val="39"/>
        </w:rPr>
        <w:t xml:space="preserve">  </w:t>
      </w:r>
      <w:r>
        <w:rPr>
          <w:rFonts w:ascii="SimHei" w:eastAsia="SimHei" w:hAnsi="SimHei" w:cs="SimHei"/>
          <w:spacing w:val="-12"/>
          <w:position w:val="15"/>
          <w:sz w:val="39"/>
          <w:szCs w:val="39"/>
        </w:rPr>
        <w:t>录</w:t>
      </w:r>
      <w:r>
        <w:rPr>
          <w:rFonts w:ascii="SimHei" w:eastAsia="SimHei" w:hAnsi="SimHei" w:cs="SimHei"/>
          <w:spacing w:val="176"/>
          <w:position w:val="1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15"/>
          <w:sz w:val="39"/>
          <w:szCs w:val="39"/>
        </w:rPr>
        <w:t>A</w:t>
      </w:r>
    </w:p>
    <w:p>
      <w:pPr>
        <w:spacing w:before="1" w:line="225" w:lineRule="auto"/>
        <w:ind w:left="7509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4"/>
          <w:sz w:val="39"/>
          <w:szCs w:val="39"/>
        </w:rPr>
        <w:t>(资料性附录)</w:t>
      </w:r>
    </w:p>
    <w:p>
      <w:pPr>
        <w:spacing w:before="168" w:line="224" w:lineRule="auto"/>
        <w:ind w:left="7465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23"/>
          <w:sz w:val="37"/>
          <w:szCs w:val="37"/>
        </w:rPr>
        <w:t>标准品色谱图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spacing w:line="12921" w:lineRule="exact"/>
        <w:ind w:firstLine="4218"/>
      </w:pPr>
      <w:r>
        <w:rPr>
          <w:position w:val="-258"/>
        </w:rPr>
        <w:drawing>
          <wp:inline distT="0" distB="0" distL="0" distR="0">
            <wp:extent cx="5688352" cy="820524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88352" cy="820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76" w:lineRule="auto"/>
      </w:pPr>
    </w:p>
    <w:p>
      <w:pPr>
        <w:spacing w:before="127" w:line="225" w:lineRule="auto"/>
        <w:ind w:left="5401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7"/>
          <w:sz w:val="39"/>
          <w:szCs w:val="39"/>
        </w:rPr>
        <w:t>图</w:t>
      </w:r>
      <w:r>
        <w:rPr>
          <w:rFonts w:ascii="SimHei" w:eastAsia="SimHei" w:hAnsi="SimHei" w:cs="SimHei"/>
          <w:spacing w:val="-95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39"/>
          <w:szCs w:val="39"/>
        </w:rPr>
        <w:t>A.1</w:t>
      </w:r>
      <w:r>
        <w:rPr>
          <w:rFonts w:ascii="SimSun" w:eastAsia="SimSun" w:hAnsi="SimSun" w:cs="SimSun"/>
          <w:spacing w:val="39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39"/>
          <w:szCs w:val="39"/>
        </w:rPr>
        <w:t>咖啡因标准品的液相色谱图</w:t>
      </w:r>
    </w:p>
    <w:p>
      <w:pPr>
        <w:pStyle w:val="BodyText"/>
        <w:spacing w:line="290" w:lineRule="auto"/>
      </w:pPr>
    </w:p>
    <w:p>
      <w:pPr>
        <w:pStyle w:val="BodyText"/>
        <w:spacing w:line="291" w:lineRule="auto"/>
      </w:pPr>
    </w:p>
    <w:p>
      <w:pPr>
        <w:spacing w:before="1" w:line="24" w:lineRule="exact"/>
        <w:ind w:firstLine="6504"/>
      </w:pPr>
      <w:r>
        <w:drawing>
          <wp:inline distT="0" distB="0" distL="0" distR="0">
            <wp:extent cx="2523213" cy="1508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23213" cy="15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" w:lineRule="exact"/>
        <w:sectPr>
          <w:footerReference w:type="default" r:id="rId22"/>
          <w:pgSz w:w="21427" w:h="31681"/>
          <w:pgMar w:top="2352" w:right="3213" w:bottom="400" w:left="2324" w:header="0" w:footer="0" w:gutter="0"/>
          <w:pgNumType w:start="9"/>
          <w:cols w:space="708"/>
        </w:sectPr>
      </w:pPr>
    </w:p>
    <w:p>
      <w:pPr>
        <w:pStyle w:val="BodyText"/>
        <w:spacing w:line="248" w:lineRule="auto"/>
      </w:pPr>
      <w:r>
        <w:pict>
          <v:rect id="_x0000_s1028" style="width:1.05pt;height:1581.8pt;margin-top:0;margin-left:983.41pt;mso-position-horizontal-relative:page;mso-position-vertical-relative:page;position:absolute;z-index:251664384" o:allowincell="f" filled="t" fillcolor="black" stroked="f"/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1314193</wp:posOffset>
            </wp:positionH>
            <wp:positionV relativeFrom="page">
              <wp:posOffset>17839622</wp:posOffset>
            </wp:positionV>
            <wp:extent cx="2525390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2539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14" w:line="227" w:lineRule="auto"/>
        <w:ind w:left="14296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SN/T</w:t>
      </w:r>
      <w:r>
        <w:rPr>
          <w:rFonts w:ascii="SimSun" w:eastAsia="SimSun" w:hAnsi="SimSun" w:cs="SimSun"/>
          <w:spacing w:val="-4"/>
          <w:sz w:val="35"/>
          <w:szCs w:val="35"/>
        </w:rPr>
        <w:t xml:space="preserve">   </w:t>
      </w:r>
      <w:r>
        <w:rPr>
          <w:rFonts w:ascii="SimSun" w:eastAsia="SimSun" w:hAnsi="SimSun" w:cs="SimSun"/>
          <w:b/>
          <w:bCs/>
          <w:spacing w:val="-4"/>
          <w:sz w:val="35"/>
          <w:szCs w:val="35"/>
        </w:rPr>
        <w:t>1354—2004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before="190" w:line="198" w:lineRule="auto"/>
        <w:ind w:left="7240"/>
        <w:rPr>
          <w:sz w:val="66"/>
          <w:szCs w:val="66"/>
        </w:rPr>
      </w:pPr>
      <w:r>
        <w:rPr>
          <w:b/>
          <w:bCs/>
          <w:spacing w:val="-18"/>
          <w:sz w:val="66"/>
          <w:szCs w:val="66"/>
        </w:rPr>
        <w:t>Foreword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before="107" w:line="511" w:lineRule="exact"/>
        <w:ind w:left="774"/>
        <w:rPr>
          <w:sz w:val="37"/>
          <w:szCs w:val="37"/>
        </w:rPr>
      </w:pPr>
      <w:r>
        <w:rPr>
          <w:spacing w:val="2"/>
          <w:position w:val="2"/>
          <w:sz w:val="37"/>
          <w:szCs w:val="37"/>
        </w:rPr>
        <w:t>Annex</w:t>
      </w:r>
      <w:r>
        <w:rPr>
          <w:spacing w:val="60"/>
          <w:position w:val="2"/>
          <w:sz w:val="37"/>
          <w:szCs w:val="37"/>
        </w:rPr>
        <w:t xml:space="preserve"> </w:t>
      </w:r>
      <w:r>
        <w:rPr>
          <w:spacing w:val="2"/>
          <w:position w:val="2"/>
          <w:sz w:val="37"/>
          <w:szCs w:val="37"/>
        </w:rPr>
        <w:t>A</w:t>
      </w:r>
      <w:r>
        <w:rPr>
          <w:spacing w:val="73"/>
          <w:position w:val="2"/>
          <w:sz w:val="37"/>
          <w:szCs w:val="37"/>
        </w:rPr>
        <w:t xml:space="preserve"> </w:t>
      </w:r>
      <w:r>
        <w:rPr>
          <w:spacing w:val="2"/>
          <w:position w:val="2"/>
          <w:sz w:val="37"/>
          <w:szCs w:val="37"/>
        </w:rPr>
        <w:t>of</w:t>
      </w:r>
      <w:r>
        <w:rPr>
          <w:spacing w:val="53"/>
          <w:position w:val="2"/>
          <w:sz w:val="37"/>
          <w:szCs w:val="37"/>
        </w:rPr>
        <w:t xml:space="preserve"> </w:t>
      </w:r>
      <w:r>
        <w:rPr>
          <w:spacing w:val="2"/>
          <w:position w:val="2"/>
          <w:sz w:val="37"/>
          <w:szCs w:val="37"/>
        </w:rPr>
        <w:t>this</w:t>
      </w:r>
      <w:r>
        <w:rPr>
          <w:spacing w:val="73"/>
          <w:position w:val="2"/>
          <w:sz w:val="37"/>
          <w:szCs w:val="37"/>
        </w:rPr>
        <w:t xml:space="preserve"> </w:t>
      </w:r>
      <w:r>
        <w:rPr>
          <w:spacing w:val="2"/>
          <w:position w:val="2"/>
          <w:sz w:val="37"/>
          <w:szCs w:val="37"/>
        </w:rPr>
        <w:t>standard</w:t>
      </w:r>
      <w:r>
        <w:rPr>
          <w:spacing w:val="74"/>
          <w:position w:val="2"/>
          <w:sz w:val="37"/>
          <w:szCs w:val="37"/>
        </w:rPr>
        <w:t xml:space="preserve"> </w:t>
      </w:r>
      <w:r>
        <w:rPr>
          <w:spacing w:val="2"/>
          <w:position w:val="2"/>
          <w:sz w:val="37"/>
          <w:szCs w:val="37"/>
        </w:rPr>
        <w:t>ar</w:t>
      </w:r>
      <w:r>
        <w:rPr>
          <w:spacing w:val="1"/>
          <w:position w:val="2"/>
          <w:sz w:val="37"/>
          <w:szCs w:val="37"/>
        </w:rPr>
        <w:t>e</w:t>
      </w:r>
      <w:r>
        <w:rPr>
          <w:spacing w:val="85"/>
          <w:position w:val="2"/>
          <w:sz w:val="37"/>
          <w:szCs w:val="37"/>
        </w:rPr>
        <w:t xml:space="preserve"> </w:t>
      </w:r>
      <w:r>
        <w:rPr>
          <w:spacing w:val="1"/>
          <w:position w:val="2"/>
          <w:sz w:val="37"/>
          <w:szCs w:val="37"/>
        </w:rPr>
        <w:t>informative</w:t>
      </w:r>
      <w:r>
        <w:rPr>
          <w:spacing w:val="74"/>
          <w:position w:val="2"/>
          <w:sz w:val="37"/>
          <w:szCs w:val="37"/>
        </w:rPr>
        <w:t xml:space="preserve"> </w:t>
      </w:r>
      <w:r>
        <w:rPr>
          <w:spacing w:val="1"/>
          <w:position w:val="2"/>
          <w:sz w:val="37"/>
          <w:szCs w:val="37"/>
        </w:rPr>
        <w:t>annex.</w:t>
      </w:r>
    </w:p>
    <w:p>
      <w:pPr>
        <w:pStyle w:val="BodyText"/>
        <w:spacing w:before="62" w:line="306" w:lineRule="auto"/>
        <w:ind w:right="399" w:firstLine="774"/>
        <w:rPr>
          <w:sz w:val="37"/>
          <w:szCs w:val="37"/>
        </w:rPr>
      </w:pPr>
      <w:r>
        <w:rPr>
          <w:sz w:val="37"/>
          <w:szCs w:val="37"/>
        </w:rPr>
        <w:t>This</w:t>
      </w:r>
      <w:r>
        <w:rPr>
          <w:spacing w:val="64"/>
          <w:sz w:val="37"/>
          <w:szCs w:val="37"/>
        </w:rPr>
        <w:t xml:space="preserve"> </w:t>
      </w:r>
      <w:r>
        <w:rPr>
          <w:sz w:val="37"/>
          <w:szCs w:val="37"/>
        </w:rPr>
        <w:t>standard</w:t>
      </w:r>
      <w:r>
        <w:rPr>
          <w:spacing w:val="52"/>
          <w:sz w:val="37"/>
          <w:szCs w:val="37"/>
        </w:rPr>
        <w:t xml:space="preserve"> </w:t>
      </w:r>
      <w:r>
        <w:rPr>
          <w:sz w:val="37"/>
          <w:szCs w:val="37"/>
        </w:rPr>
        <w:t>was</w:t>
      </w:r>
      <w:r>
        <w:rPr>
          <w:spacing w:val="76"/>
          <w:sz w:val="37"/>
          <w:szCs w:val="37"/>
        </w:rPr>
        <w:t xml:space="preserve"> </w:t>
      </w:r>
      <w:r>
        <w:rPr>
          <w:sz w:val="37"/>
          <w:szCs w:val="37"/>
        </w:rPr>
        <w:t>proposed</w:t>
      </w:r>
      <w:r>
        <w:rPr>
          <w:spacing w:val="76"/>
          <w:sz w:val="37"/>
          <w:szCs w:val="37"/>
        </w:rPr>
        <w:t xml:space="preserve"> </w:t>
      </w:r>
      <w:r>
        <w:rPr>
          <w:sz w:val="37"/>
          <w:szCs w:val="37"/>
        </w:rPr>
        <w:t>by</w:t>
      </w:r>
      <w:r>
        <w:rPr>
          <w:spacing w:val="65"/>
          <w:sz w:val="37"/>
          <w:szCs w:val="37"/>
        </w:rPr>
        <w:t xml:space="preserve"> </w:t>
      </w:r>
      <w:r>
        <w:rPr>
          <w:sz w:val="37"/>
          <w:szCs w:val="37"/>
        </w:rPr>
        <w:t>and</w:t>
      </w:r>
      <w:r>
        <w:rPr>
          <w:spacing w:val="76"/>
          <w:sz w:val="37"/>
          <w:szCs w:val="37"/>
        </w:rPr>
        <w:t xml:space="preserve"> </w:t>
      </w:r>
      <w:r>
        <w:rPr>
          <w:sz w:val="37"/>
          <w:szCs w:val="37"/>
        </w:rPr>
        <w:t>is</w:t>
      </w:r>
      <w:r>
        <w:rPr>
          <w:spacing w:val="76"/>
          <w:sz w:val="37"/>
          <w:szCs w:val="37"/>
        </w:rPr>
        <w:t xml:space="preserve"> </w:t>
      </w:r>
      <w:r>
        <w:rPr>
          <w:sz w:val="37"/>
          <w:szCs w:val="37"/>
        </w:rPr>
        <w:t>under</w:t>
      </w:r>
      <w:r>
        <w:rPr>
          <w:spacing w:val="53"/>
          <w:sz w:val="37"/>
          <w:szCs w:val="37"/>
        </w:rPr>
        <w:t xml:space="preserve"> </w:t>
      </w:r>
      <w:r>
        <w:rPr>
          <w:sz w:val="37"/>
          <w:szCs w:val="37"/>
        </w:rPr>
        <w:t>the</w:t>
      </w:r>
      <w:r>
        <w:rPr>
          <w:spacing w:val="66"/>
          <w:sz w:val="37"/>
          <w:szCs w:val="37"/>
        </w:rPr>
        <w:t xml:space="preserve"> </w:t>
      </w:r>
      <w:r>
        <w:rPr>
          <w:sz w:val="37"/>
          <w:szCs w:val="37"/>
        </w:rPr>
        <w:t>charge</w:t>
      </w:r>
      <w:r>
        <w:rPr>
          <w:spacing w:val="64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66"/>
          <w:sz w:val="37"/>
          <w:szCs w:val="37"/>
        </w:rPr>
        <w:t xml:space="preserve"> </w:t>
      </w:r>
      <w:r>
        <w:rPr>
          <w:sz w:val="37"/>
          <w:szCs w:val="37"/>
        </w:rPr>
        <w:t>Nation</w:t>
      </w:r>
      <w:r>
        <w:rPr>
          <w:spacing w:val="-1"/>
          <w:sz w:val="37"/>
          <w:szCs w:val="37"/>
        </w:rPr>
        <w:t>al</w:t>
      </w:r>
      <w:r>
        <w:rPr>
          <w:spacing w:val="82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Regulatory</w:t>
      </w:r>
      <w:r>
        <w:rPr>
          <w:spacing w:val="7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Commission</w:t>
      </w:r>
      <w:r>
        <w:rPr>
          <w:spacing w:val="5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for</w:t>
      </w:r>
      <w:r>
        <w:rPr>
          <w:sz w:val="37"/>
          <w:szCs w:val="37"/>
        </w:rPr>
        <w:t xml:space="preserve"> </w:t>
      </w:r>
      <w:r>
        <w:rPr>
          <w:spacing w:val="1"/>
          <w:sz w:val="37"/>
          <w:szCs w:val="37"/>
        </w:rPr>
        <w:t>Certification</w:t>
      </w:r>
      <w:r>
        <w:rPr>
          <w:spacing w:val="37"/>
          <w:sz w:val="37"/>
          <w:szCs w:val="37"/>
        </w:rPr>
        <w:t xml:space="preserve">  </w:t>
      </w:r>
      <w:r>
        <w:rPr>
          <w:spacing w:val="1"/>
          <w:sz w:val="37"/>
          <w:szCs w:val="37"/>
        </w:rPr>
        <w:t>and</w:t>
      </w:r>
      <w:r>
        <w:rPr>
          <w:spacing w:val="30"/>
          <w:sz w:val="37"/>
          <w:szCs w:val="37"/>
        </w:rPr>
        <w:t xml:space="preserve">  </w:t>
      </w:r>
      <w:r>
        <w:rPr>
          <w:spacing w:val="1"/>
          <w:sz w:val="37"/>
          <w:szCs w:val="37"/>
        </w:rPr>
        <w:t>Accreditation,</w:t>
      </w:r>
    </w:p>
    <w:p>
      <w:pPr>
        <w:pStyle w:val="BodyText"/>
        <w:spacing w:before="127" w:line="306" w:lineRule="auto"/>
        <w:ind w:right="445" w:firstLine="774"/>
        <w:rPr>
          <w:sz w:val="37"/>
          <w:szCs w:val="37"/>
        </w:rPr>
      </w:pPr>
      <w:r>
        <w:rPr>
          <w:sz w:val="37"/>
          <w:szCs w:val="37"/>
        </w:rPr>
        <w:t>This</w:t>
      </w:r>
      <w:r>
        <w:rPr>
          <w:spacing w:val="36"/>
          <w:sz w:val="37"/>
          <w:szCs w:val="37"/>
        </w:rPr>
        <w:t xml:space="preserve"> </w:t>
      </w:r>
      <w:r>
        <w:rPr>
          <w:sz w:val="37"/>
          <w:szCs w:val="37"/>
        </w:rPr>
        <w:t>standard was</w:t>
      </w:r>
      <w:r>
        <w:rPr>
          <w:spacing w:val="37"/>
          <w:sz w:val="37"/>
          <w:szCs w:val="37"/>
        </w:rPr>
        <w:t xml:space="preserve"> </w:t>
      </w:r>
      <w:r>
        <w:rPr>
          <w:sz w:val="37"/>
          <w:szCs w:val="37"/>
        </w:rPr>
        <w:t>drafted</w:t>
      </w:r>
      <w:r>
        <w:rPr>
          <w:spacing w:val="49"/>
          <w:sz w:val="37"/>
          <w:szCs w:val="37"/>
        </w:rPr>
        <w:t xml:space="preserve"> </w:t>
      </w:r>
      <w:r>
        <w:rPr>
          <w:sz w:val="37"/>
          <w:szCs w:val="37"/>
        </w:rPr>
        <w:t>by</w:t>
      </w:r>
      <w:r>
        <w:rPr>
          <w:spacing w:val="54"/>
          <w:sz w:val="37"/>
          <w:szCs w:val="37"/>
        </w:rPr>
        <w:t xml:space="preserve"> </w:t>
      </w:r>
      <w:r>
        <w:rPr>
          <w:sz w:val="37"/>
          <w:szCs w:val="37"/>
        </w:rPr>
        <w:t>Hunan</w:t>
      </w:r>
      <w:r>
        <w:rPr>
          <w:spacing w:val="54"/>
          <w:sz w:val="37"/>
          <w:szCs w:val="37"/>
        </w:rPr>
        <w:t xml:space="preserve"> </w:t>
      </w:r>
      <w:r>
        <w:rPr>
          <w:sz w:val="37"/>
          <w:szCs w:val="37"/>
        </w:rPr>
        <w:t>Entry-Exit</w:t>
      </w:r>
      <w:r>
        <w:rPr>
          <w:spacing w:val="60"/>
          <w:sz w:val="37"/>
          <w:szCs w:val="37"/>
        </w:rPr>
        <w:t xml:space="preserve"> </w:t>
      </w:r>
      <w:r>
        <w:rPr>
          <w:sz w:val="37"/>
          <w:szCs w:val="37"/>
        </w:rPr>
        <w:t>Inspection</w:t>
      </w:r>
      <w:r>
        <w:rPr>
          <w:spacing w:val="38"/>
          <w:sz w:val="37"/>
          <w:szCs w:val="37"/>
        </w:rPr>
        <w:t xml:space="preserve"> </w:t>
      </w:r>
      <w:r>
        <w:rPr>
          <w:sz w:val="37"/>
          <w:szCs w:val="37"/>
        </w:rPr>
        <w:t>and</w:t>
      </w:r>
      <w:r>
        <w:rPr>
          <w:spacing w:val="40"/>
          <w:sz w:val="37"/>
          <w:szCs w:val="37"/>
        </w:rPr>
        <w:t xml:space="preserve"> </w:t>
      </w:r>
      <w:r>
        <w:rPr>
          <w:sz w:val="37"/>
          <w:szCs w:val="37"/>
        </w:rPr>
        <w:t>Quarantine</w:t>
      </w:r>
      <w:r>
        <w:rPr>
          <w:spacing w:val="52"/>
          <w:sz w:val="37"/>
          <w:szCs w:val="37"/>
        </w:rPr>
        <w:t xml:space="preserve"> </w:t>
      </w:r>
      <w:r>
        <w:rPr>
          <w:sz w:val="37"/>
          <w:szCs w:val="37"/>
        </w:rPr>
        <w:t>Bureau</w:t>
      </w:r>
      <w:r>
        <w:rPr>
          <w:spacing w:val="37"/>
          <w:sz w:val="37"/>
          <w:szCs w:val="37"/>
        </w:rPr>
        <w:t xml:space="preserve"> </w:t>
      </w:r>
      <w:r>
        <w:rPr>
          <w:sz w:val="37"/>
          <w:szCs w:val="37"/>
        </w:rPr>
        <w:t>of the</w:t>
      </w:r>
      <w:r>
        <w:rPr>
          <w:spacing w:val="53"/>
          <w:sz w:val="37"/>
          <w:szCs w:val="37"/>
        </w:rPr>
        <w:t xml:space="preserve"> </w:t>
      </w:r>
      <w:r>
        <w:rPr>
          <w:sz w:val="37"/>
          <w:szCs w:val="37"/>
        </w:rPr>
        <w:t xml:space="preserve">People's </w:t>
      </w:r>
      <w:r>
        <w:rPr>
          <w:sz w:val="37"/>
          <w:szCs w:val="37"/>
        </w:rPr>
        <w:t>Republic</w:t>
      </w:r>
      <w:r>
        <w:rPr>
          <w:spacing w:val="48"/>
          <w:sz w:val="37"/>
          <w:szCs w:val="37"/>
        </w:rPr>
        <w:t xml:space="preserve"> </w:t>
      </w:r>
      <w:r>
        <w:rPr>
          <w:sz w:val="37"/>
          <w:szCs w:val="37"/>
        </w:rPr>
        <w:t>of</w:t>
      </w:r>
      <w:r>
        <w:rPr>
          <w:spacing w:val="41"/>
          <w:sz w:val="37"/>
          <w:szCs w:val="37"/>
        </w:rPr>
        <w:t xml:space="preserve"> </w:t>
      </w:r>
      <w:r>
        <w:rPr>
          <w:sz w:val="37"/>
          <w:szCs w:val="37"/>
        </w:rPr>
        <w:t>China</w:t>
      </w:r>
      <w:r>
        <w:rPr>
          <w:spacing w:val="25"/>
          <w:sz w:val="37"/>
          <w:szCs w:val="37"/>
        </w:rPr>
        <w:t>.</w:t>
      </w:r>
    </w:p>
    <w:p>
      <w:pPr>
        <w:pStyle w:val="BodyText"/>
        <w:spacing w:before="88" w:line="315" w:lineRule="auto"/>
        <w:ind w:right="374" w:firstLine="774"/>
        <w:rPr>
          <w:sz w:val="37"/>
          <w:szCs w:val="37"/>
        </w:rPr>
      </w:pPr>
      <w:r>
        <w:rPr>
          <w:sz w:val="37"/>
          <w:szCs w:val="37"/>
        </w:rPr>
        <w:t>The</w:t>
      </w:r>
      <w:r>
        <w:rPr>
          <w:spacing w:val="45"/>
          <w:sz w:val="37"/>
          <w:szCs w:val="37"/>
        </w:rPr>
        <w:t xml:space="preserve">  </w:t>
      </w:r>
      <w:r>
        <w:rPr>
          <w:sz w:val="37"/>
          <w:szCs w:val="37"/>
        </w:rPr>
        <w:t>main</w:t>
      </w:r>
      <w:r>
        <w:rPr>
          <w:spacing w:val="39"/>
          <w:sz w:val="37"/>
          <w:szCs w:val="37"/>
        </w:rPr>
        <w:t xml:space="preserve">  </w:t>
      </w:r>
      <w:r>
        <w:rPr>
          <w:sz w:val="37"/>
          <w:szCs w:val="37"/>
        </w:rPr>
        <w:t>drafters</w:t>
      </w:r>
      <w:r>
        <w:rPr>
          <w:spacing w:val="39"/>
          <w:sz w:val="37"/>
          <w:szCs w:val="37"/>
        </w:rPr>
        <w:t xml:space="preserve">  </w:t>
      </w:r>
      <w:r>
        <w:rPr>
          <w:sz w:val="37"/>
          <w:szCs w:val="37"/>
        </w:rPr>
        <w:t>of</w:t>
      </w:r>
      <w:r>
        <w:rPr>
          <w:spacing w:val="29"/>
          <w:sz w:val="37"/>
          <w:szCs w:val="37"/>
        </w:rPr>
        <w:t xml:space="preserve">  </w:t>
      </w:r>
      <w:r>
        <w:rPr>
          <w:sz w:val="37"/>
          <w:szCs w:val="37"/>
        </w:rPr>
        <w:t>this</w:t>
      </w:r>
      <w:r>
        <w:rPr>
          <w:spacing w:val="39"/>
          <w:sz w:val="37"/>
          <w:szCs w:val="37"/>
        </w:rPr>
        <w:t xml:space="preserve">  </w:t>
      </w:r>
      <w:r>
        <w:rPr>
          <w:sz w:val="37"/>
          <w:szCs w:val="37"/>
        </w:rPr>
        <w:t>standard</w:t>
      </w:r>
      <w:r>
        <w:rPr>
          <w:spacing w:val="40"/>
          <w:sz w:val="37"/>
          <w:szCs w:val="37"/>
        </w:rPr>
        <w:t xml:space="preserve">  </w:t>
      </w:r>
      <w:r>
        <w:rPr>
          <w:sz w:val="37"/>
          <w:szCs w:val="37"/>
        </w:rPr>
        <w:t>are</w:t>
      </w:r>
      <w:r>
        <w:rPr>
          <w:spacing w:val="47"/>
          <w:sz w:val="37"/>
          <w:szCs w:val="37"/>
        </w:rPr>
        <w:t xml:space="preserve">  </w:t>
      </w:r>
      <w:r>
        <w:rPr>
          <w:sz w:val="37"/>
          <w:szCs w:val="37"/>
        </w:rPr>
        <w:t>Dai</w:t>
      </w:r>
      <w:r>
        <w:rPr>
          <w:spacing w:val="48"/>
          <w:sz w:val="37"/>
          <w:szCs w:val="37"/>
        </w:rPr>
        <w:t xml:space="preserve">  </w:t>
      </w:r>
      <w:r>
        <w:rPr>
          <w:sz w:val="37"/>
          <w:szCs w:val="37"/>
        </w:rPr>
        <w:t>Hua</w:t>
      </w:r>
      <w:r>
        <w:rPr>
          <w:spacing w:val="4"/>
          <w:sz w:val="37"/>
          <w:szCs w:val="37"/>
        </w:rPr>
        <w:t>,</w:t>
      </w:r>
      <w:r>
        <w:rPr>
          <w:sz w:val="37"/>
          <w:szCs w:val="37"/>
        </w:rPr>
        <w:t>Li</w:t>
      </w:r>
      <w:r>
        <w:rPr>
          <w:spacing w:val="33"/>
          <w:sz w:val="37"/>
          <w:szCs w:val="37"/>
        </w:rPr>
        <w:t xml:space="preserve">  </w:t>
      </w:r>
      <w:r>
        <w:rPr>
          <w:sz w:val="37"/>
          <w:szCs w:val="37"/>
        </w:rPr>
        <w:t>Yongjun</w:t>
      </w:r>
      <w:r>
        <w:rPr>
          <w:spacing w:val="4"/>
          <w:sz w:val="37"/>
          <w:szCs w:val="37"/>
        </w:rPr>
        <w:t>,</w:t>
      </w:r>
      <w:r>
        <w:rPr>
          <w:sz w:val="37"/>
          <w:szCs w:val="37"/>
        </w:rPr>
        <w:t>Xiong</w:t>
      </w:r>
      <w:r>
        <w:rPr>
          <w:spacing w:val="49"/>
          <w:sz w:val="37"/>
          <w:szCs w:val="37"/>
        </w:rPr>
        <w:t xml:space="preserve">  </w:t>
      </w:r>
      <w:r>
        <w:rPr>
          <w:sz w:val="37"/>
          <w:szCs w:val="37"/>
        </w:rPr>
        <w:t>Fang</w:t>
      </w:r>
      <w:r>
        <w:rPr>
          <w:spacing w:val="4"/>
          <w:sz w:val="37"/>
          <w:szCs w:val="37"/>
        </w:rPr>
        <w:t>,</w:t>
      </w:r>
      <w:r>
        <w:rPr>
          <w:sz w:val="37"/>
          <w:szCs w:val="37"/>
        </w:rPr>
        <w:t>Li</w:t>
      </w:r>
      <w:r>
        <w:rPr>
          <w:spacing w:val="33"/>
          <w:sz w:val="37"/>
          <w:szCs w:val="37"/>
        </w:rPr>
        <w:t xml:space="preserve">  </w:t>
      </w:r>
      <w:r>
        <w:rPr>
          <w:sz w:val="37"/>
          <w:szCs w:val="37"/>
        </w:rPr>
        <w:t>Xiankun</w:t>
      </w:r>
      <w:r>
        <w:rPr>
          <w:spacing w:val="4"/>
          <w:sz w:val="37"/>
          <w:szCs w:val="37"/>
        </w:rPr>
        <w:t>,</w:t>
      </w:r>
      <w:r>
        <w:rPr>
          <w:sz w:val="37"/>
          <w:szCs w:val="37"/>
        </w:rPr>
        <w:t>Huang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</w:rPr>
        <w:t>Zhiqiang</w:t>
      </w:r>
      <w:r>
        <w:rPr>
          <w:spacing w:val="25"/>
          <w:sz w:val="37"/>
          <w:szCs w:val="37"/>
        </w:rPr>
        <w:t xml:space="preserve"> </w:t>
      </w:r>
      <w:r>
        <w:rPr>
          <w:sz w:val="37"/>
          <w:szCs w:val="37"/>
        </w:rPr>
        <w:t>and</w:t>
      </w:r>
      <w:r>
        <w:rPr>
          <w:spacing w:val="25"/>
          <w:sz w:val="37"/>
          <w:szCs w:val="37"/>
        </w:rPr>
        <w:t xml:space="preserve"> </w:t>
      </w:r>
      <w:r>
        <w:rPr>
          <w:sz w:val="37"/>
          <w:szCs w:val="37"/>
        </w:rPr>
        <w:t>Yuan</w:t>
      </w:r>
      <w:r>
        <w:rPr>
          <w:spacing w:val="25"/>
          <w:sz w:val="37"/>
          <w:szCs w:val="37"/>
        </w:rPr>
        <w:t xml:space="preserve"> </w:t>
      </w:r>
      <w:r>
        <w:rPr>
          <w:sz w:val="37"/>
          <w:szCs w:val="37"/>
        </w:rPr>
        <w:t>Zhineng</w:t>
      </w:r>
      <w:r>
        <w:rPr>
          <w:spacing w:val="25"/>
          <w:sz w:val="37"/>
          <w:szCs w:val="37"/>
        </w:rPr>
        <w:t>.</w:t>
      </w:r>
    </w:p>
    <w:p>
      <w:pPr>
        <w:pStyle w:val="BodyText"/>
        <w:spacing w:before="76" w:line="512" w:lineRule="exact"/>
        <w:ind w:left="774"/>
        <w:rPr>
          <w:sz w:val="37"/>
          <w:szCs w:val="37"/>
        </w:rPr>
      </w:pPr>
      <w:r>
        <w:rPr>
          <w:spacing w:val="1"/>
          <w:position w:val="6"/>
          <w:sz w:val="37"/>
          <w:szCs w:val="37"/>
        </w:rPr>
        <w:t>This</w:t>
      </w:r>
      <w:r>
        <w:rPr>
          <w:spacing w:val="73"/>
          <w:position w:val="6"/>
          <w:sz w:val="37"/>
          <w:szCs w:val="37"/>
        </w:rPr>
        <w:t xml:space="preserve"> </w:t>
      </w:r>
      <w:r>
        <w:rPr>
          <w:spacing w:val="1"/>
          <w:position w:val="6"/>
          <w:sz w:val="37"/>
          <w:szCs w:val="37"/>
        </w:rPr>
        <w:t>standard</w:t>
      </w:r>
      <w:r>
        <w:rPr>
          <w:spacing w:val="87"/>
          <w:position w:val="6"/>
          <w:sz w:val="37"/>
          <w:szCs w:val="37"/>
        </w:rPr>
        <w:t xml:space="preserve"> </w:t>
      </w:r>
      <w:r>
        <w:rPr>
          <w:spacing w:val="1"/>
          <w:position w:val="6"/>
          <w:sz w:val="37"/>
          <w:szCs w:val="37"/>
        </w:rPr>
        <w:t>is</w:t>
      </w:r>
      <w:r>
        <w:rPr>
          <w:spacing w:val="75"/>
          <w:position w:val="6"/>
          <w:sz w:val="37"/>
          <w:szCs w:val="37"/>
        </w:rPr>
        <w:t xml:space="preserve"> </w:t>
      </w:r>
      <w:r>
        <w:rPr>
          <w:spacing w:val="1"/>
          <w:position w:val="6"/>
          <w:sz w:val="37"/>
          <w:szCs w:val="37"/>
        </w:rPr>
        <w:t>a</w:t>
      </w:r>
      <w:r>
        <w:rPr>
          <w:spacing w:val="86"/>
          <w:position w:val="6"/>
          <w:sz w:val="37"/>
          <w:szCs w:val="37"/>
        </w:rPr>
        <w:t xml:space="preserve"> </w:t>
      </w:r>
      <w:r>
        <w:rPr>
          <w:spacing w:val="1"/>
          <w:position w:val="6"/>
          <w:sz w:val="37"/>
          <w:szCs w:val="37"/>
        </w:rPr>
        <w:t>professional</w:t>
      </w:r>
      <w:r>
        <w:rPr>
          <w:spacing w:val="74"/>
          <w:position w:val="6"/>
          <w:sz w:val="37"/>
          <w:szCs w:val="37"/>
        </w:rPr>
        <w:t xml:space="preserve"> </w:t>
      </w:r>
      <w:r>
        <w:rPr>
          <w:spacing w:val="1"/>
          <w:position w:val="6"/>
          <w:sz w:val="37"/>
          <w:szCs w:val="37"/>
        </w:rPr>
        <w:t>standard</w:t>
      </w:r>
      <w:r>
        <w:rPr>
          <w:spacing w:val="86"/>
          <w:position w:val="6"/>
          <w:sz w:val="37"/>
          <w:szCs w:val="37"/>
        </w:rPr>
        <w:t xml:space="preserve"> </w:t>
      </w:r>
      <w:r>
        <w:rPr>
          <w:spacing w:val="1"/>
          <w:position w:val="6"/>
          <w:sz w:val="37"/>
          <w:szCs w:val="37"/>
        </w:rPr>
        <w:t>promulga</w:t>
      </w:r>
      <w:r>
        <w:rPr>
          <w:position w:val="6"/>
          <w:sz w:val="37"/>
          <w:szCs w:val="37"/>
        </w:rPr>
        <w:t>ted</w:t>
      </w:r>
      <w:r>
        <w:rPr>
          <w:spacing w:val="65"/>
          <w:position w:val="6"/>
          <w:sz w:val="37"/>
          <w:szCs w:val="37"/>
        </w:rPr>
        <w:t xml:space="preserve"> </w:t>
      </w:r>
      <w:r>
        <w:rPr>
          <w:position w:val="6"/>
          <w:sz w:val="37"/>
          <w:szCs w:val="37"/>
        </w:rPr>
        <w:t>for</w:t>
      </w:r>
      <w:r>
        <w:rPr>
          <w:spacing w:val="64"/>
          <w:position w:val="6"/>
          <w:sz w:val="37"/>
          <w:szCs w:val="37"/>
        </w:rPr>
        <w:t xml:space="preserve"> </w:t>
      </w:r>
      <w:r>
        <w:rPr>
          <w:position w:val="6"/>
          <w:sz w:val="37"/>
          <w:szCs w:val="37"/>
        </w:rPr>
        <w:t>the</w:t>
      </w:r>
      <w:r>
        <w:rPr>
          <w:spacing w:val="65"/>
          <w:position w:val="6"/>
          <w:sz w:val="37"/>
          <w:szCs w:val="37"/>
        </w:rPr>
        <w:t xml:space="preserve"> </w:t>
      </w:r>
      <w:r>
        <w:rPr>
          <w:position w:val="6"/>
          <w:sz w:val="37"/>
          <w:szCs w:val="37"/>
        </w:rPr>
        <w:t>first</w:t>
      </w:r>
      <w:r>
        <w:rPr>
          <w:spacing w:val="68"/>
          <w:position w:val="6"/>
          <w:sz w:val="37"/>
          <w:szCs w:val="37"/>
        </w:rPr>
        <w:t xml:space="preserve"> </w:t>
      </w:r>
      <w:r>
        <w:rPr>
          <w:position w:val="6"/>
          <w:sz w:val="37"/>
          <w:szCs w:val="37"/>
        </w:rPr>
        <w:t>time.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https://d.book118.com/988142123004006050</w:t>
        </w:r>
      </w:hyperlink>
    </w:p>
    <w:p>
      <w:pPr>
        <w:pStyle w:val="BodyText"/>
        <w:spacing w:line="241" w:lineRule="auto"/>
      </w:pPr>
    </w:p>
    <w:sectPr>
      <w:footerReference w:type="default" r:id="rId25"/>
      <w:pgSz w:w="21427" w:h="31681"/>
      <w:pgMar w:top="0" w:right="1738" w:bottom="400" w:left="2029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3" w:lineRule="auto"/>
      <w:ind w:left="16147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sz w:val="43"/>
        <w:szCs w:val="43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696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696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0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209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5" w:lineRule="auto"/>
      <w:ind w:left="17114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6"/>
      <w:szCs w:val="2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hyperlink" Target="3.4.2.1" TargetMode="External" /><Relationship Id="rId13" Type="http://schemas.openxmlformats.org/officeDocument/2006/relationships/footer" Target="footer4.xml" /><Relationship Id="rId14" Type="http://schemas.openxmlformats.org/officeDocument/2006/relationships/hyperlink" Target="3.4.2.2" TargetMode="External" /><Relationship Id="rId15" Type="http://schemas.openxmlformats.org/officeDocument/2006/relationships/footer" Target="footer5.xml" /><Relationship Id="rId16" Type="http://schemas.openxmlformats.org/officeDocument/2006/relationships/image" Target="media/image6.png" /><Relationship Id="rId17" Type="http://schemas.openxmlformats.org/officeDocument/2006/relationships/image" Target="media/image7.jpeg" /><Relationship Id="rId18" Type="http://schemas.openxmlformats.org/officeDocument/2006/relationships/image" Target="media/image8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footer" Target="footer7.xml" /><Relationship Id="rId23" Type="http://schemas.openxmlformats.org/officeDocument/2006/relationships/image" Target="media/image11.jpeg" /><Relationship Id="rId24" Type="http://schemas.openxmlformats.org/officeDocument/2006/relationships/hyperlink" Target="https://d.book118.com/988142123004006050" TargetMode="External" /><Relationship Id="rId25" Type="http://schemas.openxmlformats.org/officeDocument/2006/relationships/footer" Target="footer8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2024-03-21T22:50:05Z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2024-03-21T22:50:07Z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65fc49102b86d9001fbbfc99wl</vt:lpwstr>
  </property>
</Properties>
</file>