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2023年卫生知识健康教育知识-疾病预防控制人员业务知识考试历年参考核心考点荟萃附答案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下述哪项法律、法规属于健康促进公共政策（）</w:t>
      </w:r>
    </w:p>
    <w:p>
      <w:pPr>
        <w:pStyle w:val="Normal0"/>
        <w:jc w:val="left"/>
        <w:rPr>
          <w:rFonts w:ascii="黑体" w:eastAsia="黑体" w:hAnsi="黑体"/>
          <w:sz w:val="24"/>
          <w:szCs w:val="28"/>
        </w:rPr>
      </w:pPr>
      <w:r>
        <w:rPr>
          <w:rFonts w:ascii="黑体" w:eastAsia="黑体" w:hAnsi="黑体"/>
          <w:sz w:val="24"/>
          <w:szCs w:val="28"/>
        </w:rPr>
        <w:t>A、环境保护法</w:t>
      </w:r>
    </w:p>
    <w:p>
      <w:pPr>
        <w:pStyle w:val="Normal0"/>
        <w:jc w:val="left"/>
        <w:rPr>
          <w:rFonts w:ascii="黑体" w:eastAsia="黑体" w:hAnsi="黑体"/>
          <w:sz w:val="24"/>
          <w:szCs w:val="28"/>
        </w:rPr>
      </w:pPr>
      <w:r>
        <w:rPr>
          <w:rFonts w:ascii="黑体" w:eastAsia="黑体" w:hAnsi="黑体"/>
          <w:sz w:val="24"/>
          <w:szCs w:val="28"/>
        </w:rPr>
        <w:t>B、传染病防治法</w:t>
      </w:r>
    </w:p>
    <w:p>
      <w:pPr>
        <w:pStyle w:val="Normal0"/>
        <w:jc w:val="left"/>
        <w:rPr>
          <w:rFonts w:ascii="黑体" w:eastAsia="黑体" w:hAnsi="黑体"/>
          <w:sz w:val="24"/>
          <w:szCs w:val="28"/>
        </w:rPr>
      </w:pPr>
      <w:r>
        <w:rPr>
          <w:rFonts w:ascii="黑体" w:eastAsia="黑体" w:hAnsi="黑体"/>
          <w:sz w:val="24"/>
          <w:szCs w:val="28"/>
        </w:rPr>
        <w:t>C、B+C</w:t>
      </w:r>
    </w:p>
    <w:p>
      <w:pPr>
        <w:pStyle w:val="Normal0"/>
        <w:jc w:val="left"/>
        <w:rPr>
          <w:rFonts w:ascii="黑体" w:eastAsia="黑体" w:hAnsi="黑体"/>
          <w:sz w:val="24"/>
          <w:szCs w:val="28"/>
        </w:rPr>
      </w:pPr>
      <w:r>
        <w:rPr>
          <w:rFonts w:ascii="黑体" w:eastAsia="黑体" w:hAnsi="黑体"/>
          <w:sz w:val="24"/>
          <w:szCs w:val="28"/>
        </w:rPr>
        <w:t>D、公共场所禁止吸烟规定</w:t>
      </w:r>
    </w:p>
    <w:p>
      <w:pPr>
        <w:pStyle w:val="Normal0"/>
        <w:jc w:val="left"/>
        <w:rPr>
          <w:rFonts w:ascii="黑体" w:eastAsia="黑体" w:hAnsi="黑体"/>
          <w:sz w:val="24"/>
          <w:szCs w:val="28"/>
        </w:rPr>
      </w:pPr>
      <w:r>
        <w:rPr>
          <w:rFonts w:ascii="黑体" w:eastAsia="黑体" w:hAnsi="黑体"/>
          <w:sz w:val="24"/>
          <w:szCs w:val="28"/>
        </w:rPr>
        <w:t>E、A+B+C</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正确答案:E</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2010年6月，某患者初次诊断为肺结核，经过6个月的规则治疗后已判定治愈。一年半后，该患者因不明原因出现咳嗽、咳痰等症状，到当地结防机构进行检查，3次痰涂片阴性，胸部影像学检查显示与活动性肺结核相符病变，PPD试验强阳性，抗结核抗体阳性。临床诊断为活动性肺结核。请问，该患者登记分类为（）。</w:t>
      </w:r>
    </w:p>
    <w:p>
      <w:pPr>
        <w:pStyle w:val="Normal1"/>
        <w:jc w:val="left"/>
        <w:rPr>
          <w:rFonts w:ascii="黑体" w:eastAsia="黑体" w:hAnsi="黑体"/>
          <w:sz w:val="24"/>
          <w:szCs w:val="28"/>
        </w:rPr>
      </w:pPr>
      <w:r>
        <w:rPr>
          <w:rFonts w:ascii="黑体" w:eastAsia="黑体" w:hAnsi="黑体"/>
          <w:sz w:val="24"/>
          <w:szCs w:val="28"/>
        </w:rPr>
        <w:t>A、新患者；</w:t>
      </w:r>
    </w:p>
    <w:p>
      <w:pPr>
        <w:pStyle w:val="Normal1"/>
        <w:jc w:val="left"/>
        <w:rPr>
          <w:rFonts w:ascii="黑体" w:eastAsia="黑体" w:hAnsi="黑体"/>
          <w:sz w:val="24"/>
          <w:szCs w:val="28"/>
        </w:rPr>
      </w:pPr>
      <w:r>
        <w:rPr>
          <w:rFonts w:ascii="黑体" w:eastAsia="黑体" w:hAnsi="黑体"/>
          <w:sz w:val="24"/>
          <w:szCs w:val="28"/>
        </w:rPr>
        <w:t>B、复发；</w:t>
      </w:r>
    </w:p>
    <w:p>
      <w:pPr>
        <w:pStyle w:val="Normal1"/>
        <w:jc w:val="left"/>
        <w:rPr>
          <w:rFonts w:ascii="黑体" w:eastAsia="黑体" w:hAnsi="黑体"/>
          <w:sz w:val="24"/>
          <w:szCs w:val="28"/>
        </w:rPr>
      </w:pPr>
      <w:r>
        <w:rPr>
          <w:rFonts w:ascii="黑体" w:eastAsia="黑体" w:hAnsi="黑体"/>
          <w:sz w:val="24"/>
          <w:szCs w:val="28"/>
        </w:rPr>
        <w:t>C、返回；</w:t>
      </w:r>
    </w:p>
    <w:p>
      <w:pPr>
        <w:pStyle w:val="Normal1"/>
        <w:jc w:val="left"/>
        <w:rPr>
          <w:rFonts w:ascii="黑体" w:eastAsia="黑体" w:hAnsi="黑体"/>
          <w:sz w:val="24"/>
          <w:szCs w:val="28"/>
        </w:rPr>
      </w:pPr>
      <w:r>
        <w:rPr>
          <w:rFonts w:ascii="黑体" w:eastAsia="黑体" w:hAnsi="黑体"/>
          <w:sz w:val="24"/>
          <w:szCs w:val="28"/>
        </w:rPr>
        <w:t>D、初治失败；</w:t>
      </w:r>
    </w:p>
    <w:p>
      <w:pPr>
        <w:pStyle w:val="Normal1"/>
        <w:jc w:val="left"/>
        <w:rPr>
          <w:rFonts w:ascii="黑体" w:eastAsia="黑体" w:hAnsi="黑体"/>
          <w:sz w:val="24"/>
          <w:szCs w:val="28"/>
        </w:rPr>
      </w:pPr>
      <w:r>
        <w:rPr>
          <w:rFonts w:ascii="黑体" w:eastAsia="黑体" w:hAnsi="黑体"/>
          <w:sz w:val="24"/>
          <w:szCs w:val="28"/>
        </w:rPr>
        <w:t>E、其他。</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正确答案:E</w:t>
      </w:r>
    </w:p>
    <w:p>
      <w:pPr>
        <w:pStyle w:val="Normal1"/>
        <w:sectPr w:rsidSect="00C33305">
          <w:footerReference w:type="default" r:id="rId5"/>
          <w:pgSz w:w="11906" w:h="16838" w:code="9"/>
          <w:pgMar w:top="1440" w:right="1800" w:bottom="1440" w:left="1800" w:header="851" w:footer="992" w:gutter="0"/>
          <w:cols w:space="425"/>
          <w:docGrid w:type="lines" w:linePitch="312"/>
        </w:sect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青春期常见的心理行为问题包括（）</w:t>
      </w:r>
    </w:p>
    <w:p>
      <w:pPr>
        <w:pStyle w:val="Normal2"/>
        <w:jc w:val="left"/>
        <w:rPr>
          <w:rFonts w:ascii="黑体" w:eastAsia="黑体" w:hAnsi="黑体"/>
          <w:sz w:val="24"/>
          <w:szCs w:val="28"/>
        </w:rPr>
      </w:pPr>
      <w:r>
        <w:rPr>
          <w:rFonts w:ascii="黑体" w:eastAsia="黑体" w:hAnsi="黑体"/>
          <w:sz w:val="24"/>
          <w:szCs w:val="28"/>
        </w:rPr>
        <w:t>A、吸烟、酗酒和滥用药物</w:t>
      </w:r>
    </w:p>
    <w:p>
      <w:pPr>
        <w:pStyle w:val="Normal2"/>
        <w:jc w:val="left"/>
        <w:rPr>
          <w:rFonts w:ascii="黑体" w:eastAsia="黑体" w:hAnsi="黑体"/>
          <w:sz w:val="24"/>
          <w:szCs w:val="28"/>
        </w:rPr>
      </w:pPr>
      <w:r>
        <w:rPr>
          <w:rFonts w:ascii="黑体" w:eastAsia="黑体" w:hAnsi="黑体"/>
          <w:sz w:val="24"/>
          <w:szCs w:val="28"/>
        </w:rPr>
        <w:t>B、暴力伤害</w:t>
      </w:r>
    </w:p>
    <w:p>
      <w:pPr>
        <w:pStyle w:val="Normal2"/>
        <w:jc w:val="left"/>
        <w:rPr>
          <w:rFonts w:ascii="黑体" w:eastAsia="黑体" w:hAnsi="黑体"/>
          <w:sz w:val="24"/>
          <w:szCs w:val="28"/>
        </w:rPr>
      </w:pPr>
      <w:r>
        <w:rPr>
          <w:rFonts w:ascii="黑体" w:eastAsia="黑体" w:hAnsi="黑体"/>
          <w:sz w:val="24"/>
          <w:szCs w:val="28"/>
        </w:rPr>
        <w:t>C、不良习惯</w:t>
      </w:r>
    </w:p>
    <w:p>
      <w:pPr>
        <w:pStyle w:val="Normal2"/>
        <w:jc w:val="left"/>
        <w:rPr>
          <w:rFonts w:ascii="黑体" w:eastAsia="黑体" w:hAnsi="黑体"/>
          <w:sz w:val="24"/>
          <w:szCs w:val="28"/>
        </w:rPr>
      </w:pPr>
      <w:r>
        <w:rPr>
          <w:rFonts w:ascii="黑体" w:eastAsia="黑体" w:hAnsi="黑体"/>
          <w:sz w:val="24"/>
          <w:szCs w:val="28"/>
        </w:rPr>
        <w:t>D、精神性成瘾行为</w:t>
      </w:r>
    </w:p>
    <w:p>
      <w:pPr>
        <w:pStyle w:val="Normal2"/>
        <w:jc w:val="left"/>
        <w:rPr>
          <w:rFonts w:ascii="黑体" w:eastAsia="黑体" w:hAnsi="黑体"/>
          <w:sz w:val="24"/>
          <w:szCs w:val="28"/>
        </w:rPr>
      </w:pPr>
      <w:r>
        <w:rPr>
          <w:rFonts w:ascii="黑体" w:eastAsia="黑体" w:hAnsi="黑体"/>
          <w:sz w:val="24"/>
          <w:szCs w:val="28"/>
        </w:rPr>
        <w:t>E、自杀</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正确答案:A,B,D,E</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霍乱病人腹泻剧烈，无里急后重，大便为米泔水样或水样，一般无发热</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正确答案:正确</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如何预防和控制疟疾？ </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疟疾蚊子传，防蚊虫叮咬最重要，改变露宿习惯，提倡人人使用蚊帐。防止蚊虫叮咬 在按蚊活动高峰期（黄昏后不久），要做好个人防护，可穿适当的衣物，如长袖、长裤。特别是在户外，暴露皮肤可涂抹驱避剂。除个人防护外还应做好家庭防护，可使用蚊帐、纱门、纱窗，睡前在卧室喷洒灭蚊药。近年，在疟区当地群众用菊酯类灭蚊药浸泡蚊帐收到良好效果。</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（2）.得了疟疾找医生，查血可见疟原虫，发现疟疾要报告。当你生活在高疟区或从高疟区返回后，如果出现乏力、怠倦等类似感冒的症状时，要及时到当地诊所采血诊断，及时按规定治疗。</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（3）.疟疾传播危害大，春季复治很重要，一人得病全家预防，多人得病全村预防。为彻底根治疟疾，在来年要对已得疟疾病人进行休止期治疗，达到标本兼治的目的。</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1998年7月28日上午，A省卫生防疫站接到X市卫生防疫站报告，该市发生了一例“疑似炭疽”病例，病情严重，请求派专家前往会诊。省防疫站决定派遣防疫科和食品卫生科专业人员，协同省人民医院临床专家一起组成省专家组，于下午3点出发前往X市，晚上7点左右到达。到达后马上和当地临床及防疫人员一起讨论病情，患者的情况如下：</w:t>
      </w:r>
    </w:p>
    <w:p>
      <w:pPr>
        <w:pStyle w:val="Normal5"/>
        <w:jc w:val="left"/>
        <w:rPr>
          <w:rFonts w:ascii="黑体" w:eastAsia="黑体" w:hAnsi="黑体"/>
          <w:sz w:val="24"/>
          <w:szCs w:val="28"/>
        </w:rPr>
      </w:pPr>
      <w:r>
        <w:rPr>
          <w:rFonts w:ascii="黑体" w:eastAsia="黑体" w:hAnsi="黑体"/>
          <w:sz w:val="24"/>
          <w:szCs w:val="28"/>
        </w:rPr>
        <w:t>患者男，53岁，G市BJ镇BD村3组农民。7月24日自己在家宰杀病猪时，被刺破左手中指，所宰猪肉被肉贩收购，内脏自家食用。25日凌晨突然发病，恶心、呕吐、呕血、腹痛、腹泻，先为水样便，后血便，到G县人民医院就诊，后转到X医学院附院，病情加重。化验结果白细胞1.8万，谷丙转氨酶&gt;2千，诊断为“感染性休克”。发病第二天，皮肤出现瘀点瘀斑，并逐渐增多。27日晚9点多转入传染病医院，当时面部呈典型的醉酒貌，面部与四肢呈大小不等的瘀点、瘀斑，白细胞2.8万。传病病医院经广泛会诊，认为流行性出血热可能性较大，同时也考虑到钩体病和炭疽不能排除，但不能确定诊断。下一步需要进行哪些工作？</w:t>
      </w:r>
    </w:p>
    <w:p>
      <w:pPr>
        <w:pStyle w:val="Normal5"/>
        <w:jc w:val="left"/>
        <w:rPr>
          <w:rFonts w:ascii="黑体" w:eastAsia="黑体" w:hAnsi="黑体"/>
          <w:sz w:val="24"/>
          <w:szCs w:val="28"/>
        </w:rPr>
      </w:pPr>
    </w:p>
    <w:p>
      <w:pPr>
        <w:pStyle w:val="Normal5"/>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正确答案:</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鉴于这是一次严重的致死性疾病暴发，应该立即开展下述工作：</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1.开展流行病学调查，摸清疾病的流行情况、致病因素和高危人群，探讨有效的防控措施；</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2.在适当的区域内开展专项疾病监测，做到早发现、早隔离、早诊断、早治疗，控制疾病的扩散；</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3.积极救治病人，降低死亡率；</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4.虽然还不能确定此病来源于病死猪，但已发现的病例都与病死猪有联系，因此应与相关部门合作，开展猪间疫情的控制和猪肉市场的管理；</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5.开展健康教育，把事实告诉当地居民，既要引起注意，又要避免造成恐慌；</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6.结合流行病、临床和实验室，积极开展病因学研究。</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恶性疟原虫完成一代红细胞内裂体增殖周期所需时间一般为（）  </w:t>
      </w:r>
    </w:p>
    <w:p>
      <w:pPr>
        <w:pStyle w:val="Normal6"/>
        <w:jc w:val="left"/>
        <w:rPr>
          <w:rFonts w:ascii="黑体" w:eastAsia="黑体" w:hAnsi="黑体"/>
          <w:sz w:val="24"/>
          <w:szCs w:val="28"/>
        </w:rPr>
      </w:pPr>
      <w:r>
        <w:rPr>
          <w:rFonts w:ascii="黑体" w:eastAsia="黑体" w:hAnsi="黑体"/>
          <w:sz w:val="24"/>
          <w:szCs w:val="28"/>
        </w:rPr>
        <w:t>A、 8小时</w:t>
      </w:r>
    </w:p>
    <w:p>
      <w:pPr>
        <w:pStyle w:val="Normal6"/>
        <w:jc w:val="left"/>
        <w:rPr>
          <w:rFonts w:ascii="黑体" w:eastAsia="黑体" w:hAnsi="黑体"/>
          <w:sz w:val="24"/>
          <w:szCs w:val="28"/>
        </w:rPr>
      </w:pPr>
      <w:r>
        <w:rPr>
          <w:rFonts w:ascii="黑体" w:eastAsia="黑体" w:hAnsi="黑体"/>
          <w:sz w:val="24"/>
          <w:szCs w:val="28"/>
        </w:rPr>
        <w:t>B、 36～48小时</w:t>
      </w:r>
    </w:p>
    <w:p>
      <w:pPr>
        <w:pStyle w:val="Normal6"/>
        <w:jc w:val="left"/>
        <w:rPr>
          <w:rFonts w:ascii="黑体" w:eastAsia="黑体" w:hAnsi="黑体"/>
          <w:sz w:val="24"/>
          <w:szCs w:val="28"/>
        </w:rPr>
      </w:pPr>
      <w:r>
        <w:rPr>
          <w:rFonts w:ascii="黑体" w:eastAsia="黑体" w:hAnsi="黑体"/>
          <w:sz w:val="24"/>
          <w:szCs w:val="28"/>
        </w:rPr>
        <w:t>C、 72小时</w:t>
      </w:r>
    </w:p>
    <w:p>
      <w:pPr>
        <w:pStyle w:val="Normal6"/>
        <w:jc w:val="left"/>
        <w:rPr>
          <w:rFonts w:ascii="黑体" w:eastAsia="黑体" w:hAnsi="黑体"/>
          <w:sz w:val="24"/>
          <w:szCs w:val="28"/>
        </w:rPr>
      </w:pPr>
      <w:r>
        <w:rPr>
          <w:rFonts w:ascii="黑体" w:eastAsia="黑体" w:hAnsi="黑体"/>
          <w:sz w:val="24"/>
          <w:szCs w:val="28"/>
        </w:rPr>
        <w:t>D、 24～36小时</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正确答案:B</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幼虫期不侵犯人体肺部的寄生虫是；（）</w:t>
      </w:r>
    </w:p>
    <w:p>
      <w:pPr>
        <w:pStyle w:val="Normal7"/>
        <w:jc w:val="left"/>
        <w:rPr>
          <w:rFonts w:ascii="黑体" w:eastAsia="黑体" w:hAnsi="黑体"/>
          <w:sz w:val="24"/>
          <w:szCs w:val="28"/>
        </w:rPr>
      </w:pPr>
      <w:r>
        <w:rPr>
          <w:rFonts w:ascii="黑体" w:eastAsia="黑体" w:hAnsi="黑体"/>
          <w:sz w:val="24"/>
          <w:szCs w:val="28"/>
        </w:rPr>
        <w:t>A、钩虫</w:t>
      </w:r>
    </w:p>
    <w:p>
      <w:pPr>
        <w:pStyle w:val="Normal7"/>
        <w:jc w:val="left"/>
        <w:rPr>
          <w:rFonts w:ascii="黑体" w:eastAsia="黑体" w:hAnsi="黑体"/>
          <w:sz w:val="24"/>
          <w:szCs w:val="28"/>
        </w:rPr>
      </w:pPr>
      <w:r>
        <w:rPr>
          <w:rFonts w:ascii="黑体" w:eastAsia="黑体" w:hAnsi="黑体"/>
          <w:sz w:val="24"/>
          <w:szCs w:val="28"/>
        </w:rPr>
        <w:t>B、肺吸虫</w:t>
      </w:r>
    </w:p>
    <w:p>
      <w:pPr>
        <w:pStyle w:val="Normal7"/>
        <w:jc w:val="left"/>
        <w:rPr>
          <w:rFonts w:ascii="黑体" w:eastAsia="黑体" w:hAnsi="黑体"/>
          <w:sz w:val="24"/>
          <w:szCs w:val="28"/>
        </w:rPr>
      </w:pPr>
      <w:r>
        <w:rPr>
          <w:rFonts w:ascii="黑体" w:eastAsia="黑体" w:hAnsi="黑体"/>
          <w:sz w:val="24"/>
          <w:szCs w:val="28"/>
        </w:rPr>
        <w:t>C、蛔虫</w:t>
      </w:r>
    </w:p>
    <w:p>
      <w:pPr>
        <w:pStyle w:val="Normal7"/>
        <w:jc w:val="left"/>
        <w:rPr>
          <w:rFonts w:ascii="黑体" w:eastAsia="黑体" w:hAnsi="黑体"/>
          <w:sz w:val="24"/>
          <w:szCs w:val="28"/>
        </w:rPr>
      </w:pPr>
      <w:r>
        <w:rPr>
          <w:rFonts w:ascii="黑体" w:eastAsia="黑体" w:hAnsi="黑体"/>
          <w:sz w:val="24"/>
          <w:szCs w:val="28"/>
        </w:rPr>
        <w:t>D、姜片虫</w:t>
      </w:r>
    </w:p>
    <w:p>
      <w:pPr>
        <w:pStyle w:val="Normal7"/>
        <w:jc w:val="left"/>
        <w:rPr>
          <w:rFonts w:ascii="黑体" w:eastAsia="黑体" w:hAnsi="黑体"/>
          <w:sz w:val="24"/>
          <w:szCs w:val="28"/>
        </w:rPr>
      </w:pPr>
      <w:r>
        <w:rPr>
          <w:rFonts w:ascii="黑体" w:eastAsia="黑体" w:hAnsi="黑体"/>
          <w:sz w:val="24"/>
          <w:szCs w:val="28"/>
        </w:rPr>
        <w:t>E、血吸虫</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正确答案:D</w:t>
      </w:r>
    </w:p>
    <w:p>
      <w:pPr>
        <w:pStyle w:val="Normal7"/>
      </w:pPr>
    </w:p>
    <w:p>
      <w:pPr>
        <w:pStyle w:val="Normal8"/>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9.</w:t>
      </w:r>
    </w:p>
    <w:p>
      <w:pPr>
        <w:pStyle w:val="Normal8"/>
        <w:jc w:val="left"/>
        <w:rPr>
          <w:rFonts w:ascii="黑体" w:eastAsia="黑体" w:hAnsi="黑体"/>
          <w:sz w:val="24"/>
          <w:szCs w:val="28"/>
        </w:rPr>
      </w:pPr>
      <w:r>
        <w:rPr>
          <w:rFonts w:ascii="黑体" w:eastAsia="黑体" w:hAnsi="黑体"/>
          <w:sz w:val="24"/>
          <w:szCs w:val="28"/>
        </w:rPr>
        <w:t>2005年7月2日~3日，H省C市W县某乡3名农民在屠宰过程中被牛骨划破及被屠刀割破皮肤的村民，皮肤破损部位相继发生疱疹、红肿等感染症状。7月7日~8日，患者感染加重，陆续前来P乡卫生院进行诊疗，接诊后发现3名患者的皮肤破损的临床表现基本相同，均为手部皮肤出现1~5cm2的皮肤破损，破损皮肤中央黑色结痂，周围有水泡，高度肿胀，无发热，患侧腋下淋巴结肿大，因病例表现与既往伤口感染状况不同，遂报告防保大夫，防保大夫查看病例后怀疑为炭疽。县CDC接到报告后，立即向县卫生局报告了情况，县卫生局领导、医疗人员、卫生监督所和CDC人员组成联合调查组于7月8日19：30到达现场开展初步诊断和现场调查工作，发病乡位于W县西部，距县城45公里，以农业生产为主，辖区人口11000人，下设9个行政村。乡卫生院有医生13人，无专职护士，卫生院条件较为简陋；村卫生所9所，村医17人。疫情发生地H村距乡政府所在地1.5公里，下设10个自然村，有村民1560人，医生2人。患者刘XX，男，32岁，7月3日皮肤损伤2处，皮肤损伤部位发痒，并出现水泡，部位在左手小指背侧中部和食指中部，患处高度肿胀（非指凹性水肿），中心为黑色结痂，大小为1×2cm。查体无发热，患侧腋下淋巴结肿大，肝脾未见异常，现给予青霉素480万单位，2次/日输液治疗。患者李XX，男，42岁，7月3日发病，皮肤损伤部位发痒，并出现水泡，部位在左手中指背侧中部，患处高度肿胀（非指凹性水肿），皮下呈黑色，大小为1×2cm。查体无发热，患侧腋下淋巴结肿大，肝脾未见异常，现给予青霉素480万单位，2次/日输液治疗。患者王XX，男，51岁，7月2日发病，皮肤损伤2处，损伤部位为左手手腕部，出现水泡和渗出。7月5日患处中心部位呈现黑色结痂，创面达1.5×5cm，创面周围有水泡及渗出物，外周呈高出皮肤的红肿，红肿在创面周围蔓延到手指根部和肘部。发病初期有发热，具体体温不详，患侧腋下淋巴结和颌下淋巴结肿大，肝脾未见异常。现给予青霉素480万单位，2次/日输液治疗。</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2005年6月28日，H村村民刘XX家中饲养的一头母牛因食用了大量玉米苗后腹胀，当地兽医给与注射青霉素一支。6月29日上午牛死亡，在尸体尚未僵硬时，5名村民及数名妇女在村后树林内对病牛进行了宰杀，其中发病的3名村民参与了宰杀。</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初步调查工作在7月8日24：00结束，调查同时采集了病人的皮肤溃疡处分泌物送回CDC进行镜检，检验结果为阴性。但根据现场县级专家及曾经参加过炭疽疫情处置人人员综合论证，初步诊断为皮肤炭疽。目前当地无类似病例。县CDC将疫情信息上报市CDC，并由县卫生局向当地畜牧部门进行疫情通报。经进一步调查核实，参与宰牛的村民分别为刘XX、刘X、李XX、薛X和王XX，其中刘XX在宰杀过程中被屠刀划破手腕，李XX和王XX在屠宰过程中将手指划破。其他妇女协助工作（剥皮、搬运牛骨、牛肉、收拾牛下水等）。该病牛屠宰后，内脏及血液抛弃在树林内，牛皮被该县B镇村民朴X收购（后由县畜牧局封存）。该病牛共分割牛肉110.6公斤，卖给29户居民，1家饭店，大部分已被村民食用（后追回未食用的牛肉和牛肉干23.5公斤）。该病牛污染的环境波及到3个乡5个行政村13个自然村。</w:t>
      </w:r>
    </w:p>
    <w:p>
      <w:pPr>
        <w:pStyle w:val="Normal8"/>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ab/>
      </w:r>
      <w:r>
        <w:rPr>
          <w:rFonts w:ascii="黑体" w:eastAsia="黑体" w:hAnsi="黑体"/>
          <w:sz w:val="24"/>
          <w:szCs w:val="28"/>
        </w:rPr>
        <w:t>经调查，有129人先后食用或接触过该牛肉、接触病人、对病人或病牛进行诊疗，其中3人发病，具体接触方式见表1。</w:t>
      </w:r>
    </w:p>
    <w:p>
      <w:pPr>
        <w:pStyle w:val="Normal8"/>
        <w:jc w:val="left"/>
        <w:rPr>
          <w:rFonts w:ascii="黑体" w:eastAsia="黑体" w:hAnsi="黑体"/>
          <w:sz w:val="24"/>
          <w:szCs w:val="28"/>
        </w:rPr>
      </w:pPr>
      <w:r>
        <w:rPr>
          <w:rFonts w:ascii="黑体" w:eastAsia="黑体" w:hAnsi="黑体"/>
          <w:sz w:val="24"/>
          <w:szCs w:val="28"/>
        </w:rPr>
        <w:tab/>
      </w:r>
      <w:r>
        <w:drawing>
          <wp:inline distT="0" distB="0" distL="0" distR="0">
            <wp:extent cx="4953520" cy="5953750"/>
            <wp:effectExtent l="0" t="0" r="0" b="0"/>
            <wp:docPr id="127" name="_x0000_i0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_x0000_i0127"/>
                    <pic:cNvPicPr/>
                  </pic:nvPicPr>
                  <pic:blipFill>
                    <a:blip xmlns:r="http://schemas.openxmlformats.org/officeDocument/2006/relationships" r:embed="rId9"/>
                    <a:stretch>
                      <a:fillRect/>
                    </a:stretch>
                  </pic:blipFill>
                  <pic:spPr>
                    <a:xfrm>
                      <a:off x="0" y="0"/>
                      <a:ext cx="4953520" cy="5953750"/>
                    </a:xfrm>
                    <a:prstGeom prst="rect">
                      <a:avLst/>
                    </a:prstGeom>
                  </pic:spPr>
                </pic:pic>
              </a:graphicData>
            </a:graphic>
          </wp:inline>
        </w:drawing>
      </w:r>
    </w:p>
    <w:p>
      <w:pPr>
        <w:pStyle w:val="Normal8"/>
        <w:jc w:val="left"/>
        <w:rPr>
          <w:rFonts w:ascii="黑体" w:eastAsia="黑体" w:hAnsi="黑体"/>
          <w:sz w:val="24"/>
          <w:szCs w:val="28"/>
        </w:rPr>
      </w:pPr>
      <w:r>
        <w:rPr>
          <w:rFonts w:ascii="黑体" w:eastAsia="黑体" w:hAnsi="黑体"/>
          <w:sz w:val="24"/>
          <w:szCs w:val="28"/>
        </w:rPr>
        <w:tab/>
      </w:r>
      <w:r>
        <w:drawing>
          <wp:inline distT="0" distB="0" distL="0" distR="0">
            <wp:extent cx="4886838" cy="400092"/>
            <wp:effectExtent l="0" t="0" r="0" b="0"/>
            <wp:docPr id="128" name="_x0000_i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_x0000_i0128"/>
                    <pic:cNvPicPr/>
                  </pic:nvPicPr>
                  <pic:blipFill>
                    <a:blip xmlns:r="http://schemas.openxmlformats.org/officeDocument/2006/relationships" r:embed="rId10"/>
                    <a:stretch>
                      <a:fillRect/>
                    </a:stretch>
                  </pic:blipFill>
                  <pic:spPr>
                    <a:xfrm>
                      <a:off x="0" y="0"/>
                      <a:ext cx="4886838" cy="400092"/>
                    </a:xfrm>
                    <a:prstGeom prst="rect">
                      <a:avLst/>
                    </a:prstGeom>
                  </pic:spPr>
                </pic:pic>
              </a:graphicData>
            </a:graphic>
          </wp:inline>
        </w:drawing>
      </w:r>
    </w:p>
    <w:p>
      <w:pPr>
        <w:pStyle w:val="Normal8"/>
        <w:jc w:val="left"/>
        <w:rPr>
          <w:rFonts w:ascii="黑体" w:eastAsia="黑体" w:hAnsi="黑体"/>
          <w:sz w:val="24"/>
          <w:szCs w:val="28"/>
        </w:rPr>
      </w:pPr>
      <w:r>
        <w:rPr>
          <w:rFonts w:ascii="黑体" w:eastAsia="黑体" w:hAnsi="黑体"/>
          <w:sz w:val="24"/>
          <w:szCs w:val="28"/>
        </w:rPr>
        <w:t>炭疽疫情实验室检测标本的种类、采集时间要求和采集的注意事项是什么？检测方法有哪些？</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w:t>
      </w:r>
    </w:p>
    <w:p>
      <w:pPr>
        <w:pStyle w:val="Normal8"/>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p>
    <w:p>
      <w:pPr>
        <w:pStyle w:val="Normal8"/>
        <w:jc w:val="left"/>
        <w:rPr>
          <w:rFonts w:ascii="黑体" w:eastAsia="黑体" w:hAnsi="黑体"/>
          <w:sz w:val="24"/>
          <w:szCs w:val="28"/>
        </w:rPr>
      </w:pPr>
      <w:r>
        <w:rPr>
          <w:rFonts w:ascii="黑体" w:eastAsia="黑体" w:hAnsi="黑体"/>
          <w:sz w:val="24"/>
          <w:szCs w:val="28"/>
        </w:rPr>
        <w:t>标本种类包括：①血液：5-10ml；②粪便与呕吐物：有消化道症状的疑似患者，特别注意选取其中混有血液的部分，置无菌容器中；③痰与咳碟标本：表现为呼吸道症状的可疑病人应收集其痰液标本，无痰液者，应取供细菌分离培养用的培养基，打开平皿盖置病人口鼻10cm处；令病人对平皿咳嗽，然后迅速盖上平皿；④脑脊液标本：表现脑膜刺激症状的病人，腰椎穿刺获取脑脊液；⑤尸体标本：食草动物死于炭疽时，通常会从口、鼻、肛门等腔道开口流出血液，这种血液应是首先采取的标本。如果血液已渗入土壤，则应收集混有血液的土壤作为标本。没有血液流出，或已不可能获取血液标本时，可通过穿刺心脏获得血液或穿刺肝脏等实质性脏器获得组织标本；⑥肉类标本：如果怀疑罹患炭疽的家畜已被宰杀，或对商品肉类进行常规检查时，可剪取小块肉类标本。如有可能，特别应剪取肝脏、脾脏等富含血液以及含淋巴组织的标本；⑦毛皮或其他可疑污染物品标本：剪取小块毛皮或其他可疑物品，剪碎置无菌试管内，加适量无菌生理盐水浸泡；⑧水标本：检查水体污染时，用广口瓶收集水样。如须取深层水样时，将带盖广口瓶伸入水中，然后将用绳系住的瓶盖提起；⑨土壤标本：在牲畜死亡或宰杀的地点，应取土壤标本以供检查。采样注意事项：尽可能在抗生素治疗开始前采取标本；除必要时并在具备操作病毒细菌条件的实验室内，不得用解剖的方式获取标本。所需的血液与组织标本，均应以穿刺方式取得。炭疽的实验室检测方法包括：镜检、细菌分离培养、血清抗炭疽特异性抗体检测等。</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采集的手足口病人的咽拭子样品可以在常温下保存并运输。</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正确答案:错误</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伤害监测报告卡的报告流程有：（）</w:t>
      </w:r>
    </w:p>
    <w:p>
      <w:pPr>
        <w:pStyle w:val="Normal10"/>
        <w:jc w:val="left"/>
        <w:rPr>
          <w:rFonts w:ascii="黑体" w:eastAsia="黑体" w:hAnsi="黑体"/>
          <w:sz w:val="24"/>
          <w:szCs w:val="28"/>
        </w:rPr>
      </w:pPr>
      <w:r>
        <w:rPr>
          <w:rFonts w:ascii="黑体" w:eastAsia="黑体" w:hAnsi="黑体"/>
          <w:sz w:val="24"/>
          <w:szCs w:val="28"/>
        </w:rPr>
        <w:t>A、伤害发生对象和医院相关科室就诊</w:t>
      </w:r>
    </w:p>
    <w:p>
      <w:pPr>
        <w:pStyle w:val="Normal10"/>
        <w:jc w:val="left"/>
        <w:rPr>
          <w:rFonts w:ascii="黑体" w:eastAsia="黑体" w:hAnsi="黑体"/>
          <w:sz w:val="24"/>
          <w:szCs w:val="28"/>
        </w:rPr>
      </w:pPr>
      <w:r>
        <w:rPr>
          <w:rFonts w:ascii="黑体" w:eastAsia="黑体" w:hAnsi="黑体"/>
          <w:sz w:val="24"/>
          <w:szCs w:val="28"/>
        </w:rPr>
        <w:t>B、报告卡填写</w:t>
      </w:r>
    </w:p>
    <w:p>
      <w:pPr>
        <w:pStyle w:val="Normal10"/>
        <w:jc w:val="left"/>
        <w:rPr>
          <w:rFonts w:ascii="黑体" w:eastAsia="黑体" w:hAnsi="黑体"/>
          <w:sz w:val="24"/>
          <w:szCs w:val="28"/>
        </w:rPr>
      </w:pPr>
      <w:r>
        <w:rPr>
          <w:rFonts w:ascii="黑体" w:eastAsia="黑体" w:hAnsi="黑体"/>
          <w:sz w:val="24"/>
          <w:szCs w:val="28"/>
        </w:rPr>
        <w:t>C、报告卡收集</w:t>
      </w:r>
    </w:p>
    <w:p>
      <w:pPr>
        <w:pStyle w:val="Normal10"/>
        <w:jc w:val="left"/>
        <w:rPr>
          <w:rFonts w:ascii="黑体" w:eastAsia="黑体" w:hAnsi="黑体"/>
          <w:sz w:val="24"/>
          <w:szCs w:val="28"/>
        </w:rPr>
      </w:pPr>
      <w:r>
        <w:rPr>
          <w:rFonts w:ascii="黑体" w:eastAsia="黑体" w:hAnsi="黑体"/>
          <w:sz w:val="24"/>
          <w:szCs w:val="28"/>
        </w:rPr>
        <w:t>D、数据录入和上报</w:t>
      </w:r>
    </w:p>
    <w:p>
      <w:pPr>
        <w:pStyle w:val="Normal10"/>
        <w:jc w:val="left"/>
        <w:rPr>
          <w:rFonts w:ascii="黑体" w:eastAsia="黑体" w:hAnsi="黑体"/>
          <w:sz w:val="24"/>
          <w:szCs w:val="28"/>
        </w:rPr>
      </w:pPr>
      <w:r>
        <w:rPr>
          <w:rFonts w:ascii="黑体" w:eastAsia="黑体" w:hAnsi="黑体"/>
          <w:sz w:val="24"/>
          <w:szCs w:val="28"/>
        </w:rPr>
        <w:t>E、资料的反馈</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正确答案:A,B,C,D,E</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1999年8月13日9：40，S市卫生防疫站流行病科人员接到J区ZT乡ZT四街卫生所报告：近日该村腹泻患者明显增多，部分患者出现剧烈腹泻、呕吐，疑似霍乱病人。流行病科立即向站领导汇报，通知J区卫生防疫站，并于当日10：30达到现场核实调查。现场发现，截至13日10：30，该卫生所共接诊12例疑似霍乱病人，具有霍乱典型症状：剧烈腹泻，先泻后吐，无腹痛、无发热，发病时间为8月10~13日，均居住在ZT四街仓安路以北的居民区。初步判断为疑似霍乱暴发疫情，当场采集诊所内的2例疑似霍乱病人的便标本，送实验室检测。同时要求当地暂时限制该村居民的活动范围、暂停使用现有的水源水、暂停该村餐饮业，（二）病例分布情况：8月10~15日ZT四街仓安路以北居民区共报告实验室确诊霍乱病例25例，带菌者6例，罹患率为992/10万，无重型病例、无死亡病例。此次暴发疫情调查中，病例和带菌者的定义是什么？定义是否准确？计算罹患率时分子是否包括带菌者数？</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b/>
      </w:r>
    </w:p>
    <w:p>
      <w:pPr>
        <w:pStyle w:val="Normal11"/>
        <w:jc w:val="left"/>
        <w:rPr>
          <w:rFonts w:ascii="黑体" w:eastAsia="黑体" w:hAnsi="黑体"/>
          <w:sz w:val="24"/>
          <w:szCs w:val="28"/>
        </w:rPr>
      </w:pPr>
      <w:r>
        <w:rPr>
          <w:rFonts w:ascii="黑体" w:eastAsia="黑体" w:hAnsi="黑体"/>
          <w:sz w:val="24"/>
          <w:szCs w:val="28"/>
        </w:rPr>
        <w:t>病例：符合下列任何1个条件，便可诊断为病例：①有腹泻症状、粪便培养O1群或O139群霍乱弧菌阳性者；②有典型的霍乱临床表现，粪便培养霍乱弧菌阴性无其他原因可查的ZT四街居民或在6天内到过ZT四街者；③有腹泻症状、与病人或带菌者有明确的接触史（如同餐、同住、或护理等）者。带菌者：符合下列其中任何1个条件者，便可诊断为带菌者：①ZT四街居民或在6天内到过ZT四街者，无腹泻症状，但粪便或肛拭子检查发现霍乱弧菌者。②与病人或带菌者有明确的接触史（如同餐、同住、或护理等），无腹泻症状，但粪便或肛拭子</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检查发现霍乱弧菌者。</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代病例：直接接触传染源发病的，为一代病例；二代病例：非ZT四街居民或在6天内到没过ZT四街者，有腹泻症状、与病人或带菌者有明确的接触史（如同餐、同住、或护理等）者。计算罹患率时分子不应包括带菌者数。</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公众中个人全身受到的年有效剂量当量限值（）</w:t>
      </w:r>
    </w:p>
    <w:p>
      <w:pPr>
        <w:pStyle w:val="Normal12"/>
        <w:jc w:val="left"/>
        <w:rPr>
          <w:rFonts w:ascii="黑体" w:eastAsia="黑体" w:hAnsi="黑体"/>
          <w:sz w:val="24"/>
          <w:szCs w:val="28"/>
        </w:rPr>
      </w:pPr>
      <w:r>
        <w:rPr>
          <w:rFonts w:ascii="黑体" w:eastAsia="黑体" w:hAnsi="黑体"/>
          <w:sz w:val="24"/>
          <w:szCs w:val="28"/>
        </w:rPr>
        <w:t>A、0.5mSv</w:t>
      </w:r>
    </w:p>
    <w:p>
      <w:pPr>
        <w:pStyle w:val="Normal12"/>
        <w:jc w:val="left"/>
        <w:rPr>
          <w:rFonts w:ascii="黑体" w:eastAsia="黑体" w:hAnsi="黑体"/>
          <w:sz w:val="24"/>
          <w:szCs w:val="28"/>
        </w:rPr>
      </w:pPr>
      <w:r>
        <w:rPr>
          <w:rFonts w:ascii="黑体" w:eastAsia="黑体" w:hAnsi="黑体"/>
          <w:sz w:val="24"/>
          <w:szCs w:val="28"/>
        </w:rPr>
        <w:t>B、1.0mSv</w:t>
      </w:r>
    </w:p>
    <w:p>
      <w:pPr>
        <w:pStyle w:val="Normal12"/>
        <w:jc w:val="left"/>
        <w:rPr>
          <w:rFonts w:ascii="黑体" w:eastAsia="黑体" w:hAnsi="黑体"/>
          <w:sz w:val="24"/>
          <w:szCs w:val="28"/>
        </w:rPr>
      </w:pPr>
      <w:r>
        <w:rPr>
          <w:rFonts w:ascii="黑体" w:eastAsia="黑体" w:hAnsi="黑体"/>
          <w:sz w:val="24"/>
          <w:szCs w:val="28"/>
        </w:rPr>
        <w:t>C、1.5mSv</w:t>
      </w:r>
    </w:p>
    <w:p>
      <w:pPr>
        <w:pStyle w:val="Normal12"/>
        <w:jc w:val="left"/>
        <w:rPr>
          <w:rFonts w:ascii="黑体" w:eastAsia="黑体" w:hAnsi="黑体"/>
          <w:sz w:val="24"/>
          <w:szCs w:val="28"/>
        </w:rPr>
      </w:pPr>
      <w:r>
        <w:rPr>
          <w:rFonts w:ascii="黑体" w:eastAsia="黑体" w:hAnsi="黑体"/>
          <w:sz w:val="24"/>
          <w:szCs w:val="28"/>
        </w:rPr>
        <w:t>D、2.0mSv</w:t>
      </w:r>
    </w:p>
    <w:p>
      <w:pPr>
        <w:pStyle w:val="Normal12"/>
        <w:jc w:val="left"/>
        <w:rPr>
          <w:rFonts w:ascii="黑体" w:eastAsia="黑体" w:hAnsi="黑体"/>
          <w:sz w:val="24"/>
          <w:szCs w:val="28"/>
        </w:rPr>
      </w:pPr>
      <w:r>
        <w:rPr>
          <w:rFonts w:ascii="黑体" w:eastAsia="黑体" w:hAnsi="黑体"/>
          <w:sz w:val="24"/>
          <w:szCs w:val="28"/>
        </w:rPr>
        <w:t>E、5.0mSv</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正确答案:B</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5岁男孩畏寒、发热、剧烈头痛、喷射性呕吐2天。体查：间有躁动不安，全身有散在性出血点。血压正常，对光反应好，瞳孔等大，颈硬，克、布氏征（+），病理征（－）；诊断为流脑，应属于哪一型（）</w:t>
      </w:r>
    </w:p>
    <w:p>
      <w:pPr>
        <w:pStyle w:val="Normal13"/>
        <w:jc w:val="left"/>
        <w:rPr>
          <w:rFonts w:ascii="黑体" w:eastAsia="黑体" w:hAnsi="黑体"/>
          <w:sz w:val="24"/>
          <w:szCs w:val="28"/>
        </w:rPr>
      </w:pPr>
      <w:r>
        <w:rPr>
          <w:rFonts w:ascii="黑体" w:eastAsia="黑体" w:hAnsi="黑体"/>
          <w:sz w:val="24"/>
          <w:szCs w:val="28"/>
        </w:rPr>
        <w:t>A、普通型</w:t>
      </w:r>
    </w:p>
    <w:p>
      <w:pPr>
        <w:pStyle w:val="Normal13"/>
        <w:jc w:val="left"/>
        <w:rPr>
          <w:rFonts w:ascii="黑体" w:eastAsia="黑体" w:hAnsi="黑体"/>
          <w:sz w:val="24"/>
          <w:szCs w:val="28"/>
        </w:rPr>
      </w:pPr>
      <w:r>
        <w:rPr>
          <w:rFonts w:ascii="黑体" w:eastAsia="黑体" w:hAnsi="黑体"/>
          <w:sz w:val="24"/>
          <w:szCs w:val="28"/>
        </w:rPr>
        <w:t>B、轻型</w:t>
      </w:r>
    </w:p>
    <w:p>
      <w:pPr>
        <w:pStyle w:val="Normal13"/>
        <w:jc w:val="left"/>
        <w:rPr>
          <w:rFonts w:ascii="黑体" w:eastAsia="黑体" w:hAnsi="黑体"/>
          <w:sz w:val="24"/>
          <w:szCs w:val="28"/>
        </w:rPr>
      </w:pPr>
      <w:r>
        <w:rPr>
          <w:rFonts w:ascii="黑体" w:eastAsia="黑体" w:hAnsi="黑体"/>
          <w:sz w:val="24"/>
          <w:szCs w:val="28"/>
        </w:rPr>
        <w:t>C、暴发型休克</w:t>
      </w:r>
    </w:p>
    <w:p>
      <w:pPr>
        <w:pStyle w:val="Normal13"/>
        <w:jc w:val="left"/>
        <w:rPr>
          <w:rFonts w:ascii="黑体" w:eastAsia="黑体" w:hAnsi="黑体"/>
          <w:sz w:val="24"/>
          <w:szCs w:val="28"/>
        </w:rPr>
      </w:pPr>
      <w:r>
        <w:rPr>
          <w:rFonts w:ascii="黑体" w:eastAsia="黑体" w:hAnsi="黑体"/>
          <w:sz w:val="24"/>
          <w:szCs w:val="28"/>
        </w:rPr>
        <w:t>D、暴发型脑膜脑炎型</w:t>
      </w:r>
    </w:p>
    <w:p>
      <w:pPr>
        <w:pStyle w:val="Normal13"/>
        <w:jc w:val="left"/>
        <w:rPr>
          <w:rFonts w:ascii="黑体" w:eastAsia="黑体" w:hAnsi="黑体"/>
          <w:sz w:val="24"/>
          <w:szCs w:val="28"/>
        </w:rPr>
      </w:pPr>
      <w:r>
        <w:rPr>
          <w:rFonts w:ascii="黑体" w:eastAsia="黑体" w:hAnsi="黑体"/>
          <w:sz w:val="24"/>
          <w:szCs w:val="28"/>
        </w:rPr>
        <w:t>E、暴发型混合型</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正确答案:D</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死因监测中考核与评价的指标是：（）</w:t>
      </w:r>
    </w:p>
    <w:p>
      <w:pPr>
        <w:pStyle w:val="Normal14"/>
        <w:jc w:val="left"/>
        <w:rPr>
          <w:rFonts w:ascii="黑体" w:eastAsia="黑体" w:hAnsi="黑体"/>
          <w:sz w:val="24"/>
          <w:szCs w:val="28"/>
        </w:rPr>
      </w:pPr>
      <w:r>
        <w:rPr>
          <w:rFonts w:ascii="黑体" w:eastAsia="黑体" w:hAnsi="黑体"/>
          <w:sz w:val="24"/>
          <w:szCs w:val="28"/>
        </w:rPr>
        <w:t>A、县级及以上医疗机构死亡网络报告覆盖率100%，漏报率小于5%，审核率95%以上。</w:t>
      </w:r>
    </w:p>
    <w:p>
      <w:pPr>
        <w:pStyle w:val="Normal14"/>
        <w:jc w:val="left"/>
        <w:rPr>
          <w:rFonts w:ascii="黑体" w:eastAsia="黑体" w:hAnsi="黑体"/>
          <w:sz w:val="24"/>
          <w:szCs w:val="28"/>
        </w:rPr>
      </w:pPr>
      <w:r>
        <w:rPr>
          <w:rFonts w:ascii="黑体" w:eastAsia="黑体" w:hAnsi="黑体"/>
          <w:sz w:val="24"/>
          <w:szCs w:val="28"/>
        </w:rPr>
        <w:t>B、不明原因疾病死亡构成5%以下，ICD-10编码错误率5%以下。</w:t>
      </w:r>
    </w:p>
    <w:p>
      <w:pPr>
        <w:pStyle w:val="Normal14"/>
        <w:jc w:val="left"/>
        <w:rPr>
          <w:rFonts w:ascii="黑体" w:eastAsia="黑体" w:hAnsi="黑体"/>
          <w:sz w:val="24"/>
          <w:szCs w:val="28"/>
        </w:rPr>
      </w:pPr>
      <w:r>
        <w:rPr>
          <w:rFonts w:ascii="黑体" w:eastAsia="黑体" w:hAnsi="黑体"/>
          <w:sz w:val="24"/>
          <w:szCs w:val="28"/>
        </w:rPr>
        <w:t>C、至少每年开展1次覆盖示范区所有街道或乡/镇的漏报调查，出具漏报调查报告至少应当涵盖漏报死亡病例信息等相关重要内容。</w:t>
      </w:r>
    </w:p>
    <w:p>
      <w:pPr>
        <w:pStyle w:val="Normal14"/>
        <w:jc w:val="left"/>
        <w:rPr>
          <w:rFonts w:ascii="黑体" w:eastAsia="黑体" w:hAnsi="黑体"/>
          <w:sz w:val="24"/>
          <w:szCs w:val="28"/>
        </w:rPr>
      </w:pPr>
      <w:r>
        <w:rPr>
          <w:rFonts w:ascii="黑体" w:eastAsia="黑体" w:hAnsi="黑体"/>
          <w:sz w:val="24"/>
          <w:szCs w:val="28"/>
        </w:rPr>
        <w:t>D、每年度开展监测综合分析及报告，出具分析报告至少应涵盖监测背景、目的、方法、内容、质控与评价、统计方法、监测结果。</w:t>
      </w:r>
    </w:p>
    <w:p>
      <w:pPr>
        <w:pStyle w:val="Normal14"/>
        <w:jc w:val="left"/>
        <w:rPr>
          <w:rFonts w:ascii="黑体" w:eastAsia="黑体" w:hAnsi="黑体"/>
          <w:sz w:val="24"/>
          <w:szCs w:val="28"/>
        </w:rPr>
      </w:pPr>
      <w:r>
        <w:rPr>
          <w:rFonts w:ascii="黑体" w:eastAsia="黑体" w:hAnsi="黑体"/>
          <w:sz w:val="24"/>
          <w:szCs w:val="28"/>
        </w:rPr>
        <w:t>E、主要发现和建议等内容。</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正确答案:A,B,C,D,E</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仅从三糖铁如何区别志贺氏菌和不产H2S沙门氏菌？</w:t>
      </w:r>
    </w:p>
    <w:p>
      <w:pPr>
        <w:pStyle w:val="Normal15"/>
        <w:jc w:val="left"/>
        <w:rPr>
          <w:rFonts w:ascii="黑体" w:eastAsia="黑体" w:hAnsi="黑体"/>
          <w:sz w:val="24"/>
          <w:szCs w:val="28"/>
        </w:rPr>
      </w:pPr>
    </w:p>
    <w:p>
      <w:pPr>
        <w:pStyle w:val="Normal15"/>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正确答案:志贺氏菌无动力，只沿穿刺线生长；沙门氏菌有动力，沿穿刺线扩散生长</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伤害监测报告卡报告流程不包括（）</w:t>
      </w:r>
    </w:p>
    <w:p>
      <w:pPr>
        <w:pStyle w:val="Normal16"/>
        <w:jc w:val="left"/>
        <w:rPr>
          <w:rFonts w:ascii="黑体" w:eastAsia="黑体" w:hAnsi="黑体"/>
          <w:sz w:val="24"/>
          <w:szCs w:val="28"/>
        </w:rPr>
      </w:pPr>
      <w:r>
        <w:rPr>
          <w:rFonts w:ascii="黑体" w:eastAsia="黑体" w:hAnsi="黑体"/>
          <w:sz w:val="24"/>
          <w:szCs w:val="28"/>
        </w:rPr>
        <w:t>A、调查对象确定</w:t>
      </w:r>
    </w:p>
    <w:p>
      <w:pPr>
        <w:pStyle w:val="Normal16"/>
        <w:jc w:val="left"/>
        <w:rPr>
          <w:rFonts w:ascii="黑体" w:eastAsia="黑体" w:hAnsi="黑体"/>
          <w:sz w:val="24"/>
          <w:szCs w:val="28"/>
        </w:rPr>
      </w:pPr>
      <w:r>
        <w:rPr>
          <w:rFonts w:ascii="黑体" w:eastAsia="黑体" w:hAnsi="黑体"/>
          <w:sz w:val="24"/>
          <w:szCs w:val="28"/>
        </w:rPr>
        <w:t>B、报告卡填写</w:t>
      </w:r>
    </w:p>
    <w:p>
      <w:pPr>
        <w:pStyle w:val="Normal16"/>
        <w:jc w:val="left"/>
        <w:rPr>
          <w:rFonts w:ascii="黑体" w:eastAsia="黑体" w:hAnsi="黑体"/>
          <w:sz w:val="24"/>
          <w:szCs w:val="28"/>
        </w:rPr>
      </w:pPr>
      <w:r>
        <w:rPr>
          <w:rFonts w:ascii="黑体" w:eastAsia="黑体" w:hAnsi="黑体"/>
          <w:sz w:val="24"/>
          <w:szCs w:val="28"/>
        </w:rPr>
        <w:t>C、报告卡收集</w:t>
      </w:r>
    </w:p>
    <w:p>
      <w:pPr>
        <w:pStyle w:val="Normal16"/>
        <w:jc w:val="left"/>
        <w:rPr>
          <w:rFonts w:ascii="黑体" w:eastAsia="黑体" w:hAnsi="黑体"/>
          <w:sz w:val="24"/>
          <w:szCs w:val="28"/>
        </w:rPr>
      </w:pPr>
      <w:r>
        <w:rPr>
          <w:rFonts w:ascii="黑体" w:eastAsia="黑体" w:hAnsi="黑体"/>
          <w:sz w:val="24"/>
          <w:szCs w:val="28"/>
        </w:rPr>
        <w:t>D、数据录入和上报</w:t>
      </w:r>
    </w:p>
    <w:p>
      <w:pPr>
        <w:pStyle w:val="Normal16"/>
        <w:jc w:val="left"/>
        <w:rPr>
          <w:rFonts w:ascii="黑体" w:eastAsia="黑体" w:hAnsi="黑体"/>
          <w:sz w:val="24"/>
          <w:szCs w:val="28"/>
        </w:rPr>
      </w:pPr>
      <w:r>
        <w:rPr>
          <w:rFonts w:ascii="黑体" w:eastAsia="黑体" w:hAnsi="黑体"/>
          <w:sz w:val="24"/>
          <w:szCs w:val="28"/>
        </w:rPr>
        <w:t>E、资料的分析</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正确答案:E</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霍乱易感性受哪些因素影响？</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人对霍乱是普遍易感的，但其易感程度不同，因个体易感性受许多因素之影响，主要影响因素有：</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（1）胃酸：胃酸过少或缺乏者容易感染霍乱，尤其是做过大部胃切除术或迷走神经切除术和幽门成形术者更易感染霍乱。因而在霍乱流行期，人们要注意保持胃酸的稳定，不要暴饮暴食，以免冲淡胃酸的浓度。</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（2）卫生习惯：不良卫生习惯的人容易感染霍乱，如生吃、半生吃海产品，经常喝未经卫生处理的生水，食前便后不洗手，不注意饮食卫生等。</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（3）人口流动：大量人口流入卫生设施不完善的地区，饮水和饮食卫生得不到保障，加上居住条件和环境卫生差，生活不安定、不规则，一旦发生霍乱，这些流动人口最容易发生霍乱暴发或流行。</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年龄：在地方性霍乱流行地区，由于各年龄组的免疫水平不同，其感染霍乱的频率差异较大。因成年人反复感染过霍乱弧菌，机体有不同程度的免疫力，不易感染发病，而5岁以下儿童，由于感染霍乱弧菌较少或从未感染过，机体免疫水平低或无免疫力，故容易感染发病。在新传入地区，多以青壮年容易感染发病，他们活动范围广，接触霍乱弧菌机会多。</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经济和文化状况：贫困地区的群众，经济收入低，卫生设施和环境卫生往往都较差，对饮食卫生要求不高，营养亦较差等；同时这些人群的文化程度也相对较低，卫生知识较缺乏，有不良卫生习惯，一旦疫情传入，容易感染霍乱。</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气象条件：我国霍乱多在夏秋季流行，因夏秋季节气温高，霍乱弧菌容易在食物和外环境存活繁殖；同时夏秋季暴雨多，水源污染严重；由于气候炎热，人们经常喝生水、游泳、用未经卫生处理的生水浸洗瓜果、蔬菜，增加经本感染机会。故容易发生食物型和水型暴发或流行。</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每一个药的无菌检查验证是否也要像限度验证那样重复做3次呢？</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一次就可以了，不过记得要做培养基的灵敏度检查和同时做无菌性检查哦</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注意：不同品种的药品（不包括厂家、批次不同），无菌检查验证、微生物限度限度验证一定要重复做3次！</w:t>
      </w:r>
    </w:p>
    <w:p>
      <w:pPr>
        <w:pStyle w:val="Normal18"/>
      </w:pPr>
    </w:p>
    <w:p>
      <w:pPr>
        <w:pStyle w:val="Normal19"/>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20.</w:t>
      </w:r>
      <w:r>
        <w:rPr>
          <w:rFonts w:ascii="黑体" w:eastAsia="黑体" w:hAnsi="黑体"/>
          <w:sz w:val="24"/>
          <w:szCs w:val="28"/>
        </w:rPr>
        <w:t>列举几种污染食物后能产生毒素而导致毒素型食物中毒的细菌（至少三种）</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正确答案:金黄色葡萄球菌、蜡样芽胞杆菌、肉毒梭菌</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对于其他传染病报告信息，核实无误后，于24小时内通过网络对报告信息的确认</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正确答案:正确</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简述社区诊断应反映哪些内容？</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社区诊断报告应反映三部分内容，包括当地人口、社会、经济、政策与环境、当地卫生资源配置等基本情况；当地居民慢性病患病、死亡及危险因素流行情况；提出符合当地实际情况的慢性病防控重点人群、优先策略、目标、行动措施和评价标准</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请判断以下有关同伴教育者需具备的条件，错误的是（）。</w:t>
      </w:r>
    </w:p>
    <w:p>
      <w:pPr>
        <w:pStyle w:val="Normal22"/>
        <w:jc w:val="left"/>
        <w:rPr>
          <w:rFonts w:ascii="黑体" w:eastAsia="黑体" w:hAnsi="黑体"/>
          <w:sz w:val="24"/>
          <w:szCs w:val="28"/>
        </w:rPr>
      </w:pPr>
      <w:r>
        <w:rPr>
          <w:rFonts w:ascii="黑体" w:eastAsia="黑体" w:hAnsi="黑体"/>
          <w:sz w:val="24"/>
          <w:szCs w:val="28"/>
        </w:rPr>
        <w:t>A、具有与目标人群相似的社会背景，如年龄、性别、社会地位</w:t>
      </w:r>
    </w:p>
    <w:p>
      <w:pPr>
        <w:pStyle w:val="Normal22"/>
        <w:jc w:val="left"/>
        <w:rPr>
          <w:rFonts w:ascii="黑体" w:eastAsia="黑体" w:hAnsi="黑体"/>
          <w:sz w:val="24"/>
          <w:szCs w:val="28"/>
        </w:rPr>
      </w:pPr>
      <w:r>
        <w:rPr>
          <w:rFonts w:ascii="黑体" w:eastAsia="黑体" w:hAnsi="黑体"/>
          <w:sz w:val="24"/>
          <w:szCs w:val="28"/>
        </w:rPr>
        <w:t>B、具备良好的人际交流技巧，包括倾听技巧</w:t>
      </w:r>
    </w:p>
    <w:p>
      <w:pPr>
        <w:pStyle w:val="Normal22"/>
        <w:jc w:val="left"/>
        <w:rPr>
          <w:rFonts w:ascii="黑体" w:eastAsia="黑体" w:hAnsi="黑体"/>
          <w:sz w:val="24"/>
          <w:szCs w:val="28"/>
        </w:rPr>
      </w:pPr>
      <w:r>
        <w:rPr>
          <w:rFonts w:ascii="黑体" w:eastAsia="黑体" w:hAnsi="黑体"/>
          <w:sz w:val="24"/>
          <w:szCs w:val="28"/>
        </w:rPr>
        <w:t>C、在同伴中不需要成为行为的典范</w:t>
      </w:r>
    </w:p>
    <w:p>
      <w:pPr>
        <w:pStyle w:val="Normal22"/>
        <w:jc w:val="left"/>
        <w:rPr>
          <w:rFonts w:ascii="黑体" w:eastAsia="黑体" w:hAnsi="黑体"/>
          <w:sz w:val="24"/>
          <w:szCs w:val="28"/>
        </w:rPr>
      </w:pPr>
      <w:r>
        <w:rPr>
          <w:rFonts w:ascii="黑体" w:eastAsia="黑体" w:hAnsi="黑体"/>
          <w:sz w:val="24"/>
          <w:szCs w:val="28"/>
        </w:rPr>
        <w:t>D、有一定的时间和精力投入工作</w:t>
      </w:r>
    </w:p>
    <w:p>
      <w:pPr>
        <w:pStyle w:val="Normal22"/>
        <w:jc w:val="left"/>
        <w:rPr>
          <w:rFonts w:ascii="黑体" w:eastAsia="黑体" w:hAnsi="黑体"/>
          <w:sz w:val="24"/>
          <w:szCs w:val="28"/>
        </w:rPr>
      </w:pPr>
      <w:r>
        <w:rPr>
          <w:rFonts w:ascii="黑体" w:eastAsia="黑体" w:hAnsi="黑体"/>
          <w:sz w:val="24"/>
          <w:szCs w:val="28"/>
        </w:rPr>
        <w:t>E、有实现项目目标的社会责任感</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正确答案:C</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请列举5种在我国能引起肝损伤的寄生虫。</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在我国能引起肝脏损伤的寄生虫主要有：溶组织内阿米巴滋养体、杜氏利什曼原虫无鞭毛体、疟原虫红细胞外期、刚地弓形虫速殖子、华支睾吸虫成虫、卫氏并殖吸虫童虫、斯氏狸殖吸虫童虫、日本血吸虫卵、细粒棘球绦虫棘球蚴、多房棘球绦虫泡球蚴。</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糙米的营养价值优于精米</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正确答案:正确</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sectPr w:rsidSect="00C33305">
          <w:footerReference w:type="default" r:id="rId15"/>
          <w:type w:val="nextPage"/>
          <w:pgSz w:w="11906" w:h="16838" w:code="9"/>
          <w:pgMar w:top="1440" w:right="1800" w:bottom="1440" w:left="1800" w:header="851" w:footer="992" w:gutter="0"/>
          <w:pgNumType w:start="9"/>
          <w:cols w:space="425"/>
          <w:titlePg w:val="0"/>
          <w:docGrid w:type="lines" w:linePitch="312"/>
        </w:sect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人禽流感的临床表现：（）</w:t>
      </w:r>
    </w:p>
    <w:p>
      <w:pPr>
        <w:pStyle w:val="Normal25"/>
        <w:jc w:val="left"/>
        <w:rPr>
          <w:rFonts w:ascii="黑体" w:eastAsia="黑体" w:hAnsi="黑体"/>
          <w:sz w:val="24"/>
          <w:szCs w:val="28"/>
        </w:rPr>
      </w:pPr>
      <w:r>
        <w:rPr>
          <w:rFonts w:ascii="黑体" w:eastAsia="黑体" w:hAnsi="黑体"/>
          <w:sz w:val="24"/>
          <w:szCs w:val="28"/>
        </w:rPr>
        <w:t>A、急性起病</w:t>
      </w:r>
    </w:p>
    <w:p>
      <w:pPr>
        <w:pStyle w:val="Normal25"/>
        <w:jc w:val="left"/>
        <w:rPr>
          <w:rFonts w:ascii="黑体" w:eastAsia="黑体" w:hAnsi="黑体"/>
          <w:sz w:val="24"/>
          <w:szCs w:val="28"/>
        </w:rPr>
      </w:pPr>
      <w:r>
        <w:rPr>
          <w:rFonts w:ascii="黑体" w:eastAsia="黑体" w:hAnsi="黑体"/>
          <w:sz w:val="24"/>
          <w:szCs w:val="28"/>
        </w:rPr>
        <w:t>B、早期表现类似普通流感</w:t>
      </w:r>
    </w:p>
    <w:p>
      <w:pPr>
        <w:pStyle w:val="Normal25"/>
        <w:jc w:val="left"/>
        <w:rPr>
          <w:rFonts w:ascii="黑体" w:eastAsia="黑体" w:hAnsi="黑体"/>
          <w:sz w:val="24"/>
          <w:szCs w:val="28"/>
        </w:rPr>
      </w:pPr>
      <w:r>
        <w:rPr>
          <w:rFonts w:ascii="黑体" w:eastAsia="黑体" w:hAnsi="黑体"/>
          <w:sz w:val="24"/>
          <w:szCs w:val="28"/>
        </w:rPr>
        <w:t>C、主要为发热，体温大多持续在39℃以上，热程1-7天，一般2-3天</w:t>
      </w:r>
    </w:p>
    <w:p>
      <w:pPr>
        <w:pStyle w:val="Normal25"/>
        <w:jc w:val="left"/>
        <w:rPr>
          <w:rFonts w:ascii="黑体" w:eastAsia="黑体" w:hAnsi="黑体"/>
          <w:sz w:val="24"/>
          <w:szCs w:val="28"/>
        </w:rPr>
      </w:pPr>
      <w:r>
        <w:rPr>
          <w:rFonts w:ascii="黑体" w:eastAsia="黑体" w:hAnsi="黑体"/>
          <w:sz w:val="24"/>
          <w:szCs w:val="28"/>
        </w:rPr>
        <w:t>D、伴有流涕、鼻塞、咳嗽、咽痛、头痛、全身不适</w:t>
      </w:r>
    </w:p>
    <w:p>
      <w:pPr>
        <w:pStyle w:val="Normal25"/>
        <w:jc w:val="left"/>
        <w:rPr>
          <w:rFonts w:ascii="黑体" w:eastAsia="黑体" w:hAnsi="黑体"/>
          <w:sz w:val="24"/>
          <w:szCs w:val="28"/>
        </w:rPr>
      </w:pPr>
      <w:r>
        <w:rPr>
          <w:rFonts w:ascii="黑体" w:eastAsia="黑体" w:hAnsi="黑体"/>
          <w:sz w:val="24"/>
          <w:szCs w:val="28"/>
        </w:rPr>
        <w:t>E、部分患者可有恶心、腹痛、腹泻稀水样便等消化道症状</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正确答案:A,B,C,D,E</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《我国主要病媒生物监测方案》中蚊类灯诱法监测的选点、监测时间、监测方法和密度指数统计单位？</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1）监测点的选择：地级市城区选择居民区、公园（含街心公园）、医院各4处，农村选择民房和牲畜棚（牛棚和猪圈等）各4处，没有牲口棚的以民房补齐。除牛棚、猪圈外，其它均在外环境中进行。</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2）监测时间：每月2次，相邻两次的测定间隔应为15天，风雨天气（风力五级以上）顺延。从越冬蚊活动前一个月即开始监测，连续两次监测皆未捕到蚊虫后结束。</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3）监测方法：每处使用诱蚊灯1只，监测从日落20分钟后开始，连续诱集6小时。第二天，将集蚊盒取出，鉴定种类、性别并计数。</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4）密度指数统计单位：蚊虫只数/小时·灯</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因输血不慎可导致哪些寄生虫病的发生？请至少说出3种。</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正确答案:因输血不慎，可导致黑热病、疟疾和弓形虫病的发生。</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什么叫体质指数？指标判断标准是多少？</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体质指数BMI值＝体重（kg）/身高的平方（m2）</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B.MI＜18.5为体重过低18.5≤BMI≤23.9为体重正常</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24≤BMI≤27.9为超重BMI≥28为肥胖</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《消毒管理办法》规定，医疗卫生机构使用后的一次性医疗用品如何处理（）。</w:t>
      </w:r>
    </w:p>
    <w:p>
      <w:pPr>
        <w:pStyle w:val="Normal29"/>
        <w:jc w:val="left"/>
        <w:rPr>
          <w:rFonts w:ascii="黑体" w:eastAsia="黑体" w:hAnsi="黑体"/>
          <w:sz w:val="24"/>
          <w:szCs w:val="28"/>
        </w:rPr>
      </w:pPr>
      <w:r>
        <w:rPr>
          <w:rFonts w:ascii="黑体" w:eastAsia="黑体" w:hAnsi="黑体"/>
          <w:sz w:val="24"/>
          <w:szCs w:val="28"/>
        </w:rPr>
        <w:t>A、消毒后放入垃圾中倒掉</w:t>
      </w:r>
    </w:p>
    <w:p>
      <w:pPr>
        <w:pStyle w:val="Normal29"/>
        <w:jc w:val="left"/>
        <w:rPr>
          <w:rFonts w:ascii="黑体" w:eastAsia="黑体" w:hAnsi="黑体"/>
          <w:sz w:val="24"/>
          <w:szCs w:val="28"/>
        </w:rPr>
      </w:pPr>
      <w:r>
        <w:rPr>
          <w:rFonts w:ascii="黑体" w:eastAsia="黑体" w:hAnsi="黑体"/>
          <w:sz w:val="24"/>
          <w:szCs w:val="28"/>
        </w:rPr>
        <w:t>B、卖给回收单位或个人</w:t>
      </w:r>
    </w:p>
    <w:p>
      <w:pPr>
        <w:pStyle w:val="Normal29"/>
        <w:jc w:val="left"/>
        <w:rPr>
          <w:rFonts w:ascii="黑体" w:eastAsia="黑体" w:hAnsi="黑体"/>
          <w:sz w:val="24"/>
          <w:szCs w:val="28"/>
        </w:rPr>
      </w:pPr>
      <w:r>
        <w:rPr>
          <w:rFonts w:ascii="黑体" w:eastAsia="黑体" w:hAnsi="黑体"/>
          <w:sz w:val="24"/>
          <w:szCs w:val="28"/>
        </w:rPr>
        <w:t>C、应当及时进行无害化处理</w:t>
      </w:r>
    </w:p>
    <w:p>
      <w:pPr>
        <w:pStyle w:val="Normal29"/>
        <w:jc w:val="left"/>
        <w:rPr>
          <w:rFonts w:ascii="黑体" w:eastAsia="黑体" w:hAnsi="黑体"/>
          <w:sz w:val="24"/>
          <w:szCs w:val="28"/>
        </w:rPr>
      </w:pPr>
      <w:r>
        <w:rPr>
          <w:rFonts w:ascii="黑体" w:eastAsia="黑体" w:hAnsi="黑体"/>
          <w:sz w:val="24"/>
          <w:szCs w:val="28"/>
        </w:rPr>
        <w:t>D、毁形后卖掉</w:t>
      </w:r>
    </w:p>
    <w:p>
      <w:pPr>
        <w:pStyle w:val="Normal29"/>
        <w:jc w:val="left"/>
        <w:rPr>
          <w:rFonts w:ascii="黑体" w:eastAsia="黑体" w:hAnsi="黑体"/>
          <w:sz w:val="24"/>
          <w:szCs w:val="28"/>
        </w:rPr>
      </w:pPr>
      <w:r>
        <w:rPr>
          <w:rFonts w:ascii="黑体" w:eastAsia="黑体" w:hAnsi="黑体"/>
          <w:sz w:val="24"/>
          <w:szCs w:val="28"/>
        </w:rPr>
        <w:t>E、以上都可以</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正确答案:C</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常量分析被测组分含量在10%-20%之间的平行双样相差（）%为合格。</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https://d.book118.com/988143101143006027</w:t>
        </w:r>
      </w:hyperlink>
    </w:p>
    <w:p>
      <w:pPr>
        <w:pStyle w:val="Normal30"/>
        <w:jc w:val="left"/>
        <w:rPr>
          <w:rFonts w:ascii="黑体" w:eastAsia="黑体" w:hAnsi="黑体"/>
          <w:sz w:val="24"/>
          <w:szCs w:val="28"/>
        </w:rPr>
      </w:pPr>
    </w:p>
    <w:sectPr w:rsidSect="00C33305">
      <w:footerReference w:type="default" r:id="rId17"/>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hyperlink" Target="https://d.book118.com/988143101143006027" TargetMode="External" /><Relationship Id="rId17" Type="http://schemas.openxmlformats.org/officeDocument/2006/relationships/footer" Target="footer10.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