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88"/>
      </w:pPr>
      <w:r>
        <w:pict>
          <v:rect id="_x0000_s1025" style="width:2pt;height:22.7pt;margin-top:200.07pt;margin-left:96.05pt;mso-position-horizontal-relative:page;mso-position-vertical-relative:page;position:absolute;z-index:251659264" o:allowincell="f" filled="t" fillcolor="#ed9291" stroked="f"/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68.4pt;height:32pt;margin-top:195.9pt;margin-left:29.7pt;mso-position-horizontal-relative:page;mso-position-vertical-relative:page;position:absolute;z-index:251658240" o:allowincell="f" filled="t" fillcolor="#ed9291" stroked="f">
            <o:lock v:ext="edit" aspectratio="f"/>
            <v:textbox inset="0,0,0,0">
              <w:txbxContent>
                <w:p>
                  <w:pPr>
                    <w:pStyle w:val="BodyText"/>
                    <w:spacing w:before="203" w:line="221" w:lineRule="auto"/>
                    <w:ind w:left="259"/>
                  </w:pPr>
                  <w:r>
                    <w:rPr>
                      <w:spacing w:val="-1"/>
                      <w14:textOutline w14:w="3831" w14:cap="rnd">
                        <w14:solidFill>
                          <w14:srgbClr w14:val="000000"/>
                        </w14:solidFill>
                        <w14:prstDash w14:val="solid"/>
                        <w14:round/>
                      </w14:textOutline>
                    </w:rPr>
                    <w:t>报告要点</w:t>
                  </w:r>
                </w:p>
              </w:txbxContent>
            </v:textbox>
          </v:shape>
        </w:pict>
      </w:r>
      <w:r>
        <w:pict>
          <v:shape id="_x0000_s1027" style="width:7.2pt;height:27.85pt;margin-top:200.07pt;margin-left:28.7pt;mso-position-horizontal-relative:page;mso-position-vertical-relative:page;position:absolute;z-index:251661312" coordorigin="0,0" coordsize="143,557" o:allowincell="f" path="m20,20l20,433c20,490,66,536,123,536e" filled="f" strokecolor="#ed9291" strokeweight="2pt">
            <v:stroke endcap="round"/>
          </v:shape>
        </w:pict>
      </w:r>
      <w:r>
        <w:pict>
          <v:shape id="_x0000_s1028" style="width:69.4pt;height:7.2pt;margin-top:194.9pt;margin-left:28.7pt;mso-position-horizontal-relative:page;mso-position-vertical-relative:page;position:absolute;z-index:251660288" coordorigin="0,0" coordsize="1388,143" o:allowincell="f" path="m123,20c66,20,20,66,20,123m1367,123c1367,66,1320,20,1263,20l123,20e" filled="f" strokecolor="#ed9291" strokeweight="2pt">
            <v:stroke endcap="round"/>
          </v:shape>
        </w:pict>
      </w:r>
    </w:p>
    <w:p>
      <w:pPr>
        <w:sectPr>
          <w:headerReference w:type="default" r:id="rId4"/>
          <w:footerReference w:type="default" r:id="rId5"/>
          <w:pgSz w:w="11907" w:h="16839"/>
          <w:pgMar w:top="2025" w:right="566" w:bottom="2006" w:left="537" w:header="431" w:footer="830" w:gutter="0"/>
          <w:cols w:num="1" w:space="708" w:equalWidth="0">
            <w:col w:w="10803" w:space="0"/>
          </w:cols>
        </w:sectPr>
      </w:pPr>
    </w:p>
    <w:p>
      <w:pPr>
        <w:pStyle w:val="BodyText"/>
        <w:spacing w:before="89" w:line="245" w:lineRule="auto"/>
        <w:ind w:left="1976" w:right="1341" w:hanging="1748"/>
        <w:outlineLvl w:val="0"/>
        <w:rPr>
          <w:sz w:val="43"/>
          <w:szCs w:val="43"/>
        </w:rPr>
      </w:pPr>
      <w:r>
        <w:rPr>
          <w:rFonts w:ascii="Calibri" w:eastAsia="Calibri" w:hAnsi="Calibri" w:cs="Calibri"/>
          <w:b/>
          <w:bCs/>
          <w:sz w:val="43"/>
          <w:szCs w:val="43"/>
        </w:rPr>
        <w:t>CTA</w:t>
      </w:r>
      <w:r>
        <w:rPr>
          <w:rFonts w:ascii="Calibri" w:eastAsia="Calibri" w:hAnsi="Calibri" w:cs="Calibri"/>
          <w:b/>
          <w:bCs/>
          <w:spacing w:val="37"/>
          <w:sz w:val="43"/>
          <w:szCs w:val="43"/>
        </w:rPr>
        <w:t xml:space="preserve"> </w:t>
      </w:r>
      <w:r>
        <w:rPr>
          <w:spacing w:val="10"/>
          <w:sz w:val="43"/>
          <w:szCs w:val="43"/>
          <w14:textOutline w14:w="7968">
            <w14:solidFill>
              <w14:srgbClr w14:val="000000"/>
            </w14:solidFill>
            <w14:prstDash w14:val="solid"/>
            <w14:miter w14:lim="10"/>
          </w14:textOutline>
        </w:rPr>
        <w:t>策略环境监测框架系列（一</w:t>
      </w:r>
      <w:r>
        <w:rPr>
          <w:spacing w:val="-31"/>
          <w:sz w:val="43"/>
          <w:szCs w:val="43"/>
          <w14:textOutline w14:w="7968">
            <w14:solidFill>
              <w14:srgbClr w14:val="000000"/>
            </w14:solidFill>
            <w14:prstDash w14:val="solid"/>
            <w14:miter w14:lim="10"/>
          </w14:textOutline>
        </w:rPr>
        <w:t>）：</w:t>
      </w:r>
      <w:r>
        <w:rPr>
          <w:sz w:val="43"/>
          <w:szCs w:val="43"/>
        </w:rPr>
        <w:t xml:space="preserve"> </w:t>
      </w:r>
      <w:r>
        <w:rPr>
          <w:spacing w:val="8"/>
          <w:sz w:val="43"/>
          <w:szCs w:val="43"/>
          <w14:textOutline w14:w="7968">
            <w14:solidFill>
              <w14:srgbClr w14:val="000000"/>
            </w14:solidFill>
            <w14:prstDash w14:val="solid"/>
            <w14:miter w14:lim="10"/>
          </w14:textOutline>
        </w:rPr>
        <w:t>市场环境因子初探</w:t>
      </w:r>
    </w:p>
    <w:p>
      <w:pPr>
        <w:spacing w:before="112" w:line="44" w:lineRule="exact"/>
      </w:pPr>
      <w:r>
        <w:pict>
          <v:shape id="_x0000_i1029" style="width:387.8pt;height:2.2pt;mso-position-horizontal-relative:char;mso-position-vertical-relative:line" coordorigin="0,0" coordsize="7755,44" path="m,43l7755,43l7755,l,l,43xe" filled="t" fillcolor="#898989" stroked="f">
            <w10:wrap type="none"/>
          </v:shape>
        </w:pict>
      </w:r>
    </w:p>
    <w:p>
      <w:pPr>
        <w:spacing w:before="224"/>
      </w:pPr>
    </w:p>
    <w:tbl>
      <w:tblPr>
        <w:tblStyle w:val="TableNormal"/>
        <w:tblW w:w="7437" w:type="dxa"/>
        <w:tblInd w:w="309" w:type="dxa"/>
        <w:tblBorders>
          <w:top w:val="single" w:sz="12" w:space="0" w:color="F6CECF"/>
          <w:left w:val="single" w:sz="12" w:space="0" w:color="F6CECF"/>
          <w:bottom w:val="single" w:sz="12" w:space="0" w:color="F6CECF"/>
          <w:right w:val="single" w:sz="12" w:space="0" w:color="F6CECF"/>
        </w:tblBorders>
        <w:tblLayout w:type="fixed"/>
      </w:tblPr>
      <w:tblGrid>
        <w:gridCol w:w="7437"/>
      </w:tblGrid>
      <w:tr>
        <w:tblPrEx>
          <w:tblW w:w="7437" w:type="dxa"/>
          <w:tblInd w:w="309" w:type="dxa"/>
          <w:tblBorders>
            <w:top w:val="single" w:sz="12" w:space="0" w:color="F6CECF"/>
            <w:left w:val="single" w:sz="12" w:space="0" w:color="F6CECF"/>
            <w:bottom w:val="single" w:sz="12" w:space="0" w:color="F6CECF"/>
            <w:right w:val="single" w:sz="12" w:space="0" w:color="F6CECF"/>
          </w:tblBorders>
          <w:tblLayout w:type="fixed"/>
        </w:tblPrEx>
        <w:trPr>
          <w:trHeight w:val="1939"/>
        </w:trPr>
        <w:tc>
          <w:tcPr>
            <w:tcW w:w="7437" w:type="dxa"/>
            <w:vAlign w:val="top"/>
          </w:tcPr>
          <w:p>
            <w:pPr>
              <w:spacing w:line="43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81" w:lineRule="auto"/>
              <w:ind w:left="153" w:right="141" w:hanging="1"/>
            </w:pPr>
            <w:r>
              <w:rPr>
                <w:spacing w:val="-1"/>
              </w:rPr>
              <w:t>本文为</w:t>
            </w:r>
            <w:r>
              <w:rPr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CTA</w:t>
            </w:r>
            <w:r>
              <w:rPr>
                <w:rFonts w:ascii="Arial" w:eastAsia="Arial" w:hAnsi="Arial" w:cs="Arial"/>
                <w:spacing w:val="45"/>
              </w:rPr>
              <w:t xml:space="preserve"> </w:t>
            </w:r>
            <w:r>
              <w:rPr>
                <w:spacing w:val="-1"/>
              </w:rPr>
              <w:t>策略环境监测框架系列的开篇之作，通过观察</w:t>
            </w:r>
            <w:r>
              <w:rPr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 xml:space="preserve">CTA  </w:t>
            </w:r>
            <w:r>
              <w:rPr>
                <w:spacing w:val="-1"/>
              </w:rPr>
              <w:t>趋势策略在</w:t>
            </w:r>
            <w:r>
              <w:t xml:space="preserve"> </w:t>
            </w:r>
            <w:r>
              <w:rPr>
                <w:spacing w:val="-1"/>
              </w:rPr>
              <w:t>不同宏观环境和商品市场环境中的表现，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</w:rPr>
              <w:t>探寻出</w:t>
            </w:r>
            <w:r>
              <w:rPr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8</w:t>
            </w:r>
            <w:r>
              <w:rPr>
                <w:rFonts w:ascii="Arial" w:eastAsia="Arial" w:hAnsi="Arial" w:cs="Arial"/>
                <w:spacing w:val="43"/>
                <w:w w:val="101"/>
              </w:rPr>
              <w:t xml:space="preserve"> </w:t>
            </w:r>
            <w:r>
              <w:rPr>
                <w:spacing w:val="-1"/>
              </w:rPr>
              <w:t>个有效的</w:t>
            </w:r>
            <w:r>
              <w:rPr>
                <w:spacing w:val="-2"/>
              </w:rPr>
              <w:t>市场环境因子，</w:t>
            </w:r>
            <w:r>
              <w:t xml:space="preserve"> </w:t>
            </w:r>
            <w:r>
              <w:rPr>
                <w:spacing w:val="-4"/>
              </w:rPr>
              <w:t>并构建出预测模型，</w:t>
            </w:r>
            <w:r>
              <w:rPr>
                <w:spacing w:val="-4"/>
              </w:rPr>
              <w:t xml:space="preserve"> </w:t>
            </w:r>
            <w:r>
              <w:rPr>
                <w:spacing w:val="-4"/>
              </w:rPr>
              <w:t>能够对未来的投资决策起到一定的指</w:t>
            </w:r>
            <w:r>
              <w:rPr>
                <w:spacing w:val="-5"/>
              </w:rPr>
              <w:t>导作用。</w:t>
            </w:r>
          </w:p>
        </w:tc>
      </w:tr>
    </w:tbl>
    <w:p>
      <w:pPr>
        <w:spacing w:line="365" w:lineRule="auto"/>
        <w:rPr>
          <w:rFonts w:ascii="Arial"/>
          <w:sz w:val="21"/>
        </w:rPr>
      </w:pPr>
    </w:p>
    <w:p>
      <w:pPr>
        <w:pStyle w:val="BodyText"/>
        <w:spacing w:line="271" w:lineRule="exact"/>
      </w:pPr>
      <w:r>
        <w:rPr>
          <w:position w:val="-5"/>
        </w:rPr>
        <w:pict>
          <v:shape id="_x0000_i1030" type="#_x0000_t202" style="width:387.8pt;height:13.6pt;mso-position-horizontal-relative:char;mso-position-vertical-relative:line" filled="t" fillcolor="#ddd" stroked="f">
            <o:lock v:ext="edit" aspectratio="f"/>
            <v:textbox inset="0,0,0,0">
              <w:txbxContent>
                <w:p>
                  <w:pPr>
                    <w:spacing w:before="29" w:line="221" w:lineRule="auto"/>
                    <w:ind w:left="336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10"/>
                      <w:sz w:val="21"/>
                      <w:szCs w:val="21"/>
                      <w14:textOutline w14:w="3831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摘要：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before="187" w:line="277" w:lineRule="auto"/>
        <w:ind w:left="359" w:right="751" w:firstLine="424"/>
        <w:jc w:val="both"/>
      </w:pPr>
      <w:r>
        <w:t>不同的策略风险收益特征不同，投资中需要根据不同的市场环境运用适当的</w:t>
      </w:r>
      <w:r>
        <w:rPr>
          <w:spacing w:val="16"/>
        </w:rPr>
        <w:t xml:space="preserve"> </w:t>
      </w:r>
      <w:r>
        <w:rPr>
          <w:spacing w:val="-5"/>
        </w:rPr>
        <w:t>策略才能获取收益。</w:t>
      </w:r>
      <w:r>
        <w:rPr>
          <w:spacing w:val="-32"/>
        </w:rPr>
        <w:t xml:space="preserve"> </w:t>
      </w:r>
      <w:r>
        <w:rPr>
          <w:spacing w:val="-5"/>
        </w:rPr>
        <w:t>近两年</w:t>
      </w:r>
      <w:r>
        <w:rPr>
          <w:spacing w:val="-33"/>
        </w:rPr>
        <w:t xml:space="preserve"> </w:t>
      </w:r>
      <w:r>
        <w:rPr>
          <w:spacing w:val="-5"/>
        </w:rPr>
        <w:t>CTA</w:t>
      </w:r>
      <w:r>
        <w:rPr>
          <w:spacing w:val="-35"/>
        </w:rPr>
        <w:t xml:space="preserve"> </w:t>
      </w:r>
      <w:r>
        <w:rPr>
          <w:spacing w:val="-5"/>
        </w:rPr>
        <w:t>策略遭遇了较大的收益磨损，</w:t>
      </w:r>
      <w:r>
        <w:rPr>
          <w:spacing w:val="-6"/>
        </w:rPr>
        <w:t xml:space="preserve"> </w:t>
      </w:r>
      <w:r>
        <w:rPr>
          <w:spacing w:val="-6"/>
        </w:rPr>
        <w:t>尤其是趋势类策略</w:t>
      </w:r>
      <w:r>
        <w:t xml:space="preserve"> </w:t>
      </w:r>
      <w:r>
        <w:rPr>
          <w:spacing w:val="-3"/>
        </w:rPr>
        <w:t>经历了一年多的回撤。本文旨在探究不同环境下</w:t>
      </w:r>
      <w:r>
        <w:rPr>
          <w:spacing w:val="-32"/>
        </w:rPr>
        <w:t xml:space="preserve"> </w:t>
      </w:r>
      <w:r>
        <w:rPr>
          <w:spacing w:val="-3"/>
        </w:rPr>
        <w:t>CTA</w:t>
      </w:r>
      <w:r>
        <w:rPr>
          <w:spacing w:val="-33"/>
        </w:rPr>
        <w:t xml:space="preserve"> </w:t>
      </w:r>
      <w:r>
        <w:rPr>
          <w:spacing w:val="-4"/>
        </w:rPr>
        <w:t>趋势策略的表现，</w:t>
      </w:r>
      <w:r>
        <w:rPr>
          <w:spacing w:val="-4"/>
        </w:rPr>
        <w:t xml:space="preserve"> </w:t>
      </w:r>
      <w:r>
        <w:rPr>
          <w:spacing w:val="-4"/>
        </w:rPr>
        <w:t>以此来监</w:t>
      </w:r>
      <w:r>
        <w:t xml:space="preserve"> </w:t>
      </w:r>
      <w:r>
        <w:t>测</w:t>
      </w:r>
      <w:r>
        <w:rPr>
          <w:spacing w:val="-33"/>
        </w:rPr>
        <w:t xml:space="preserve"> </w:t>
      </w:r>
      <w:r>
        <w:t>CTA</w:t>
      </w:r>
      <w:r>
        <w:rPr>
          <w:spacing w:val="-35"/>
        </w:rPr>
        <w:t xml:space="preserve"> </w:t>
      </w:r>
      <w:r>
        <w:t>策略环境，对未来的策略表现进行预</w:t>
      </w:r>
      <w:r>
        <w:rPr>
          <w:spacing w:val="-1"/>
        </w:rPr>
        <w:t>判，减少在不适应环境下对投资收益</w:t>
      </w:r>
      <w:r>
        <w:t xml:space="preserve"> </w:t>
      </w:r>
      <w:r>
        <w:rPr>
          <w:spacing w:val="-1"/>
        </w:rPr>
        <w:t>产生的不利影响。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52" w:line="215" w:lineRule="auto"/>
        <w:rPr>
          <w:rFonts w:ascii="STXihei" w:eastAsia="STXihei" w:hAnsi="STXihei" w:cs="STXihei"/>
          <w:sz w:val="19"/>
          <w:szCs w:val="19"/>
        </w:rPr>
      </w:pPr>
      <w:r>
        <w:rPr>
          <w:rFonts w:ascii="STXihei" w:eastAsia="STXihei" w:hAnsi="STXihei" w:cs="STXihei"/>
          <w:spacing w:val="8"/>
          <w:sz w:val="19"/>
          <w:szCs w:val="19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投资咨询业务资格：</w:t>
      </w:r>
    </w:p>
    <w:p>
      <w:pPr>
        <w:spacing w:before="42" w:line="216" w:lineRule="auto"/>
        <w:jc w:val="right"/>
        <w:rPr>
          <w:rFonts w:ascii="STXihei" w:eastAsia="STXihei" w:hAnsi="STXihei" w:cs="STXihei"/>
          <w:sz w:val="19"/>
          <w:szCs w:val="19"/>
        </w:rPr>
      </w:pPr>
      <w:r>
        <w:rPr>
          <w:rFonts w:ascii="STXihei" w:eastAsia="STXihei" w:hAnsi="STXihei" w:cs="STXihei"/>
          <w:spacing w:val="6"/>
          <w:sz w:val="19"/>
          <w:szCs w:val="19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证监许可【</w:t>
      </w:r>
      <w:r>
        <w:rPr>
          <w:rFonts w:ascii="Arial" w:eastAsia="Arial" w:hAnsi="Arial" w:cs="Arial"/>
          <w:b/>
          <w:bCs/>
          <w:spacing w:val="6"/>
          <w:sz w:val="19"/>
          <w:szCs w:val="19"/>
        </w:rPr>
        <w:t>2012</w:t>
      </w:r>
      <w:r>
        <w:rPr>
          <w:rFonts w:ascii="STXihei" w:eastAsia="STXihei" w:hAnsi="STXihei" w:cs="STXihei"/>
          <w:spacing w:val="6"/>
          <w:sz w:val="19"/>
          <w:szCs w:val="19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】</w:t>
      </w:r>
      <w:r>
        <w:rPr>
          <w:rFonts w:ascii="Arial" w:eastAsia="Arial" w:hAnsi="Arial" w:cs="Arial"/>
          <w:b/>
          <w:bCs/>
          <w:spacing w:val="6"/>
          <w:sz w:val="19"/>
          <w:szCs w:val="19"/>
        </w:rPr>
        <w:t xml:space="preserve">669 </w:t>
      </w:r>
      <w:r>
        <w:rPr>
          <w:rFonts w:ascii="STXihei" w:eastAsia="STXihei" w:hAnsi="STXihei" w:cs="STXihei"/>
          <w:spacing w:val="6"/>
          <w:sz w:val="19"/>
          <w:szCs w:val="19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号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16" w:line="228" w:lineRule="auto"/>
        <w:ind w:left="777"/>
        <w:rPr>
          <w:sz w:val="5"/>
          <w:szCs w:val="5"/>
        </w:rPr>
      </w:pPr>
      <w:r>
        <w:rPr>
          <w:spacing w:val="2"/>
          <w:sz w:val="5"/>
          <w:szCs w:val="5"/>
          <w14:textOutline w14:w="953" w14:cap="rnd">
            <w14:solidFill>
              <w14:srgbClr w14:val="000000"/>
            </w14:solidFill>
            <w14:prstDash w14:val="solid"/>
            <w14:round/>
          </w14:textOutline>
        </w:rPr>
        <w:t>中信期货商品指数走势</w:t>
      </w:r>
    </w:p>
    <w:p>
      <w:pPr>
        <w:pStyle w:val="BodyText"/>
        <w:tabs>
          <w:tab w:val="left" w:pos="141"/>
        </w:tabs>
        <w:spacing w:before="69" w:line="56" w:lineRule="exact"/>
        <w:ind w:left="44"/>
        <w:rPr>
          <w:sz w:val="4"/>
          <w:szCs w:val="4"/>
        </w:rPr>
      </w:pPr>
      <w:r>
        <w:rPr>
          <w:strike/>
          <w:sz w:val="4"/>
          <w:szCs w:val="4"/>
        </w:rPr>
        <w:tab/>
      </w:r>
      <w:r>
        <w:rPr>
          <w:spacing w:val="-7"/>
          <w:sz w:val="4"/>
          <w:szCs w:val="4"/>
        </w:rPr>
        <w:t xml:space="preserve"> </w:t>
      </w:r>
      <w:r>
        <w:rPr>
          <w:spacing w:val="8"/>
          <w:sz w:val="4"/>
          <w:szCs w:val="4"/>
        </w:rPr>
        <w:t>中信期货十年期国债期货指数</w:t>
      </w:r>
      <w:r>
        <w:rPr>
          <w:spacing w:val="14"/>
          <w:sz w:val="4"/>
          <w:szCs w:val="4"/>
        </w:rPr>
        <w:t xml:space="preserve"> </w:t>
      </w:r>
      <w:r>
        <w:rPr>
          <w:strike/>
          <w:spacing w:val="4"/>
          <w:sz w:val="4"/>
          <w:szCs w:val="4"/>
        </w:rPr>
        <w:t xml:space="preserve">    </w:t>
      </w:r>
      <w:r>
        <w:rPr>
          <w:spacing w:val="-5"/>
          <w:sz w:val="4"/>
          <w:szCs w:val="4"/>
        </w:rPr>
        <w:t xml:space="preserve"> </w:t>
      </w:r>
      <w:r>
        <w:rPr>
          <w:spacing w:val="8"/>
          <w:sz w:val="4"/>
          <w:szCs w:val="4"/>
        </w:rPr>
        <w:t>中信期货沪深300股指期货指</w:t>
      </w:r>
      <w:r>
        <w:rPr>
          <w:spacing w:val="7"/>
          <w:sz w:val="4"/>
          <w:szCs w:val="4"/>
        </w:rPr>
        <w:t>数</w:t>
      </w:r>
      <w:r>
        <w:rPr>
          <w:spacing w:val="13"/>
          <w:w w:val="102"/>
          <w:sz w:val="4"/>
          <w:szCs w:val="4"/>
        </w:rPr>
        <w:t xml:space="preserve"> </w:t>
      </w:r>
      <w:r>
        <w:rPr>
          <w:strike/>
          <w:spacing w:val="4"/>
          <w:sz w:val="4"/>
          <w:szCs w:val="4"/>
        </w:rPr>
        <w:t xml:space="preserve">    </w:t>
      </w:r>
      <w:r>
        <w:rPr>
          <w:spacing w:val="-5"/>
          <w:sz w:val="4"/>
          <w:szCs w:val="4"/>
        </w:rPr>
        <w:t xml:space="preserve"> </w:t>
      </w:r>
      <w:r>
        <w:rPr>
          <w:spacing w:val="7"/>
          <w:sz w:val="4"/>
          <w:szCs w:val="4"/>
        </w:rPr>
        <w:t>中信期货商品指数</w:t>
      </w:r>
    </w:p>
    <w:p>
      <w:pPr>
        <w:spacing w:line="29" w:lineRule="exact"/>
      </w:pPr>
    </w:p>
    <w:tbl>
      <w:tblPr>
        <w:tblStyle w:val="TableNormal"/>
        <w:tblW w:w="2093" w:type="dxa"/>
        <w:tblInd w:w="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99"/>
        <w:gridCol w:w="1904"/>
        <w:gridCol w:w="90"/>
      </w:tblGrid>
      <w:tr>
        <w:tblPrEx>
          <w:tblW w:w="2093" w:type="dxa"/>
          <w:tblInd w:w="6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309"/>
        </w:trPr>
        <w:tc>
          <w:tcPr>
            <w:tcW w:w="99" w:type="dxa"/>
            <w:vAlign w:val="top"/>
          </w:tcPr>
          <w:p>
            <w:pPr>
              <w:pStyle w:val="TableText"/>
              <w:spacing w:line="210" w:lineRule="auto"/>
              <w:rPr>
                <w:sz w:val="4"/>
                <w:szCs w:val="4"/>
              </w:rPr>
            </w:pPr>
            <w:r>
              <w:rPr>
                <w:spacing w:val="2"/>
                <w:sz w:val="4"/>
                <w:szCs w:val="4"/>
              </w:rPr>
              <w:t>127</w:t>
            </w:r>
          </w:p>
          <w:p>
            <w:pPr>
              <w:pStyle w:val="TableText"/>
              <w:spacing w:before="167" w:line="210" w:lineRule="auto"/>
              <w:rPr>
                <w:sz w:val="4"/>
                <w:szCs w:val="4"/>
              </w:rPr>
            </w:pPr>
            <w:r>
              <w:rPr>
                <w:spacing w:val="2"/>
                <w:sz w:val="4"/>
                <w:szCs w:val="4"/>
              </w:rPr>
              <w:t>123</w:t>
            </w:r>
          </w:p>
          <w:p>
            <w:pPr>
              <w:pStyle w:val="TableText"/>
              <w:spacing w:before="167" w:line="209" w:lineRule="auto"/>
              <w:rPr>
                <w:sz w:val="4"/>
                <w:szCs w:val="4"/>
              </w:rPr>
            </w:pPr>
            <w:r>
              <w:rPr>
                <w:spacing w:val="2"/>
                <w:sz w:val="4"/>
                <w:szCs w:val="4"/>
              </w:rPr>
              <w:t>119</w:t>
            </w:r>
          </w:p>
          <w:p>
            <w:pPr>
              <w:pStyle w:val="TableText"/>
              <w:spacing w:before="167" w:line="209" w:lineRule="auto"/>
              <w:rPr>
                <w:sz w:val="4"/>
                <w:szCs w:val="4"/>
              </w:rPr>
            </w:pPr>
            <w:r>
              <w:rPr>
                <w:spacing w:val="2"/>
                <w:sz w:val="4"/>
                <w:szCs w:val="4"/>
              </w:rPr>
              <w:t>115</w:t>
            </w:r>
          </w:p>
          <w:p>
            <w:pPr>
              <w:pStyle w:val="TableText"/>
              <w:spacing w:before="167" w:line="208" w:lineRule="auto"/>
              <w:rPr>
                <w:sz w:val="4"/>
                <w:szCs w:val="4"/>
              </w:rPr>
            </w:pPr>
            <w:r>
              <w:rPr>
                <w:spacing w:val="2"/>
                <w:sz w:val="4"/>
                <w:szCs w:val="4"/>
              </w:rPr>
              <w:t>111</w:t>
            </w:r>
          </w:p>
          <w:p>
            <w:pPr>
              <w:pStyle w:val="TableText"/>
              <w:spacing w:before="167" w:line="210" w:lineRule="auto"/>
              <w:rPr>
                <w:sz w:val="4"/>
                <w:szCs w:val="4"/>
              </w:rPr>
            </w:pPr>
            <w:r>
              <w:rPr>
                <w:spacing w:val="2"/>
                <w:sz w:val="4"/>
                <w:szCs w:val="4"/>
              </w:rPr>
              <w:t>107</w:t>
            </w:r>
          </w:p>
          <w:p>
            <w:pPr>
              <w:pStyle w:val="TableText"/>
              <w:spacing w:before="166" w:line="24" w:lineRule="exact"/>
              <w:rPr>
                <w:sz w:val="3"/>
                <w:szCs w:val="3"/>
              </w:rPr>
            </w:pPr>
            <w:r>
              <w:rPr>
                <w:spacing w:val="3"/>
                <w:w w:val="131"/>
                <w:sz w:val="3"/>
                <w:szCs w:val="3"/>
              </w:rPr>
              <w:t>103</w:t>
            </w:r>
          </w:p>
        </w:tc>
        <w:tc>
          <w:tcPr>
            <w:tcW w:w="1904" w:type="dxa"/>
            <w:vAlign w:val="top"/>
          </w:tcPr>
          <w:p>
            <w:pPr>
              <w:spacing w:before="14" w:line="1279" w:lineRule="exact"/>
              <w:ind w:firstLine="30"/>
            </w:pPr>
            <w:r>
              <w:rPr>
                <w:position w:val="-25"/>
              </w:rPr>
              <w:pict>
                <v:group id="_x0000_i1031" style="width:92.75pt;height:63.95pt;mso-position-horizontal-relative:char;mso-position-vertical-relative:line" coordorigin="0,0" coordsize="1855,1279" filled="f" stroked="f">
                  <v:shape id="_x0000_s1032" style="width:1855;height:1279;position:absolute" coordorigin="0,0" coordsize="1855,1279" path="m1852,1277l1853,1m1839,1277l1853,1277m1839,958l1853,958m1839,639l1853,639m1839,320l1853,320m1839,1l1853,1m1,1277l1,1m1,1277l15,1277m1,1064l15,1064m1,851l15,851m1,639l15,639m1,426l15,426m1,214l15,214m1,1l15,1m1,1277l1853,1277m1,1263l1,1277m191,1263l191,1277m374,1263l374,1277m564,1263l564,1277m753,1263l753,1277m936,1263l936,1277m1126,1263l1126,1277m1309,1263l1309,1277m1498,1263l1498,1277m1687,1263l1687,1277e" filled="f" strokecolor="black" strokeweight="0.18pt"/>
                  <v:shape id="_x0000_s1033" style="width:1851;height:213;left:2;position:absolute;top:164" coordorigin="0,0" coordsize="1851,213" path="m2,210l8,206l14,196l21,188l26,193l45,196l51,196l57,200l63,200l70,195l88,192l94,179l100,179l106,186l112,193l130,185l137,189l143,183l149,175l155,197l173,186l179,177l186,172l192,177l197,160l216,160l222,143l228,140l234,163l241,179l259,188l265,179l271,174l301,170l308,176l313,167l320,165l326,153l344,160l350,169l357,158l363,162l369,157l387,154l393,150l399,150l405,153l412,155l430,143l436,139l442,141l448,136l454,130l473,126l479,162l485,148l491,141l497,149l515,153l521,152l528,147l533,139l540,137l558,133l564,130l570,132l577,134l582,130l601,125l607,108l613,101l619,107l625,101l644,86l650,93l656,94l662,93l668,103l686,106l693,116l699,109l705,108l711,127l729,138l735,140l741,155l748,160l753,154l772,151l778,148l784,139l790,130l797,146l815,153l821,151l827,152l833,143l839,159l857,163l864,160l870,158l876,148l943,147l949,153l955,167l961,162l968,156l986,150l992,160l998,163l1004,182l1010,168l1029,160l1035,167l1041,153l1047,155l1053,154l1071,152l1077,141l1084,140l1089,129l1096,131l1114,129l1120,132l1126,125l1133,127l1138,123l1157,122l1163,129l1169,130l1175,122l1181,122l1200,122l1206,128l1212,135l1218,149l1224,146l1242,153l1249,138l1255,133l1261,132l1267,129l1285,133l1291,127l1297,129l1304,123l1309,123l1328,111l1334,113l1340,97l1346,104l1353,93l1371,97l1376,93l1383,97l1389,90l1395,84l1413,73l1420,73l1425,68l1432,76l1438,73l1462,81l1469,75l1475,75l1481,67l1499,68l1505,57l1511,66l1517,64l1524,78l1542,74l1548,77l1554,67l1560,73l1566,64l1585,56l1591,62l1596,60l1603,54l1609,57l1627,50l1633,35l1640,27l1645,32l1652,30l1670,24l1676,46l1682,38l1689,47l1756,37l1762,32l1768,31l1774,25l1780,22l1798,17l1805,17l1811,6l1816,2l1823,31l1841,16l1847,10e" filled="f" strokecolor="black" strokeweight="0.24pt">
                    <v:stroke endcap="round"/>
                  </v:shape>
                  <v:shape id="_x0000_s1034" style="width:1851;height:292;left:2;position:absolute;top:745" coordorigin="0,0" coordsize="1851,292" path="m2,3l8,13l14,22l21,25l26,42l45,22l51,26l57,35l63,38l70,39l88,32l94,53l100,68l106,73l112,71l130,76l137,76l143,87l149,85l155,67l173,73l179,86l186,90l192,81l197,73l216,73l222,64l228,64l234,43l241,32l259,42l265,45l271,64l301,77l308,69l313,68l320,73l326,66l344,51l350,48l357,59l363,68l369,73l387,67l393,57l399,64l405,43l412,43l430,55l436,57l442,57l448,66l454,66l473,73l479,35l485,39l491,40l497,8l515,3l521,8l528,18l533,8l540,2l558,9l564,15l570,17l577,18l582,50l601,58l607,60l613,70l619,66l625,83l644,100l650,92l656,110l662,102l668,105l686,93l693,80l699,81l705,87l711,80l729,60l735,70l741,73l748,92l753,99l772,89l778,90l784,99l790,100l797,106l815,100l821,102l827,108l833,120l839,94l857,104l864,111l870,108l876,114l943,118l949,126l955,124l961,111l968,124l986,138l992,134l998,143l1004,169l1010,175l1029,192l1035,187l1041,180l1047,176l1053,158l1071,153l1077,155l1084,157l1089,162l1096,153l1114,137l1120,141l1126,145l1133,143l1138,153l1157,154l1163,154l1169,146l1175,158l1181,161l1200,157l1206,155l1212,168l1218,161l1224,170l1242,178l1249,177l1255,185l1261,183l1267,189l1285,198l1291,223l1297,220l1304,221l1309,218l1328,211l1334,208l1340,228l1346,233l1353,234l1371,237l1376,235l1383,245l1389,234l1395,233l1413,230l1420,237l1426,234l1432,205l1438,203l1462,220l1469,221l1475,232l1481,237l1499,255l1505,251l1511,255l1517,249l1524,253l1542,255l1548,248l1554,274l1560,268l1566,265l1585,285l1591,275l1596,258l1603,234l1609,237l1627,248l1633,266l1640,275l1645,274l1652,290l1670,288l1676,244l1682,231l1689,221l1756,214l1762,210l1768,187l1774,178l1780,177l1798,191l1805,173l1811,186l1816,167l1823,159l1841,162l1847,157e" filled="f" strokecolor="#c00000" strokeweight="0.24pt">
                    <v:stroke endcap="round"/>
                  </v:shape>
                  <v:shape id="_x0000_s1035" style="width:1851;height:315;left:2;position:absolute;top:248" coordorigin="0,0" coordsize="1851,315" path="m2,219l8,232l14,228l21,253l26,274l45,259l51,266l57,260l63,258l70,262l88,287l94,289l100,302l106,304l112,292l130,286l137,300l143,312l149,285l155,269l173,264l179,263l186,263l192,252l197,231l216,251l222,235l228,224l234,223l241,200l259,207l265,202l271,213l301,221l308,209l313,206l320,205l326,199l344,171l350,175l357,174l363,165l369,177l387,177l393,163l399,151l405,144l412,127l430,145l436,133l442,122l448,112l454,119l473,133l479,114l485,100l491,104l497,108l515,112l521,97l528,99l533,132l540,118l558,122l564,132l570,120l577,123l582,116l601,121l607,106l613,113l619,99l625,94l644,73l650,73l656,68l662,63l668,47l686,56l693,56l699,31l705,25l711,4l729,18l735,17l741,7l748,22l753,37l772,26l778,21l784,32l790,12l797,2l815,9l821,21l827,19l833,46l839,29l857,43l864,57l870,49l876,39l943,79l949,101l955,95l961,87l968,77l986,60l992,67l998,63l1004,59l1010,72l1029,83l1035,81l1041,80l1047,68l1053,64l1071,60l1077,74l1084,77l1089,64l1096,51l1114,52l1120,66l1126,62l1133,69l1138,60l1157,66l1163,56l1169,40l1175,42l1181,64l1200,57l1206,66l1212,62l1218,81l1224,76l1242,78l1249,82l1255,81l1261,66l1267,76l1285,88l1291,101l1297,99l1304,104l1309,80l1328,86l1334,82l1340,112l1346,106l1353,101l1371,99l1376,102l1383,91l1389,78l1395,73l1413,80l1420,75l1425,64l1432,73l1438,90l1462,83l1469,88l1475,92l1481,101l1499,112l1505,112l1511,116l1517,104l1524,105l1542,111l1548,106l1554,118l1560,104l1566,95l1585,104l1591,91l1596,80l1603,77l1609,75l1627,78l1633,98l1640,102l1645,109l1652,123l1670,126l1676,124l1682,123l1689,109l1756,103l1762,113l1768,112l1774,104l1780,103l1798,117l1805,98l1811,101l1816,95l1823,94l1841,87l1847,91e" filled="f" strokecolor="#898989" strokeweight="0.24pt">
                    <v:stroke endcap="round"/>
                  </v:shape>
                  <w10:wrap type="none"/>
                </v:group>
              </w:pict>
            </w:r>
          </w:p>
        </w:tc>
        <w:tc>
          <w:tcPr>
            <w:tcW w:w="90" w:type="dxa"/>
            <w:vAlign w:val="top"/>
          </w:tcPr>
          <w:p>
            <w:pPr>
              <w:pStyle w:val="TableText"/>
              <w:spacing w:line="210" w:lineRule="auto"/>
              <w:jc w:val="right"/>
              <w:rPr>
                <w:sz w:val="4"/>
                <w:szCs w:val="4"/>
              </w:rPr>
            </w:pPr>
            <w:r>
              <w:rPr>
                <w:spacing w:val="3"/>
                <w:sz w:val="4"/>
                <w:szCs w:val="4"/>
              </w:rPr>
              <w:t>260</w:t>
            </w: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" w:line="211" w:lineRule="auto"/>
              <w:jc w:val="right"/>
              <w:rPr>
                <w:sz w:val="4"/>
                <w:szCs w:val="4"/>
              </w:rPr>
            </w:pPr>
            <w:r>
              <w:rPr>
                <w:spacing w:val="3"/>
                <w:sz w:val="4"/>
                <w:szCs w:val="4"/>
              </w:rPr>
              <w:t>220</w:t>
            </w: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" w:line="210" w:lineRule="auto"/>
              <w:jc w:val="right"/>
              <w:rPr>
                <w:sz w:val="4"/>
                <w:szCs w:val="4"/>
              </w:rPr>
            </w:pPr>
            <w:r>
              <w:rPr>
                <w:spacing w:val="2"/>
                <w:sz w:val="4"/>
                <w:szCs w:val="4"/>
              </w:rPr>
              <w:t>180</w:t>
            </w: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" w:line="210" w:lineRule="auto"/>
              <w:jc w:val="right"/>
              <w:rPr>
                <w:sz w:val="4"/>
                <w:szCs w:val="4"/>
              </w:rPr>
            </w:pPr>
            <w:r>
              <w:rPr>
                <w:spacing w:val="2"/>
                <w:sz w:val="4"/>
                <w:szCs w:val="4"/>
              </w:rPr>
              <w:t>140</w:t>
            </w: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" w:line="23" w:lineRule="exact"/>
              <w:jc w:val="right"/>
              <w:rPr>
                <w:sz w:val="3"/>
                <w:szCs w:val="3"/>
              </w:rPr>
            </w:pPr>
            <w:r>
              <w:rPr>
                <w:spacing w:val="3"/>
                <w:w w:val="130"/>
                <w:sz w:val="3"/>
                <w:szCs w:val="3"/>
              </w:rPr>
              <w:t>100</w:t>
            </w:r>
          </w:p>
        </w:tc>
      </w:tr>
    </w:tbl>
    <w:p>
      <w:pPr>
        <w:pStyle w:val="BodyText"/>
        <w:spacing w:before="11" w:line="59" w:lineRule="exact"/>
        <w:ind w:left="69"/>
        <w:rPr>
          <w:sz w:val="4"/>
          <w:szCs w:val="4"/>
        </w:rPr>
      </w:pPr>
      <w:r>
        <w:rPr>
          <w:spacing w:val="4"/>
          <w:sz w:val="4"/>
          <w:szCs w:val="4"/>
        </w:rPr>
        <w:t>2023/5</w:t>
      </w:r>
      <w:r>
        <w:rPr>
          <w:spacing w:val="2"/>
          <w:sz w:val="4"/>
          <w:szCs w:val="4"/>
        </w:rPr>
        <w:t xml:space="preserve">  </w:t>
      </w:r>
      <w:r>
        <w:rPr>
          <w:spacing w:val="4"/>
          <w:sz w:val="4"/>
          <w:szCs w:val="4"/>
        </w:rPr>
        <w:t>2023/6</w:t>
      </w:r>
      <w:r>
        <w:rPr>
          <w:spacing w:val="20"/>
          <w:w w:val="103"/>
          <w:sz w:val="4"/>
          <w:szCs w:val="4"/>
        </w:rPr>
        <w:t xml:space="preserve"> </w:t>
      </w:r>
      <w:r>
        <w:rPr>
          <w:spacing w:val="4"/>
          <w:sz w:val="4"/>
          <w:szCs w:val="4"/>
        </w:rPr>
        <w:t>2023/7</w:t>
      </w:r>
      <w:r>
        <w:rPr>
          <w:spacing w:val="2"/>
          <w:sz w:val="4"/>
          <w:szCs w:val="4"/>
        </w:rPr>
        <w:t xml:space="preserve">  </w:t>
      </w:r>
      <w:r>
        <w:rPr>
          <w:spacing w:val="4"/>
          <w:sz w:val="4"/>
          <w:szCs w:val="4"/>
        </w:rPr>
        <w:t>2023/8</w:t>
      </w:r>
      <w:r>
        <w:rPr>
          <w:spacing w:val="3"/>
          <w:sz w:val="4"/>
          <w:szCs w:val="4"/>
        </w:rPr>
        <w:t xml:space="preserve">  </w:t>
      </w:r>
      <w:r>
        <w:rPr>
          <w:spacing w:val="4"/>
          <w:sz w:val="4"/>
          <w:szCs w:val="4"/>
        </w:rPr>
        <w:t>2023/9</w:t>
      </w:r>
      <w:r>
        <w:rPr>
          <w:spacing w:val="4"/>
          <w:sz w:val="4"/>
          <w:szCs w:val="4"/>
        </w:rPr>
        <w:t xml:space="preserve"> </w:t>
      </w:r>
      <w:r>
        <w:rPr>
          <w:spacing w:val="4"/>
          <w:sz w:val="4"/>
          <w:szCs w:val="4"/>
        </w:rPr>
        <w:t>2023/10</w:t>
      </w:r>
      <w:r>
        <w:rPr>
          <w:spacing w:val="4"/>
          <w:sz w:val="4"/>
          <w:szCs w:val="4"/>
        </w:rPr>
        <w:t xml:space="preserve"> </w:t>
      </w:r>
      <w:r>
        <w:rPr>
          <w:spacing w:val="4"/>
          <w:sz w:val="4"/>
          <w:szCs w:val="4"/>
        </w:rPr>
        <w:t>2023/11</w:t>
      </w:r>
      <w:r>
        <w:rPr>
          <w:spacing w:val="-4"/>
          <w:sz w:val="4"/>
          <w:szCs w:val="4"/>
        </w:rPr>
        <w:t xml:space="preserve"> </w:t>
      </w:r>
      <w:r>
        <w:rPr>
          <w:spacing w:val="4"/>
          <w:sz w:val="4"/>
          <w:szCs w:val="4"/>
        </w:rPr>
        <w:t>2023/12</w:t>
      </w:r>
      <w:r>
        <w:rPr>
          <w:spacing w:val="13"/>
          <w:w w:val="102"/>
          <w:sz w:val="4"/>
          <w:szCs w:val="4"/>
        </w:rPr>
        <w:t xml:space="preserve"> </w:t>
      </w:r>
      <w:r>
        <w:rPr>
          <w:spacing w:val="4"/>
          <w:sz w:val="4"/>
          <w:szCs w:val="4"/>
        </w:rPr>
        <w:t>2024/1</w:t>
      </w:r>
      <w:r>
        <w:rPr>
          <w:spacing w:val="2"/>
          <w:sz w:val="4"/>
          <w:szCs w:val="4"/>
        </w:rPr>
        <w:t xml:space="preserve">  </w:t>
      </w:r>
      <w:r>
        <w:rPr>
          <w:spacing w:val="4"/>
          <w:sz w:val="4"/>
          <w:szCs w:val="4"/>
        </w:rPr>
        <w:t>2024/2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78" w:line="219" w:lineRule="auto"/>
        <w:ind w:left="6"/>
        <w:rPr>
          <w:sz w:val="24"/>
          <w:szCs w:val="24"/>
        </w:rPr>
      </w:pPr>
      <w:r>
        <w:rPr>
          <w:spacing w:val="-1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金融工程团队</w:t>
      </w:r>
    </w:p>
    <w:p>
      <w:pPr>
        <w:pStyle w:val="BodyText"/>
        <w:spacing w:before="105" w:line="241" w:lineRule="auto"/>
        <w:rPr>
          <w:sz w:val="16"/>
          <w:szCs w:val="16"/>
        </w:rPr>
      </w:pPr>
      <w:r>
        <w:rPr>
          <w:spacing w:val="-6"/>
          <w:sz w:val="16"/>
          <w:szCs w:val="16"/>
        </w:rPr>
        <w:t>研究员：</w:t>
      </w:r>
    </w:p>
    <w:p>
      <w:pPr>
        <w:pStyle w:val="BodyText"/>
        <w:spacing w:line="219" w:lineRule="auto"/>
        <w:ind w:left="2"/>
        <w:rPr>
          <w:sz w:val="16"/>
          <w:szCs w:val="16"/>
        </w:rPr>
      </w:pPr>
      <w:r>
        <w:rPr>
          <w:spacing w:val="-2"/>
          <w:sz w:val="16"/>
          <w:szCs w:val="16"/>
        </w:rPr>
        <w:t>熊鹰</w:t>
      </w:r>
    </w:p>
    <w:p>
      <w:pPr>
        <w:pStyle w:val="BodyText"/>
        <w:spacing w:before="42" w:line="184" w:lineRule="auto"/>
        <w:rPr>
          <w:sz w:val="16"/>
          <w:szCs w:val="16"/>
        </w:rPr>
      </w:pPr>
      <w:r>
        <w:rPr>
          <w:spacing w:val="-1"/>
          <w:sz w:val="16"/>
          <w:szCs w:val="16"/>
        </w:rPr>
        <w:t>021-80401732</w:t>
      </w:r>
    </w:p>
    <w:p>
      <w:pPr>
        <w:pStyle w:val="BodyText"/>
        <w:spacing w:before="24" w:line="238" w:lineRule="auto"/>
        <w:ind w:left="1"/>
        <w:rPr>
          <w:sz w:val="16"/>
          <w:szCs w:val="16"/>
        </w:rPr>
      </w:pPr>
      <w:r>
        <w:rPr>
          <w:spacing w:val="-1"/>
          <w:sz w:val="16"/>
          <w:szCs w:val="16"/>
        </w:rPr>
        <w:t>xiongying@citicsf.com</w:t>
      </w:r>
    </w:p>
    <w:p>
      <w:pPr>
        <w:pStyle w:val="BodyText"/>
        <w:spacing w:before="1" w:line="219" w:lineRule="auto"/>
        <w:ind w:left="2"/>
        <w:rPr>
          <w:sz w:val="16"/>
          <w:szCs w:val="16"/>
        </w:rPr>
      </w:pPr>
      <w:r>
        <w:rPr>
          <w:spacing w:val="-1"/>
          <w:sz w:val="16"/>
          <w:szCs w:val="16"/>
        </w:rPr>
        <w:t>从业资格号</w:t>
      </w:r>
      <w:r>
        <w:rPr>
          <w:spacing w:val="-1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F3075662</w:t>
      </w:r>
    </w:p>
    <w:p>
      <w:pPr>
        <w:pStyle w:val="BodyText"/>
        <w:spacing w:before="18" w:line="220" w:lineRule="auto"/>
        <w:rPr>
          <w:sz w:val="16"/>
          <w:szCs w:val="16"/>
        </w:rPr>
      </w:pPr>
      <w:r>
        <w:rPr>
          <w:spacing w:val="-1"/>
          <w:sz w:val="16"/>
          <w:szCs w:val="16"/>
        </w:rPr>
        <w:t>投资咨询号</w:t>
      </w:r>
      <w:r>
        <w:rPr>
          <w:spacing w:val="-1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Z0018946</w:t>
      </w:r>
    </w:p>
    <w:p>
      <w:pPr>
        <w:spacing w:line="220" w:lineRule="auto"/>
        <w:rPr>
          <w:sz w:val="16"/>
          <w:szCs w:val="16"/>
        </w:rPr>
        <w:sectPr>
          <w:headerReference w:type="default" r:id="rId6"/>
          <w:footerReference w:type="default" r:id="rId7"/>
          <w:type w:val="continuous"/>
          <w:pgSz w:w="11907" w:h="16839"/>
          <w:pgMar w:top="2025" w:right="566" w:bottom="2006" w:left="537" w:header="431" w:footer="830" w:gutter="0"/>
          <w:pgNumType w:start="2"/>
          <w:cols w:num="2" w:space="708" w:equalWidth="0">
            <w:col w:w="8484" w:space="100"/>
            <w:col w:w="2219" w:space="0"/>
          </w:cols>
        </w:sectPr>
      </w:pPr>
    </w:p>
    <w:p>
      <w:pPr>
        <w:pStyle w:val="BodyText"/>
        <w:spacing w:before="284" w:line="340" w:lineRule="exact"/>
        <w:ind w:left="780"/>
      </w:pPr>
      <w:r>
        <w:rPr>
          <w:position w:val="10"/>
        </w:rPr>
        <w:t>CTA</w:t>
      </w:r>
      <w:r>
        <w:rPr>
          <w:spacing w:val="1"/>
          <w:position w:val="10"/>
        </w:rPr>
        <w:t xml:space="preserve"> </w:t>
      </w:r>
      <w:r>
        <w:rPr>
          <w:spacing w:val="1"/>
          <w:position w:val="10"/>
        </w:rPr>
        <w:t>策略主要受到宏观环境和商品市场波动的</w:t>
      </w:r>
      <w:r>
        <w:rPr>
          <w:position w:val="10"/>
        </w:rPr>
        <w:t>影响，本次研究通过构建宏观</w:t>
      </w:r>
    </w:p>
    <w:p>
      <w:pPr>
        <w:pStyle w:val="BodyText"/>
        <w:spacing w:before="1" w:line="211" w:lineRule="auto"/>
        <w:ind w:left="361"/>
      </w:pPr>
      <w:r>
        <w:rPr>
          <w:spacing w:val="-1"/>
        </w:rPr>
        <w:t>环境因子和商品市场因子，观察</w:t>
      </w:r>
      <w:r>
        <w:rPr>
          <w:spacing w:val="-32"/>
        </w:rPr>
        <w:t xml:space="preserve"> </w:t>
      </w:r>
      <w:r>
        <w:rPr>
          <w:spacing w:val="-1"/>
        </w:rPr>
        <w:t>CTA</w:t>
      </w:r>
      <w:r>
        <w:rPr>
          <w:spacing w:val="-35"/>
        </w:rPr>
        <w:t xml:space="preserve"> </w:t>
      </w:r>
      <w:r>
        <w:rPr>
          <w:spacing w:val="-1"/>
        </w:rPr>
        <w:t>趋势策略在不同</w:t>
      </w:r>
      <w:r>
        <w:rPr>
          <w:spacing w:val="-2"/>
        </w:rPr>
        <w:t>环境中的胜率和盈亏比情况，</w:t>
      </w:r>
    </w:p>
    <w:p>
      <w:pPr>
        <w:pStyle w:val="BodyText"/>
        <w:spacing w:before="100" w:line="211" w:lineRule="auto"/>
        <w:ind w:left="361"/>
      </w:pPr>
      <w:r>
        <w:rPr>
          <w:spacing w:val="-3"/>
        </w:rPr>
        <w:t>从而寻找出了</w:t>
      </w:r>
      <w:r>
        <w:rPr>
          <w:spacing w:val="-18"/>
        </w:rPr>
        <w:t xml:space="preserve"> </w:t>
      </w:r>
      <w:r>
        <w:rPr>
          <w:spacing w:val="-3"/>
        </w:rPr>
        <w:t>8</w:t>
      </w:r>
      <w:r>
        <w:rPr>
          <w:spacing w:val="-20"/>
        </w:rPr>
        <w:t xml:space="preserve"> </w:t>
      </w:r>
      <w:r>
        <w:rPr>
          <w:spacing w:val="-3"/>
        </w:rPr>
        <w:t>个有效的市场环境因子，</w:t>
      </w:r>
      <w:r>
        <w:rPr>
          <w:spacing w:val="-20"/>
        </w:rPr>
        <w:t xml:space="preserve"> </w:t>
      </w:r>
      <w:r>
        <w:rPr>
          <w:spacing w:val="-3"/>
        </w:rPr>
        <w:t>并且各因子间的相关性也较弱。包括</w:t>
      </w:r>
      <w:r>
        <w:rPr>
          <w:spacing w:val="-26"/>
        </w:rPr>
        <w:t xml:space="preserve"> </w:t>
      </w:r>
      <w:r>
        <w:rPr>
          <w:spacing w:val="-3"/>
        </w:rPr>
        <w:t>4</w:t>
      </w:r>
    </w:p>
    <w:p>
      <w:pPr>
        <w:pStyle w:val="BodyText"/>
        <w:spacing w:before="101" w:line="213" w:lineRule="auto"/>
        <w:ind w:left="361"/>
        <w:sectPr>
          <w:headerReference w:type="default" r:id="rId8"/>
          <w:footerReference w:type="default" r:id="rId9"/>
          <w:type w:val="continuous"/>
          <w:pgSz w:w="11907" w:h="16839"/>
          <w:pgMar w:top="2025" w:right="566" w:bottom="2006" w:left="537" w:header="431" w:footer="830" w:gutter="0"/>
          <w:pgNumType w:start="3"/>
          <w:cols w:num="1" w:space="708" w:equalWidth="0">
            <w:col w:w="10803" w:space="0"/>
          </w:cols>
        </w:sectPr>
      </w:pPr>
      <w:r>
        <w:rPr>
          <w:spacing w:val="3"/>
        </w:rPr>
        <w:t>个宏观环境因子和</w:t>
      </w:r>
      <w:r>
        <w:rPr>
          <w:spacing w:val="3"/>
        </w:rPr>
        <w:t xml:space="preserve"> </w:t>
      </w:r>
      <w:r>
        <w:rPr>
          <w:spacing w:val="3"/>
        </w:rPr>
        <w:t>4</w:t>
      </w:r>
      <w:r>
        <w:rPr>
          <w:spacing w:val="3"/>
        </w:rPr>
        <w:t xml:space="preserve"> </w:t>
      </w:r>
      <w:r>
        <w:rPr>
          <w:spacing w:val="3"/>
        </w:rPr>
        <w:t>个商品市场因子，其中与策略表现具有正向关系的有</w:t>
      </w:r>
      <w:r>
        <w:rPr>
          <w:spacing w:val="3"/>
        </w:rPr>
        <w:t xml:space="preserve"> </w:t>
      </w:r>
      <w:r>
        <w:rPr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CPI</w:t>
      </w:r>
    </w:p>
    <w:p>
      <w:pPr>
        <w:pStyle w:val="BodyText"/>
        <w:spacing w:before="98" w:line="213" w:lineRule="auto"/>
        <w:ind w:left="375"/>
      </w:pPr>
      <w:r>
        <w:rPr>
          <w:spacing w:val="-5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（月同比增速）</w:t>
      </w:r>
      <w:r>
        <w:rPr>
          <w:spacing w:val="71"/>
        </w:rPr>
        <w:t xml:space="preserve"> </w:t>
      </w:r>
      <w:r>
        <w:rPr>
          <w:spacing w:val="-5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、市场趋势强度、市场投机度</w:t>
      </w:r>
      <w:r>
        <w:rPr>
          <w:spacing w:val="-5"/>
        </w:rPr>
        <w:t>；与策略表现具有负向关系的有</w:t>
      </w:r>
      <w:r>
        <w:rPr>
          <w:spacing w:val="-5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人</w:t>
      </w:r>
    </w:p>
    <w:p>
      <w:pPr>
        <w:pStyle w:val="BodyText"/>
        <w:spacing w:before="99" w:line="219" w:lineRule="auto"/>
        <w:ind w:left="373"/>
      </w:pPr>
      <w:r>
        <w:rPr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民币存款余额（月同比增速）、出口总值（月同比增速）、美国</w:t>
      </w:r>
      <w:r>
        <w:t xml:space="preserve"> </w:t>
      </w:r>
      <w:r>
        <w:rPr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10</w:t>
      </w:r>
      <w:r>
        <w:t xml:space="preserve"> </w:t>
      </w:r>
      <w:r>
        <w:rPr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年期国债收</w:t>
      </w:r>
    </w:p>
    <w:p>
      <w:pPr>
        <w:pStyle w:val="BodyText"/>
        <w:spacing w:before="91" w:line="220" w:lineRule="auto"/>
        <w:ind w:left="361"/>
      </w:pPr>
      <w:r>
        <w:rPr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益率、市场轮动速度、成交集中度</w:t>
      </w:r>
      <w:r>
        <w:t>。</w:t>
      </w:r>
    </w:p>
    <w:p>
      <w:pPr>
        <w:pStyle w:val="BodyText"/>
        <w:spacing w:before="245" w:line="341" w:lineRule="exact"/>
        <w:ind w:left="779"/>
      </w:pPr>
      <w:r>
        <w:rPr>
          <w:spacing w:val="-3"/>
          <w:position w:val="10"/>
        </w:rPr>
        <w:t>通过以上</w:t>
      </w:r>
      <w:r>
        <w:rPr>
          <w:spacing w:val="-42"/>
          <w:position w:val="10"/>
        </w:rPr>
        <w:t xml:space="preserve"> </w:t>
      </w:r>
      <w:r>
        <w:rPr>
          <w:spacing w:val="-3"/>
          <w:position w:val="10"/>
        </w:rPr>
        <w:t>8</w:t>
      </w:r>
      <w:r>
        <w:rPr>
          <w:spacing w:val="-39"/>
          <w:position w:val="10"/>
        </w:rPr>
        <w:t xml:space="preserve"> </w:t>
      </w:r>
      <w:r>
        <w:rPr>
          <w:spacing w:val="-3"/>
          <w:position w:val="10"/>
        </w:rPr>
        <w:t>个有效因子构建出预测模型，</w:t>
      </w:r>
      <w:r>
        <w:rPr>
          <w:spacing w:val="-24"/>
          <w:position w:val="10"/>
        </w:rPr>
        <w:t xml:space="preserve"> </w:t>
      </w:r>
      <w:r>
        <w:rPr>
          <w:spacing w:val="-3"/>
          <w:position w:val="10"/>
        </w:rPr>
        <w:t>通过对比过去</w:t>
      </w:r>
      <w:r>
        <w:rPr>
          <w:spacing w:val="-45"/>
          <w:position w:val="10"/>
        </w:rPr>
        <w:t xml:space="preserve"> </w:t>
      </w:r>
      <w:r>
        <w:rPr>
          <w:spacing w:val="-3"/>
          <w:position w:val="10"/>
        </w:rPr>
        <w:t>4</w:t>
      </w:r>
      <w:r>
        <w:rPr>
          <w:spacing w:val="-38"/>
          <w:position w:val="10"/>
        </w:rPr>
        <w:t xml:space="preserve"> </w:t>
      </w:r>
      <w:r>
        <w:rPr>
          <w:spacing w:val="-3"/>
          <w:position w:val="10"/>
        </w:rPr>
        <w:t>年每</w:t>
      </w:r>
      <w:r>
        <w:rPr>
          <w:spacing w:val="-4"/>
          <w:position w:val="10"/>
        </w:rPr>
        <w:t>月的预测胜率</w:t>
      </w:r>
    </w:p>
    <w:p>
      <w:pPr>
        <w:pStyle w:val="BodyText"/>
        <w:spacing w:line="213" w:lineRule="auto"/>
        <w:ind w:left="369"/>
      </w:pPr>
      <w:r>
        <w:t>与</w:t>
      </w:r>
      <w:r>
        <w:rPr>
          <w:spacing w:val="-40"/>
        </w:rPr>
        <w:t xml:space="preserve"> </w:t>
      </w:r>
      <w:r>
        <w:t>CTA</w:t>
      </w:r>
      <w:r>
        <w:rPr>
          <w:spacing w:val="-40"/>
        </w:rPr>
        <w:t xml:space="preserve"> </w:t>
      </w:r>
      <w:r>
        <w:t>趋势策略真实的收益情况，可以发现</w:t>
      </w:r>
      <w:r>
        <w:rPr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真实值与预测值的判断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较为接近，预</w:t>
      </w:r>
    </w:p>
    <w:p>
      <w:pPr>
        <w:pStyle w:val="BodyText"/>
        <w:spacing w:before="98" w:line="219" w:lineRule="auto"/>
        <w:ind w:left="359"/>
      </w:pPr>
      <w:r>
        <w:rPr>
          <w:spacing w:val="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测的准确率达到</w:t>
      </w:r>
      <w:r>
        <w:rPr>
          <w:spacing w:val="1"/>
        </w:rPr>
        <w:t xml:space="preserve"> </w:t>
      </w:r>
      <w:r>
        <w:rPr>
          <w:spacing w:val="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86%</w:t>
      </w:r>
      <w:r>
        <w:rPr>
          <w:spacing w:val="1"/>
        </w:rPr>
        <w:t>。这说明根据以上因子</w:t>
      </w:r>
      <w:r>
        <w:t>所得出的预测模型能够比较准确地预</w:t>
      </w:r>
    </w:p>
    <w:p>
      <w:pPr>
        <w:pStyle w:val="BodyText"/>
        <w:spacing w:before="93" w:line="211" w:lineRule="auto"/>
        <w:ind w:left="359"/>
      </w:pPr>
      <w:r>
        <w:t>测未来</w:t>
      </w:r>
      <w:r>
        <w:rPr>
          <w:spacing w:val="-33"/>
        </w:rPr>
        <w:t xml:space="preserve"> </w:t>
      </w:r>
      <w:r>
        <w:t>CTA</w:t>
      </w:r>
      <w:r>
        <w:rPr>
          <w:spacing w:val="-35"/>
        </w:rPr>
        <w:t xml:space="preserve"> </w:t>
      </w:r>
      <w:r>
        <w:t>趋势策略的表现情况，能够对投资</w:t>
      </w:r>
      <w:r>
        <w:rPr>
          <w:spacing w:val="-1"/>
        </w:rPr>
        <w:t>者的投资决策起到一定的指导作用。</w:t>
      </w:r>
    </w:p>
    <w:p>
      <w:pPr>
        <w:pStyle w:val="BodyText"/>
        <w:spacing w:before="100" w:line="211" w:lineRule="auto"/>
        <w:ind w:left="370"/>
      </w:pPr>
      <w:r>
        <w:rPr>
          <w:spacing w:val="-8"/>
        </w:rPr>
        <w:t>另外，</w:t>
      </w:r>
      <w:r>
        <w:rPr>
          <w:spacing w:val="-8"/>
        </w:rPr>
        <w:t xml:space="preserve"> </w:t>
      </w:r>
      <w:r>
        <w:rPr>
          <w:spacing w:val="-8"/>
        </w:rPr>
        <w:t>未来还会继续进行优化，</w:t>
      </w:r>
      <w:r>
        <w:rPr>
          <w:spacing w:val="-8"/>
        </w:rPr>
        <w:t xml:space="preserve"> </w:t>
      </w:r>
      <w:r>
        <w:rPr>
          <w:spacing w:val="-8"/>
        </w:rPr>
        <w:t>持续完善</w:t>
      </w:r>
      <w:r>
        <w:rPr>
          <w:spacing w:val="-38"/>
        </w:rPr>
        <w:t xml:space="preserve"> </w:t>
      </w:r>
      <w:r>
        <w:rPr>
          <w:spacing w:val="-8"/>
        </w:rPr>
        <w:t>CTA</w:t>
      </w:r>
      <w:r>
        <w:rPr>
          <w:spacing w:val="-47"/>
        </w:rPr>
        <w:t xml:space="preserve"> </w:t>
      </w:r>
      <w:r>
        <w:rPr>
          <w:spacing w:val="-8"/>
        </w:rPr>
        <w:t>策略环境监测框架。</w:t>
      </w:r>
    </w:p>
    <w:p>
      <w:pPr>
        <w:pStyle w:val="BodyText"/>
        <w:spacing w:before="257" w:line="186" w:lineRule="auto"/>
        <w:ind w:left="784"/>
      </w:pPr>
      <w:r>
        <w:rPr>
          <w:spacing w:val="-6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风险提示：</w:t>
      </w:r>
      <w:r>
        <w:rPr>
          <w:spacing w:val="48"/>
        </w:rPr>
        <w:t xml:space="preserve"> </w:t>
      </w:r>
      <w:r>
        <w:rPr>
          <w:spacing w:val="-6"/>
        </w:rPr>
        <w:t>抽样风险、参数不适当风险、模型</w:t>
      </w:r>
      <w:r>
        <w:rPr>
          <w:spacing w:val="-7"/>
        </w:rPr>
        <w:t>不适当风险</w:t>
      </w:r>
    </w:p>
    <w:p>
      <w:pPr>
        <w:spacing w:line="186" w:lineRule="auto"/>
        <w:sectPr>
          <w:headerReference w:type="default" r:id="rId10"/>
          <w:footerReference w:type="default" r:id="rId11"/>
          <w:type w:val="nextPage"/>
          <w:pgSz w:w="11907" w:h="16839"/>
          <w:pgMar w:top="2025" w:right="566" w:bottom="2006" w:left="537" w:header="431" w:footer="830" w:gutter="0"/>
          <w:pgNumType w:start="4"/>
          <w:cols w:num="1" w:space="708" w:equalWidth="0">
            <w:col w:w="10803" w:space="0"/>
          </w:cols>
          <w:titlePg w:val="0"/>
        </w:sectPr>
      </w:pPr>
    </w:p>
    <w:p>
      <w:pPr>
        <w:spacing w:line="353" w:lineRule="auto"/>
        <w:rPr>
          <w:rFonts w:ascii="Arial"/>
          <w:sz w:val="21"/>
        </w:rPr>
      </w:pPr>
    </w:p>
    <w:sdt>
      <w:sdtPr>
        <w:rPr>
          <w:rFonts w:ascii="SimHei" w:eastAsia="SimHei" w:hAnsi="SimHei" w:cs="SimHei"/>
          <w:sz w:val="36"/>
          <w:szCs w:val="36"/>
        </w:rPr>
        <w:id w:val="219494098"/>
        <w:docPartObj>
          <w:docPartGallery w:val="Table of Contents"/>
          <w:docPartUnique/>
        </w:docPartObj>
      </w:sdtPr>
      <w:sdtEndPr>
        <w:rPr>
          <w:rFonts w:ascii="SimHei" w:eastAsia="SimHei" w:hAnsi="SimHei" w:cs="SimHei"/>
          <w:sz w:val="21"/>
          <w:szCs w:val="21"/>
        </w:rPr>
      </w:sdtEndPr>
      <w:sdtContent>
        <w:p>
          <w:pPr>
            <w:pStyle w:val="BodyText"/>
            <w:spacing w:before="117" w:line="219" w:lineRule="auto"/>
            <w:ind w:left="4608"/>
            <w:rPr>
              <w:sz w:val="36"/>
              <w:szCs w:val="36"/>
            </w:rPr>
          </w:pPr>
          <w:r>
            <w:rPr>
              <w:spacing w:val="30"/>
              <w:sz w:val="36"/>
              <w:szCs w:val="36"/>
              <w14:textOutline w14:w="6531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目录</w:t>
          </w:r>
        </w:p>
        <w:p>
          <w:pPr>
            <w:pStyle w:val="BodyText"/>
            <w:tabs>
              <w:tab w:val="right" w:leader="dot" w:pos="9810"/>
            </w:tabs>
            <w:spacing w:before="137" w:line="221" w:lineRule="auto"/>
            <w:ind w:left="36"/>
          </w:pPr>
          <w:r>
            <w:rPr>
              <w:spacing w:val="-33"/>
            </w:rPr>
            <w:t>摘要：</w:t>
          </w:r>
          <w:r>
            <w:rPr>
              <w:spacing w:val="42"/>
            </w:rPr>
            <w:t xml:space="preserve"> </w:t>
          </w:r>
          <w:r>
            <w:tab/>
          </w:r>
          <w:r>
            <w:rPr>
              <w:spacing w:val="-56"/>
            </w:rPr>
            <w:t xml:space="preserve"> </w:t>
          </w:r>
          <w:hyperlink w:anchor="bookmark1" w:history="1">
            <w:r>
              <w:t>1</w:t>
            </w:r>
          </w:hyperlink>
        </w:p>
        <w:p>
          <w:pPr>
            <w:pStyle w:val="BodyText"/>
            <w:tabs>
              <w:tab w:val="right" w:leader="dot" w:pos="9810"/>
            </w:tabs>
            <w:spacing w:before="75" w:line="220" w:lineRule="auto"/>
            <w:ind w:left="40"/>
          </w:pPr>
          <w:r>
            <w:rPr>
              <w:spacing w:val="-2"/>
            </w:rPr>
            <w:t>一、</w:t>
          </w:r>
          <w:r>
            <w:rPr>
              <w:spacing w:val="-2"/>
            </w:rPr>
            <w:t xml:space="preserve"> </w:t>
          </w:r>
          <w:r>
            <w:rPr>
              <w:spacing w:val="-2"/>
            </w:rPr>
            <w:t>CTA</w:t>
          </w:r>
          <w:r>
            <w:rPr>
              <w:spacing w:val="-38"/>
            </w:rPr>
            <w:t xml:space="preserve"> </w:t>
          </w:r>
          <w:r>
            <w:rPr>
              <w:spacing w:val="-2"/>
            </w:rPr>
            <w:t>趋势策略简介</w:t>
          </w:r>
          <w:r>
            <w:rPr>
              <w:spacing w:val="9"/>
            </w:rPr>
            <w:t xml:space="preserve"> </w:t>
          </w:r>
          <w:r>
            <w:tab/>
          </w:r>
          <w:r>
            <w:rPr>
              <w:spacing w:val="-68"/>
            </w:rPr>
            <w:t xml:space="preserve"> </w:t>
          </w:r>
          <w:hyperlink w:anchor="bookmark2" w:history="1">
            <w:r>
              <w:t>3</w:t>
            </w:r>
          </w:hyperlink>
        </w:p>
        <w:p>
          <w:pPr>
            <w:pStyle w:val="BodyText"/>
            <w:tabs>
              <w:tab w:val="right" w:leader="dot" w:pos="9810"/>
            </w:tabs>
            <w:spacing w:before="73" w:line="220" w:lineRule="auto"/>
            <w:ind w:left="40"/>
          </w:pPr>
          <w:r>
            <w:rPr>
              <w:spacing w:val="-10"/>
            </w:rPr>
            <w:t>二、</w:t>
          </w:r>
          <w:r>
            <w:rPr>
              <w:spacing w:val="71"/>
            </w:rPr>
            <w:t xml:space="preserve"> </w:t>
          </w:r>
          <w:r>
            <w:rPr>
              <w:spacing w:val="-10"/>
            </w:rPr>
            <w:t>影响因子探究</w:t>
          </w:r>
          <w:r>
            <w:rPr>
              <w:spacing w:val="-46"/>
            </w:rPr>
            <w:t xml:space="preserve"> </w:t>
          </w:r>
          <w:r>
            <w:tab/>
          </w:r>
          <w:r>
            <w:rPr>
              <w:spacing w:val="-74"/>
            </w:rPr>
            <w:t xml:space="preserve"> </w:t>
          </w:r>
          <w:hyperlink w:anchor="bookmark3" w:history="1">
            <w:r>
              <w:t>4</w:t>
            </w:r>
          </w:hyperlink>
        </w:p>
        <w:p>
          <w:pPr>
            <w:pStyle w:val="BodyText"/>
            <w:tabs>
              <w:tab w:val="right" w:leader="dot" w:pos="9810"/>
            </w:tabs>
            <w:spacing w:before="76" w:line="220" w:lineRule="auto"/>
            <w:ind w:left="532"/>
          </w:pPr>
          <w:r>
            <w:rPr>
              <w:spacing w:val="-2"/>
            </w:rPr>
            <w:t>（一）</w:t>
          </w:r>
          <w:r>
            <w:rPr>
              <w:spacing w:val="-2"/>
            </w:rPr>
            <w:t xml:space="preserve"> </w:t>
          </w:r>
          <w:r>
            <w:rPr>
              <w:spacing w:val="-2"/>
            </w:rPr>
            <w:t>宏观环境因子</w:t>
          </w:r>
          <w:r>
            <w:rPr>
              <w:spacing w:val="-2"/>
            </w:rPr>
            <w:t xml:space="preserve"> </w:t>
          </w:r>
          <w:r>
            <w:tab/>
          </w:r>
          <w:r>
            <w:rPr>
              <w:spacing w:val="-73"/>
            </w:rPr>
            <w:t xml:space="preserve"> </w:t>
          </w:r>
          <w:hyperlink w:anchor="bookmark4" w:history="1">
            <w:r>
              <w:t>5</w:t>
            </w:r>
          </w:hyperlink>
        </w:p>
        <w:p>
          <w:pPr>
            <w:pStyle w:val="BodyText"/>
            <w:tabs>
              <w:tab w:val="right" w:leader="dot" w:pos="9810"/>
            </w:tabs>
            <w:spacing w:before="76" w:line="220" w:lineRule="auto"/>
            <w:ind w:left="532"/>
          </w:pPr>
          <w:r>
            <w:rPr>
              <w:spacing w:val="-11"/>
            </w:rPr>
            <w:t>（二）</w:t>
          </w:r>
          <w:r>
            <w:rPr>
              <w:spacing w:val="93"/>
            </w:rPr>
            <w:t xml:space="preserve"> </w:t>
          </w:r>
          <w:r>
            <w:rPr>
              <w:spacing w:val="-11"/>
            </w:rPr>
            <w:t>商品市场因子</w:t>
          </w:r>
          <w:r>
            <w:rPr>
              <w:spacing w:val="-11"/>
            </w:rPr>
            <w:t xml:space="preserve"> </w:t>
          </w:r>
          <w:r>
            <w:tab/>
          </w:r>
          <w:r>
            <w:rPr>
              <w:spacing w:val="-71"/>
            </w:rPr>
            <w:t xml:space="preserve"> </w:t>
          </w:r>
          <w:hyperlink w:anchor="bookmark5" w:history="1">
            <w:r>
              <w:t>8</w:t>
            </w:r>
          </w:hyperlink>
        </w:p>
        <w:p>
          <w:pPr>
            <w:pStyle w:val="BodyText"/>
            <w:tabs>
              <w:tab w:val="right" w:leader="dot" w:pos="9810"/>
            </w:tabs>
            <w:spacing w:before="77" w:line="221" w:lineRule="auto"/>
            <w:ind w:left="41"/>
          </w:pPr>
          <w:r>
            <w:rPr>
              <w:spacing w:val="-12"/>
            </w:rPr>
            <w:t>三、</w:t>
          </w:r>
          <w:r>
            <w:rPr>
              <w:spacing w:val="86"/>
            </w:rPr>
            <w:t xml:space="preserve"> </w:t>
          </w:r>
          <w:r>
            <w:rPr>
              <w:spacing w:val="-12"/>
            </w:rPr>
            <w:t>因子框架构建</w:t>
          </w:r>
          <w:r>
            <w:rPr>
              <w:spacing w:val="-46"/>
            </w:rPr>
            <w:t xml:space="preserve"> </w:t>
          </w:r>
          <w:r>
            <w:tab/>
          </w:r>
          <w:r>
            <w:rPr>
              <w:spacing w:val="-57"/>
            </w:rPr>
            <w:t xml:space="preserve"> </w:t>
          </w:r>
          <w:hyperlink w:anchor="bookmark6" w:history="1">
            <w:r>
              <w:rPr>
                <w:spacing w:val="-5"/>
              </w:rPr>
              <w:t>13</w:t>
            </w:r>
          </w:hyperlink>
        </w:p>
        <w:p>
          <w:pPr>
            <w:pStyle w:val="BodyText"/>
            <w:tabs>
              <w:tab w:val="right" w:leader="dot" w:pos="9810"/>
            </w:tabs>
            <w:spacing w:before="74" w:line="221" w:lineRule="auto"/>
            <w:ind w:left="532"/>
          </w:pPr>
          <w:r>
            <w:rPr>
              <w:spacing w:val="-2"/>
            </w:rPr>
            <w:t>（一）</w:t>
          </w:r>
          <w:r>
            <w:rPr>
              <w:spacing w:val="-2"/>
            </w:rPr>
            <w:t xml:space="preserve"> </w:t>
          </w:r>
          <w:r>
            <w:rPr>
              <w:spacing w:val="-2"/>
            </w:rPr>
            <w:t>影响因子汇总</w:t>
          </w:r>
          <w:r>
            <w:rPr>
              <w:spacing w:val="-2"/>
            </w:rPr>
            <w:t xml:space="preserve"> </w:t>
          </w:r>
          <w:r>
            <w:tab/>
          </w:r>
          <w:r>
            <w:rPr>
              <w:spacing w:val="-57"/>
            </w:rPr>
            <w:t xml:space="preserve"> </w:t>
          </w:r>
          <w:hyperlink w:anchor="bookmark7" w:history="1">
            <w:r>
              <w:rPr>
                <w:spacing w:val="-5"/>
              </w:rPr>
              <w:t>13</w:t>
            </w:r>
          </w:hyperlink>
        </w:p>
        <w:p>
          <w:pPr>
            <w:pStyle w:val="BodyText"/>
            <w:tabs>
              <w:tab w:val="right" w:leader="dot" w:pos="9810"/>
            </w:tabs>
            <w:spacing w:before="75" w:line="220" w:lineRule="auto"/>
            <w:ind w:left="532"/>
          </w:pPr>
          <w:r>
            <w:rPr>
              <w:spacing w:val="-10"/>
            </w:rPr>
            <w:t>（二）</w:t>
          </w:r>
          <w:r>
            <w:rPr>
              <w:spacing w:val="83"/>
            </w:rPr>
            <w:t xml:space="preserve"> </w:t>
          </w:r>
          <w:r>
            <w:rPr>
              <w:spacing w:val="-10"/>
            </w:rPr>
            <w:t>指标预测分析</w:t>
          </w:r>
          <w:r>
            <w:rPr>
              <w:spacing w:val="-10"/>
            </w:rPr>
            <w:t xml:space="preserve"> </w:t>
          </w:r>
          <w:r>
            <w:tab/>
          </w:r>
          <w:r>
            <w:rPr>
              <w:spacing w:val="-57"/>
            </w:rPr>
            <w:t xml:space="preserve"> </w:t>
          </w:r>
          <w:hyperlink w:anchor="bookmark8" w:history="1">
            <w:r>
              <w:rPr>
                <w:spacing w:val="-5"/>
              </w:rPr>
              <w:t>14</w:t>
            </w:r>
          </w:hyperlink>
        </w:p>
        <w:p>
          <w:pPr>
            <w:pStyle w:val="BodyText"/>
            <w:tabs>
              <w:tab w:val="right" w:leader="dot" w:pos="9810"/>
            </w:tabs>
            <w:spacing w:before="75" w:line="224" w:lineRule="auto"/>
            <w:ind w:left="532"/>
          </w:pPr>
          <w:r>
            <w:rPr>
              <w:spacing w:val="-19"/>
            </w:rPr>
            <w:t>（三）</w:t>
          </w:r>
          <w:r>
            <w:rPr>
              <w:spacing w:val="-19"/>
            </w:rPr>
            <w:t xml:space="preserve">  </w:t>
          </w:r>
          <w:r>
            <w:rPr>
              <w:spacing w:val="-19"/>
            </w:rPr>
            <w:t>总结</w:t>
          </w:r>
          <w:r>
            <w:rPr>
              <w:spacing w:val="6"/>
            </w:rPr>
            <w:t xml:space="preserve"> </w:t>
          </w:r>
          <w:r>
            <w:tab/>
          </w:r>
          <w:r>
            <w:rPr>
              <w:spacing w:val="-57"/>
            </w:rPr>
            <w:t xml:space="preserve"> </w:t>
          </w:r>
          <w:hyperlink w:anchor="bookmark9" w:history="1">
            <w:r>
              <w:rPr>
                <w:spacing w:val="-5"/>
              </w:rPr>
              <w:t>15</w:t>
            </w:r>
          </w:hyperlink>
        </w:p>
        <w:p>
          <w:pPr>
            <w:pStyle w:val="BodyText"/>
            <w:tabs>
              <w:tab w:val="right" w:leader="dot" w:pos="9810"/>
            </w:tabs>
            <w:spacing w:before="71" w:line="220" w:lineRule="auto"/>
            <w:ind w:left="49"/>
          </w:pPr>
          <w:r>
            <w:rPr>
              <w:spacing w:val="-14"/>
            </w:rPr>
            <w:t>四、</w:t>
          </w:r>
          <w:r>
            <w:rPr>
              <w:spacing w:val="65"/>
            </w:rPr>
            <w:t xml:space="preserve"> </w:t>
          </w:r>
          <w:r>
            <w:rPr>
              <w:spacing w:val="-14"/>
            </w:rPr>
            <w:t>风险提示</w:t>
          </w:r>
          <w:r>
            <w:rPr>
              <w:spacing w:val="-48"/>
            </w:rPr>
            <w:t xml:space="preserve"> </w:t>
          </w:r>
          <w:r>
            <w:tab/>
          </w:r>
          <w:r>
            <w:rPr>
              <w:spacing w:val="-57"/>
            </w:rPr>
            <w:t xml:space="preserve"> </w:t>
          </w:r>
          <w:hyperlink w:anchor="bookmark10" w:history="1">
            <w:r>
              <w:rPr>
                <w:spacing w:val="-5"/>
              </w:rPr>
              <w:t>16</w:t>
            </w:r>
          </w:hyperlink>
        </w:p>
        <w:p>
          <w:pPr>
            <w:pStyle w:val="BodyText"/>
            <w:tabs>
              <w:tab w:val="right" w:leader="dot" w:pos="9810"/>
            </w:tabs>
            <w:spacing w:before="77" w:line="219" w:lineRule="auto"/>
            <w:ind w:left="40"/>
          </w:pPr>
          <w:r>
            <w:rPr>
              <w:spacing w:val="-3"/>
            </w:rPr>
            <w:t>免责声明</w:t>
          </w:r>
          <w:r>
            <w:rPr>
              <w:spacing w:val="-48"/>
            </w:rPr>
            <w:t xml:space="preserve"> </w:t>
          </w:r>
          <w:r>
            <w:tab/>
          </w:r>
          <w:r>
            <w:rPr>
              <w:spacing w:val="-57"/>
            </w:rPr>
            <w:t xml:space="preserve"> </w:t>
          </w:r>
          <w:hyperlink w:anchor="bookmark11" w:history="1">
            <w:r>
              <w:rPr>
                <w:spacing w:val="-5"/>
              </w:rPr>
              <w:t>17</w:t>
            </w:r>
          </w:hyperlink>
        </w:p>
      </w:sdtContent>
    </w:sdt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117" w:line="219" w:lineRule="auto"/>
        <w:ind w:left="4274"/>
        <w:rPr>
          <w:sz w:val="36"/>
          <w:szCs w:val="36"/>
        </w:rPr>
      </w:pPr>
      <w:r>
        <w:rPr>
          <w:spacing w:val="-8"/>
          <w:sz w:val="36"/>
          <w:szCs w:val="36"/>
          <w14:textOutline w14:w="6531">
            <w14:solidFill>
              <w14:srgbClr w14:val="000000"/>
            </w14:solidFill>
            <w14:prstDash w14:val="solid"/>
            <w14:miter w14:lim="10"/>
          </w14:textOutline>
        </w:rPr>
        <w:t>图表目录</w:t>
      </w:r>
    </w:p>
    <w:sdt>
      <w:sdtPr>
        <w:rPr>
          <w:rFonts w:ascii="SimHei" w:eastAsia="SimHei" w:hAnsi="SimHei" w:cs="SimHei"/>
          <w:sz w:val="21"/>
          <w:szCs w:val="21"/>
        </w:rPr>
        <w:id w:val="1731693278"/>
        <w:docPartObj>
          <w:docPartGallery w:val="Table of Contents"/>
          <w:docPartUnique/>
        </w:docPartObj>
      </w:sdtPr>
      <w:sdtEndPr>
        <w:rPr>
          <w:rFonts w:ascii="SimHei" w:eastAsia="SimHei" w:hAnsi="SimHei" w:cs="SimHei"/>
          <w:sz w:val="21"/>
          <w:szCs w:val="21"/>
        </w:rPr>
      </w:sdtEndPr>
      <w:sdtContent>
        <w:p>
          <w:pPr>
            <w:pStyle w:val="BodyText"/>
            <w:tabs>
              <w:tab w:val="right" w:leader="dot" w:pos="9800"/>
            </w:tabs>
            <w:spacing w:before="138" w:line="220" w:lineRule="auto"/>
            <w:ind w:left="49"/>
          </w:pPr>
          <w:r>
            <w:rPr>
              <w:spacing w:val="-3"/>
            </w:rPr>
            <w:t>图表</w:t>
          </w:r>
          <w:r>
            <w:rPr>
              <w:spacing w:val="27"/>
            </w:rPr>
            <w:t xml:space="preserve"> </w:t>
          </w:r>
          <w:r>
            <w:rPr>
              <w:spacing w:val="-3"/>
            </w:rPr>
            <w:t>1：CTA</w:t>
          </w:r>
          <w:r>
            <w:rPr>
              <w:spacing w:val="-45"/>
            </w:rPr>
            <w:t xml:space="preserve"> </w:t>
          </w:r>
          <w:r>
            <w:rPr>
              <w:spacing w:val="-3"/>
            </w:rPr>
            <w:t>策略收益情况</w:t>
          </w:r>
          <w:r>
            <w:rPr>
              <w:spacing w:val="-3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hyperlink w:anchor="bookmark12" w:history="1">
            <w:r>
              <w:t>3</w:t>
            </w:r>
          </w:hyperlink>
        </w:p>
        <w:p>
          <w:pPr>
            <w:pStyle w:val="BodyText"/>
            <w:tabs>
              <w:tab w:val="right" w:leader="dot" w:pos="9800"/>
            </w:tabs>
            <w:spacing w:before="76" w:line="220" w:lineRule="auto"/>
            <w:ind w:left="49"/>
          </w:pPr>
          <w:r>
            <w:rPr>
              <w:spacing w:val="-2"/>
            </w:rPr>
            <w:t>图表</w:t>
          </w:r>
          <w:r>
            <w:rPr>
              <w:spacing w:val="-2"/>
            </w:rPr>
            <w:t xml:space="preserve"> </w:t>
          </w:r>
          <w:r>
            <w:rPr>
              <w:spacing w:val="-2"/>
            </w:rPr>
            <w:t>2：样本筛选规则</w:t>
          </w:r>
          <w:r>
            <w:rPr>
              <w:spacing w:val="-40"/>
            </w:rPr>
            <w:t xml:space="preserve"> </w:t>
          </w:r>
          <w:r>
            <w:tab/>
          </w:r>
          <w:hyperlink w:anchor="bookmark13" w:history="1">
            <w:r>
              <w:rPr>
                <w:spacing w:val="20"/>
              </w:rPr>
              <w:t>4</w:t>
            </w:r>
          </w:hyperlink>
        </w:p>
        <w:p>
          <w:pPr>
            <w:pStyle w:val="BodyText"/>
            <w:tabs>
              <w:tab w:val="right" w:leader="dot" w:pos="9800"/>
            </w:tabs>
            <w:spacing w:before="76" w:line="220" w:lineRule="auto"/>
            <w:ind w:left="49"/>
          </w:pPr>
          <w:r>
            <w:rPr>
              <w:spacing w:val="-2"/>
            </w:rPr>
            <w:t>图表</w:t>
          </w:r>
          <w:r>
            <w:rPr>
              <w:spacing w:val="-2"/>
            </w:rPr>
            <w:t xml:space="preserve"> </w:t>
          </w:r>
          <w:r>
            <w:rPr>
              <w:spacing w:val="-2"/>
            </w:rPr>
            <w:t>3：宏观环境因子数据处理</w:t>
          </w:r>
          <w:r>
            <w:rPr>
              <w:spacing w:val="-27"/>
            </w:rPr>
            <w:t xml:space="preserve"> </w:t>
          </w:r>
          <w:r>
            <w:tab/>
          </w:r>
          <w:hyperlink w:anchor="bookmark14" w:history="1">
            <w:r>
              <w:rPr>
                <w:spacing w:val="21"/>
              </w:rPr>
              <w:t>5</w:t>
            </w:r>
          </w:hyperlink>
        </w:p>
        <w:p>
          <w:pPr>
            <w:pStyle w:val="BodyText"/>
            <w:tabs>
              <w:tab w:val="right" w:leader="dot" w:pos="9800"/>
            </w:tabs>
            <w:spacing w:before="76" w:line="221" w:lineRule="auto"/>
            <w:ind w:left="49"/>
          </w:pPr>
          <w:r>
            <w:rPr>
              <w:spacing w:val="-2"/>
            </w:rPr>
            <w:t>图表</w:t>
          </w:r>
          <w:r>
            <w:rPr>
              <w:spacing w:val="-2"/>
            </w:rPr>
            <w:t xml:space="preserve"> </w:t>
          </w:r>
          <w:r>
            <w:rPr>
              <w:spacing w:val="-2"/>
            </w:rPr>
            <w:t>4：CPI（月同比增速）走势</w:t>
          </w:r>
          <w:r>
            <w:rPr>
              <w:spacing w:val="-22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hyperlink w:anchor="bookmark15" w:history="1">
            <w:r>
              <w:t>6</w:t>
            </w:r>
          </w:hyperlink>
        </w:p>
        <w:p>
          <w:pPr>
            <w:pStyle w:val="BodyText"/>
            <w:tabs>
              <w:tab w:val="right" w:leader="dot" w:pos="9800"/>
            </w:tabs>
            <w:spacing w:before="73" w:line="220" w:lineRule="auto"/>
            <w:ind w:left="49"/>
          </w:pPr>
          <w:r>
            <w:rPr>
              <w:spacing w:val="-6"/>
            </w:rPr>
            <w:t>图表</w:t>
          </w:r>
          <w:r>
            <w:rPr>
              <w:spacing w:val="-6"/>
            </w:rPr>
            <w:t xml:space="preserve"> </w:t>
          </w:r>
          <w:r>
            <w:rPr>
              <w:spacing w:val="-6"/>
            </w:rPr>
            <w:t>5：按</w:t>
          </w:r>
          <w:r>
            <w:rPr>
              <w:spacing w:val="-32"/>
            </w:rPr>
            <w:t xml:space="preserve"> </w:t>
          </w:r>
          <w:r>
            <w:rPr>
              <w:spacing w:val="-6"/>
            </w:rPr>
            <w:t>CPI（月同比增速）</w:t>
          </w:r>
          <w:r>
            <w:rPr>
              <w:spacing w:val="-6"/>
            </w:rPr>
            <w:t xml:space="preserve"> </w:t>
          </w:r>
          <w:r>
            <w:rPr>
              <w:spacing w:val="-6"/>
            </w:rPr>
            <w:t>分组的策略表现</w:t>
          </w:r>
          <w:r>
            <w:rPr>
              <w:spacing w:val="-83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hyperlink w:anchor="bookmark16" w:history="1">
            <w:r>
              <w:t>6</w:t>
            </w:r>
          </w:hyperlink>
        </w:p>
        <w:p>
          <w:pPr>
            <w:pStyle w:val="BodyText"/>
            <w:tabs>
              <w:tab w:val="right" w:leader="dot" w:pos="9800"/>
            </w:tabs>
            <w:spacing w:before="77" w:line="220" w:lineRule="auto"/>
            <w:ind w:left="49"/>
          </w:pPr>
          <w:r>
            <w:rPr>
              <w:spacing w:val="-5"/>
            </w:rPr>
            <w:t>图表</w:t>
          </w:r>
          <w:r>
            <w:rPr>
              <w:spacing w:val="-5"/>
            </w:rPr>
            <w:t xml:space="preserve"> </w:t>
          </w:r>
          <w:r>
            <w:rPr>
              <w:spacing w:val="-5"/>
            </w:rPr>
            <w:t>6：人民币存款余额（月同比增速）</w:t>
          </w:r>
          <w:r>
            <w:rPr>
              <w:spacing w:val="-16"/>
            </w:rPr>
            <w:t xml:space="preserve"> </w:t>
          </w:r>
          <w:r>
            <w:rPr>
              <w:spacing w:val="-5"/>
            </w:rPr>
            <w:t>走势</w:t>
          </w:r>
          <w:r>
            <w:rPr>
              <w:spacing w:val="-34"/>
            </w:rPr>
            <w:t xml:space="preserve"> </w:t>
          </w:r>
          <w:r>
            <w:tab/>
          </w:r>
          <w:r>
            <w:rPr>
              <w:spacing w:val="-76"/>
            </w:rPr>
            <w:t xml:space="preserve"> </w:t>
          </w:r>
          <w:hyperlink w:anchor="bookmark17" w:history="1">
            <w:r>
              <w:t>7</w:t>
            </w:r>
          </w:hyperlink>
        </w:p>
        <w:p>
          <w:pPr>
            <w:pStyle w:val="BodyText"/>
            <w:tabs>
              <w:tab w:val="right" w:leader="dot" w:pos="9800"/>
            </w:tabs>
            <w:spacing w:before="76" w:line="220" w:lineRule="auto"/>
            <w:ind w:left="49"/>
          </w:pPr>
          <w:r>
            <w:rPr>
              <w:spacing w:val="-1"/>
            </w:rPr>
            <w:t>图表</w:t>
          </w:r>
          <w:r>
            <w:rPr>
              <w:spacing w:val="-1"/>
            </w:rPr>
            <w:t xml:space="preserve"> </w:t>
          </w:r>
          <w:r>
            <w:rPr>
              <w:spacing w:val="-1"/>
            </w:rPr>
            <w:t>7：按人民币存款余额（月同比增速）分组的策略表现</w:t>
          </w:r>
          <w:r>
            <w:rPr>
              <w:spacing w:val="-15"/>
            </w:rPr>
            <w:t xml:space="preserve"> </w:t>
          </w:r>
          <w:r>
            <w:tab/>
          </w:r>
          <w:r>
            <w:rPr>
              <w:spacing w:val="-77"/>
            </w:rPr>
            <w:t xml:space="preserve"> </w:t>
          </w:r>
          <w:hyperlink w:anchor="bookmark18" w:history="1">
            <w:r>
              <w:t>7</w:t>
            </w:r>
          </w:hyperlink>
        </w:p>
        <w:p>
          <w:pPr>
            <w:pStyle w:val="BodyText"/>
            <w:tabs>
              <w:tab w:val="right" w:leader="dot" w:pos="9800"/>
            </w:tabs>
            <w:spacing w:before="76" w:line="221" w:lineRule="auto"/>
            <w:ind w:left="49"/>
          </w:pPr>
          <w:r>
            <w:rPr>
              <w:spacing w:val="-1"/>
            </w:rPr>
            <w:t>图表</w:t>
          </w:r>
          <w:r>
            <w:rPr>
              <w:spacing w:val="-1"/>
            </w:rPr>
            <w:t xml:space="preserve"> </w:t>
          </w:r>
          <w:r>
            <w:rPr>
              <w:spacing w:val="-1"/>
            </w:rPr>
            <w:t>8：出口总值（月同比增速）走势</w:t>
          </w:r>
          <w:r>
            <w:rPr>
              <w:spacing w:val="-35"/>
            </w:rPr>
            <w:t xml:space="preserve"> </w:t>
          </w:r>
          <w:r>
            <w:tab/>
          </w:r>
          <w:r>
            <w:rPr>
              <w:spacing w:val="-76"/>
            </w:rPr>
            <w:t xml:space="preserve"> </w:t>
          </w:r>
          <w:hyperlink w:anchor="bookmark19" w:history="1">
            <w:r>
              <w:t>7</w:t>
            </w:r>
          </w:hyperlink>
        </w:p>
        <w:p>
          <w:pPr>
            <w:pStyle w:val="BodyText"/>
            <w:tabs>
              <w:tab w:val="right" w:leader="dot" w:pos="9800"/>
            </w:tabs>
            <w:spacing w:before="75" w:line="220" w:lineRule="auto"/>
            <w:ind w:left="49"/>
          </w:pPr>
          <w:r>
            <w:rPr>
              <w:spacing w:val="-4"/>
            </w:rPr>
            <w:t>图表</w:t>
          </w:r>
          <w:r>
            <w:rPr>
              <w:spacing w:val="-4"/>
            </w:rPr>
            <w:t xml:space="preserve"> </w:t>
          </w:r>
          <w:r>
            <w:rPr>
              <w:spacing w:val="-4"/>
            </w:rPr>
            <w:t>9：按出口总值（月同比增速）</w:t>
          </w:r>
          <w:r>
            <w:rPr>
              <w:spacing w:val="-26"/>
            </w:rPr>
            <w:t xml:space="preserve"> </w:t>
          </w:r>
          <w:r>
            <w:rPr>
              <w:spacing w:val="-4"/>
            </w:rPr>
            <w:t>分组的策略表现</w:t>
          </w:r>
          <w:r>
            <w:rPr>
              <w:spacing w:val="-29"/>
            </w:rPr>
            <w:t xml:space="preserve"> </w:t>
          </w:r>
          <w:r>
            <w:tab/>
          </w:r>
          <w:r>
            <w:rPr>
              <w:spacing w:val="-77"/>
            </w:rPr>
            <w:t xml:space="preserve"> </w:t>
          </w:r>
          <w:hyperlink w:anchor="bookmark20" w:history="1">
            <w:r>
              <w:t>7</w:t>
            </w:r>
          </w:hyperlink>
        </w:p>
        <w:p>
          <w:pPr>
            <w:pStyle w:val="BodyText"/>
            <w:tabs>
              <w:tab w:val="right" w:leader="dot" w:pos="9800"/>
            </w:tabs>
            <w:spacing w:before="76" w:line="219" w:lineRule="auto"/>
            <w:ind w:left="49"/>
          </w:pPr>
          <w:r>
            <w:rPr>
              <w:spacing w:val="-3"/>
            </w:rPr>
            <w:t>图表</w:t>
          </w:r>
          <w:r>
            <w:rPr>
              <w:spacing w:val="-3"/>
            </w:rPr>
            <w:t xml:space="preserve"> </w:t>
          </w:r>
          <w:r>
            <w:rPr>
              <w:spacing w:val="-3"/>
            </w:rPr>
            <w:t>10：美国</w:t>
          </w:r>
          <w:r>
            <w:rPr>
              <w:spacing w:val="-23"/>
            </w:rPr>
            <w:t xml:space="preserve"> </w:t>
          </w:r>
          <w:r>
            <w:rPr>
              <w:spacing w:val="-3"/>
            </w:rPr>
            <w:t>10</w:t>
          </w:r>
          <w:r>
            <w:rPr>
              <w:spacing w:val="-43"/>
            </w:rPr>
            <w:t xml:space="preserve"> </w:t>
          </w:r>
          <w:r>
            <w:rPr>
              <w:spacing w:val="-3"/>
            </w:rPr>
            <w:t>年期国债收益率走势</w:t>
          </w:r>
          <w:r>
            <w:rPr>
              <w:spacing w:val="-35"/>
            </w:rPr>
            <w:t xml:space="preserve"> </w:t>
          </w:r>
          <w:r>
            <w:tab/>
          </w:r>
          <w:r>
            <w:rPr>
              <w:spacing w:val="-79"/>
            </w:rPr>
            <w:t xml:space="preserve"> </w:t>
          </w:r>
          <w:hyperlink w:anchor="bookmark21" w:history="1">
            <w:r>
              <w:t>8</w:t>
            </w:r>
          </w:hyperlink>
        </w:p>
        <w:p>
          <w:pPr>
            <w:pStyle w:val="BodyText"/>
            <w:tabs>
              <w:tab w:val="right" w:leader="dot" w:pos="9800"/>
            </w:tabs>
            <w:spacing w:before="75" w:line="219" w:lineRule="auto"/>
            <w:ind w:left="49"/>
          </w:pPr>
          <w:r>
            <w:rPr>
              <w:spacing w:val="-2"/>
            </w:rPr>
            <w:t>图表</w:t>
          </w:r>
          <w:r>
            <w:rPr>
              <w:spacing w:val="-2"/>
            </w:rPr>
            <w:t xml:space="preserve"> </w:t>
          </w:r>
          <w:r>
            <w:rPr>
              <w:spacing w:val="-2"/>
            </w:rPr>
            <w:t>11：按美国</w:t>
          </w:r>
          <w:r>
            <w:rPr>
              <w:spacing w:val="-27"/>
            </w:rPr>
            <w:t xml:space="preserve"> </w:t>
          </w:r>
          <w:r>
            <w:rPr>
              <w:spacing w:val="-2"/>
            </w:rPr>
            <w:t>10</w:t>
          </w:r>
          <w:r>
            <w:rPr>
              <w:spacing w:val="-46"/>
            </w:rPr>
            <w:t xml:space="preserve"> </w:t>
          </w:r>
          <w:r>
            <w:rPr>
              <w:spacing w:val="-2"/>
            </w:rPr>
            <w:t>年期国债收益率分组的策略表现</w:t>
          </w:r>
          <w:r>
            <w:rPr>
              <w:spacing w:val="-28"/>
            </w:rPr>
            <w:t xml:space="preserve"> </w:t>
          </w:r>
          <w:r>
            <w:tab/>
          </w:r>
          <w:r>
            <w:rPr>
              <w:spacing w:val="-80"/>
            </w:rPr>
            <w:t xml:space="preserve"> </w:t>
          </w:r>
          <w:hyperlink w:anchor="bookmark22" w:history="1">
            <w:r>
              <w:t>8</w:t>
            </w:r>
          </w:hyperlink>
        </w:p>
        <w:p>
          <w:pPr>
            <w:pStyle w:val="BodyText"/>
            <w:tabs>
              <w:tab w:val="right" w:leader="dot" w:pos="9800"/>
            </w:tabs>
            <w:spacing w:before="77" w:line="220" w:lineRule="auto"/>
            <w:ind w:left="49"/>
          </w:pPr>
          <w:r>
            <w:rPr>
              <w:spacing w:val="-2"/>
            </w:rPr>
            <w:t>图表</w:t>
          </w:r>
          <w:r>
            <w:rPr>
              <w:spacing w:val="-2"/>
            </w:rPr>
            <w:t xml:space="preserve"> </w:t>
          </w:r>
          <w:r>
            <w:rPr>
              <w:spacing w:val="-2"/>
            </w:rPr>
            <w:t>12：商品市场因子数据处理</w:t>
          </w:r>
          <w:r>
            <w:rPr>
              <w:spacing w:val="-24"/>
            </w:rPr>
            <w:t xml:space="preserve"> </w:t>
          </w:r>
          <w:r>
            <w:tab/>
          </w:r>
          <w:hyperlink w:anchor="bookmark23" w:history="1">
            <w:r>
              <w:rPr>
                <w:spacing w:val="21"/>
              </w:rPr>
              <w:t>9</w:t>
            </w:r>
          </w:hyperlink>
        </w:p>
        <w:p>
          <w:pPr>
            <w:pStyle w:val="BodyText"/>
            <w:tabs>
              <w:tab w:val="right" w:leader="dot" w:pos="9800"/>
            </w:tabs>
            <w:spacing w:before="77" w:line="219" w:lineRule="auto"/>
            <w:ind w:left="49"/>
          </w:pPr>
          <w:r>
            <w:rPr>
              <w:spacing w:val="-4"/>
            </w:rPr>
            <w:t>图表</w:t>
          </w:r>
          <w:r>
            <w:rPr>
              <w:spacing w:val="20"/>
            </w:rPr>
            <w:t xml:space="preserve"> </w:t>
          </w:r>
          <w:r>
            <w:rPr>
              <w:spacing w:val="-4"/>
            </w:rPr>
            <w:t>13：商品品种库</w:t>
          </w:r>
          <w:r>
            <w:rPr>
              <w:spacing w:val="-43"/>
            </w:rPr>
            <w:t xml:space="preserve"> </w:t>
          </w:r>
          <w:r>
            <w:tab/>
          </w:r>
          <w:hyperlink w:anchor="bookmark24" w:history="1">
            <w:r>
              <w:rPr>
                <w:spacing w:val="20"/>
              </w:rPr>
              <w:t>9</w:t>
            </w:r>
          </w:hyperlink>
        </w:p>
        <w:p>
          <w:pPr>
            <w:pStyle w:val="BodyText"/>
            <w:tabs>
              <w:tab w:val="right" w:leader="dot" w:pos="9800"/>
            </w:tabs>
            <w:spacing w:before="77" w:line="220" w:lineRule="auto"/>
            <w:ind w:left="49"/>
          </w:pPr>
          <w:r>
            <w:rPr>
              <w:spacing w:val="-2"/>
            </w:rPr>
            <w:t>图表</w:t>
          </w:r>
          <w:r>
            <w:rPr>
              <w:spacing w:val="-2"/>
            </w:rPr>
            <w:t xml:space="preserve"> </w:t>
          </w:r>
          <w:r>
            <w:rPr>
              <w:spacing w:val="-2"/>
            </w:rPr>
            <w:t>14：市场趋势强度分位数走势</w:t>
          </w:r>
          <w:r>
            <w:rPr>
              <w:spacing w:val="-21"/>
            </w:rPr>
            <w:t xml:space="preserve"> </w:t>
          </w:r>
          <w:r>
            <w:tab/>
          </w:r>
          <w:r>
            <w:rPr>
              <w:spacing w:val="-66"/>
            </w:rPr>
            <w:t xml:space="preserve"> </w:t>
          </w:r>
          <w:hyperlink w:anchor="bookmark25" w:history="1">
            <w:r>
              <w:rPr>
                <w:spacing w:val="-5"/>
              </w:rPr>
              <w:t>10</w:t>
            </w:r>
          </w:hyperlink>
        </w:p>
        <w:p>
          <w:pPr>
            <w:pStyle w:val="BodyText"/>
            <w:tabs>
              <w:tab w:val="right" w:leader="dot" w:pos="9800"/>
            </w:tabs>
            <w:spacing w:before="76" w:line="220" w:lineRule="auto"/>
            <w:ind w:left="49"/>
          </w:pPr>
          <w:r>
            <w:rPr>
              <w:spacing w:val="-1"/>
            </w:rPr>
            <w:t>图表</w:t>
          </w:r>
          <w:r>
            <w:rPr>
              <w:spacing w:val="-1"/>
            </w:rPr>
            <w:t xml:space="preserve"> </w:t>
          </w:r>
          <w:r>
            <w:rPr>
              <w:spacing w:val="-1"/>
            </w:rPr>
            <w:t>15：按市场趋势强度分组的策略表现</w:t>
          </w:r>
          <w:r>
            <w:rPr>
              <w:spacing w:val="-32"/>
            </w:rPr>
            <w:t xml:space="preserve"> </w:t>
          </w:r>
          <w:r>
            <w:tab/>
          </w:r>
          <w:r>
            <w:rPr>
              <w:spacing w:val="-66"/>
            </w:rPr>
            <w:t xml:space="preserve"> </w:t>
          </w:r>
          <w:hyperlink w:anchor="bookmark26" w:history="1">
            <w:r>
              <w:rPr>
                <w:spacing w:val="-5"/>
              </w:rPr>
              <w:t>10</w:t>
            </w:r>
          </w:hyperlink>
        </w:p>
        <w:p>
          <w:pPr>
            <w:pStyle w:val="BodyText"/>
            <w:tabs>
              <w:tab w:val="right" w:leader="dot" w:pos="9800"/>
            </w:tabs>
            <w:spacing w:before="76" w:line="220" w:lineRule="auto"/>
            <w:ind w:left="49"/>
          </w:pPr>
          <w:r>
            <w:rPr>
              <w:spacing w:val="-2"/>
            </w:rPr>
            <w:t>图表</w:t>
          </w:r>
          <w:r>
            <w:rPr>
              <w:spacing w:val="-2"/>
            </w:rPr>
            <w:t xml:space="preserve"> </w:t>
          </w:r>
          <w:r>
            <w:rPr>
              <w:spacing w:val="-2"/>
            </w:rPr>
            <w:t>16：市场投机度分位数走势</w:t>
          </w:r>
          <w:r>
            <w:rPr>
              <w:spacing w:val="-24"/>
            </w:rPr>
            <w:t xml:space="preserve"> </w:t>
          </w:r>
          <w:r>
            <w:tab/>
          </w:r>
          <w:r>
            <w:rPr>
              <w:spacing w:val="-66"/>
            </w:rPr>
            <w:t xml:space="preserve"> </w:t>
          </w:r>
          <w:hyperlink w:anchor="bookmark27" w:history="1">
            <w:r>
              <w:rPr>
                <w:spacing w:val="-5"/>
              </w:rPr>
              <w:t>11</w:t>
            </w:r>
          </w:hyperlink>
        </w:p>
        <w:p>
          <w:pPr>
            <w:pStyle w:val="BodyText"/>
            <w:tabs>
              <w:tab w:val="right" w:leader="dot" w:pos="9800"/>
            </w:tabs>
            <w:spacing w:before="74" w:line="220" w:lineRule="auto"/>
            <w:ind w:left="49"/>
            <w:sectPr>
              <w:headerReference w:type="default" r:id="rId12"/>
              <w:footerReference w:type="default" r:id="rId13"/>
              <w:pgSz w:w="11907" w:h="16839"/>
              <w:pgMar w:top="1721" w:right="924" w:bottom="1332" w:left="991" w:header="1110" w:footer="994" w:gutter="0"/>
              <w:pgNumType w:start="5"/>
              <w:cols w:space="708"/>
            </w:sectPr>
          </w:pPr>
          <w:r>
            <w:rPr>
              <w:spacing w:val="-1"/>
            </w:rPr>
            <w:t>图表</w:t>
          </w:r>
          <w:r>
            <w:rPr>
              <w:spacing w:val="-1"/>
            </w:rPr>
            <w:t xml:space="preserve"> </w:t>
          </w:r>
          <w:r>
            <w:rPr>
              <w:spacing w:val="-1"/>
            </w:rPr>
            <w:t>17：按市场投机度分组的策略表现</w:t>
          </w:r>
          <w:r>
            <w:rPr>
              <w:spacing w:val="-34"/>
            </w:rPr>
            <w:t xml:space="preserve"> </w:t>
          </w:r>
          <w:r>
            <w:tab/>
          </w:r>
          <w:r>
            <w:rPr>
              <w:spacing w:val="-66"/>
            </w:rPr>
            <w:t xml:space="preserve"> </w:t>
          </w:r>
          <w:hyperlink w:anchor="bookmark28" w:history="1">
            <w:r>
              <w:rPr>
                <w:spacing w:val="-5"/>
              </w:rPr>
              <w:t>11</w:t>
            </w:r>
          </w:hyperlink>
        </w:p>
      </w:sdtContent>
    </w:sdt>
    <w:sdt>
      <w:sdtPr>
        <w:rPr>
          <w:rFonts w:ascii="SimHei" w:eastAsia="SimHei" w:hAnsi="SimHei" w:cs="SimHei"/>
          <w:sz w:val="21"/>
          <w:szCs w:val="21"/>
        </w:rPr>
        <w:id w:val="385878026"/>
        <w:docPartObj>
          <w:docPartGallery w:val="Table of Contents"/>
          <w:docPartUnique/>
        </w:docPartObj>
      </w:sdtPr>
      <w:sdtEndPr>
        <w:rPr>
          <w:rFonts w:ascii="SimHei" w:eastAsia="SimHei" w:hAnsi="SimHei" w:cs="SimHei"/>
          <w:sz w:val="21"/>
          <w:szCs w:val="21"/>
        </w:rPr>
      </w:sdtEndPr>
      <w:sdtContent>
        <w:p>
          <w:pPr>
            <w:pStyle w:val="BodyText"/>
            <w:tabs>
              <w:tab w:val="right" w:leader="dot" w:pos="9800"/>
            </w:tabs>
            <w:spacing w:before="77" w:line="220" w:lineRule="auto"/>
            <w:ind w:left="49"/>
          </w:pPr>
          <w:r>
            <w:rPr>
              <w:spacing w:val="-2"/>
            </w:rPr>
            <w:t>图表</w:t>
          </w:r>
          <w:r>
            <w:rPr>
              <w:spacing w:val="-2"/>
            </w:rPr>
            <w:t xml:space="preserve"> </w:t>
          </w:r>
          <w:r>
            <w:rPr>
              <w:spacing w:val="-2"/>
            </w:rPr>
            <w:t>18：市场轮动速度走势</w:t>
          </w:r>
          <w:r>
            <w:rPr>
              <w:spacing w:val="-31"/>
            </w:rPr>
            <w:t xml:space="preserve"> </w:t>
          </w:r>
          <w:r>
            <w:tab/>
          </w:r>
          <w:r>
            <w:rPr>
              <w:spacing w:val="-66"/>
            </w:rPr>
            <w:t xml:space="preserve"> </w:t>
          </w:r>
          <w:hyperlink w:anchor="bookmark29" w:history="1">
            <w:r>
              <w:rPr>
                <w:spacing w:val="-5"/>
              </w:rPr>
              <w:t>12</w:t>
            </w:r>
          </w:hyperlink>
        </w:p>
        <w:p>
          <w:pPr>
            <w:pStyle w:val="BodyText"/>
            <w:tabs>
              <w:tab w:val="right" w:leader="dot" w:pos="9800"/>
            </w:tabs>
            <w:spacing w:before="76" w:line="220" w:lineRule="auto"/>
            <w:ind w:left="49"/>
          </w:pPr>
          <w:r>
            <w:rPr>
              <w:spacing w:val="-1"/>
            </w:rPr>
            <w:t>图表</w:t>
          </w:r>
          <w:r>
            <w:rPr>
              <w:spacing w:val="-1"/>
            </w:rPr>
            <w:t xml:space="preserve"> </w:t>
          </w:r>
          <w:r>
            <w:rPr>
              <w:spacing w:val="-1"/>
            </w:rPr>
            <w:t>19：按市场轮动速度分组的策略表现</w:t>
          </w:r>
          <w:r>
            <w:rPr>
              <w:spacing w:val="-32"/>
            </w:rPr>
            <w:t xml:space="preserve"> </w:t>
          </w:r>
          <w:r>
            <w:tab/>
          </w:r>
          <w:r>
            <w:rPr>
              <w:spacing w:val="-66"/>
            </w:rPr>
            <w:t xml:space="preserve"> </w:t>
          </w:r>
          <w:hyperlink w:anchor="bookmark30" w:history="1">
            <w:r>
              <w:rPr>
                <w:spacing w:val="-5"/>
              </w:rPr>
              <w:t>12</w:t>
            </w:r>
          </w:hyperlink>
        </w:p>
        <w:p>
          <w:pPr>
            <w:pStyle w:val="BodyText"/>
            <w:tabs>
              <w:tab w:val="right" w:leader="dot" w:pos="9800"/>
            </w:tabs>
            <w:spacing w:before="76" w:line="220" w:lineRule="auto"/>
            <w:ind w:left="49"/>
          </w:pPr>
          <w:r>
            <w:rPr>
              <w:spacing w:val="-2"/>
            </w:rPr>
            <w:t>图表</w:t>
          </w:r>
          <w:r>
            <w:rPr>
              <w:spacing w:val="-2"/>
            </w:rPr>
            <w:t xml:space="preserve"> </w:t>
          </w:r>
          <w:r>
            <w:rPr>
              <w:spacing w:val="-2"/>
            </w:rPr>
            <w:t>20：成交集中度分位数走势</w:t>
          </w:r>
          <w:r>
            <w:rPr>
              <w:spacing w:val="-24"/>
            </w:rPr>
            <w:t xml:space="preserve"> </w:t>
          </w:r>
          <w:r>
            <w:tab/>
          </w:r>
          <w:r>
            <w:rPr>
              <w:spacing w:val="-66"/>
            </w:rPr>
            <w:t xml:space="preserve"> </w:t>
          </w:r>
          <w:hyperlink w:anchor="bookmark31" w:history="1">
            <w:r>
              <w:rPr>
                <w:spacing w:val="-5"/>
              </w:rPr>
              <w:t>13</w:t>
            </w:r>
          </w:hyperlink>
        </w:p>
        <w:p>
          <w:pPr>
            <w:pStyle w:val="BodyText"/>
            <w:tabs>
              <w:tab w:val="right" w:leader="dot" w:pos="9800"/>
            </w:tabs>
            <w:spacing w:before="76" w:line="220" w:lineRule="auto"/>
            <w:ind w:left="49"/>
          </w:pPr>
          <w:r>
            <w:rPr>
              <w:spacing w:val="-1"/>
            </w:rPr>
            <w:t>图表</w:t>
          </w:r>
          <w:r>
            <w:rPr>
              <w:spacing w:val="-1"/>
            </w:rPr>
            <w:t xml:space="preserve"> </w:t>
          </w:r>
          <w:r>
            <w:rPr>
              <w:spacing w:val="-1"/>
            </w:rPr>
            <w:t>21：按成交集中度分组的策略表现</w:t>
          </w:r>
          <w:r>
            <w:rPr>
              <w:spacing w:val="-34"/>
            </w:rPr>
            <w:t xml:space="preserve"> </w:t>
          </w:r>
          <w:r>
            <w:tab/>
          </w:r>
          <w:r>
            <w:rPr>
              <w:spacing w:val="-66"/>
            </w:rPr>
            <w:t xml:space="preserve"> </w:t>
          </w:r>
          <w:hyperlink w:anchor="bookmark32" w:history="1">
            <w:r>
              <w:rPr>
                <w:spacing w:val="-5"/>
              </w:rPr>
              <w:t>13</w:t>
            </w:r>
          </w:hyperlink>
        </w:p>
        <w:p>
          <w:pPr>
            <w:pStyle w:val="BodyText"/>
            <w:tabs>
              <w:tab w:val="right" w:leader="dot" w:pos="9800"/>
            </w:tabs>
            <w:spacing w:before="73" w:line="221" w:lineRule="auto"/>
            <w:ind w:left="49"/>
          </w:pPr>
          <w:r>
            <w:rPr>
              <w:spacing w:val="-2"/>
            </w:rPr>
            <w:t>图表</w:t>
          </w:r>
          <w:r>
            <w:rPr>
              <w:spacing w:val="-2"/>
            </w:rPr>
            <w:t xml:space="preserve"> </w:t>
          </w:r>
          <w:r>
            <w:rPr>
              <w:spacing w:val="-2"/>
            </w:rPr>
            <w:t>22：影响因子汇总</w:t>
          </w:r>
          <w:r>
            <w:rPr>
              <w:spacing w:val="-38"/>
            </w:rPr>
            <w:t xml:space="preserve"> </w:t>
          </w:r>
          <w:r>
            <w:tab/>
          </w:r>
          <w:r>
            <w:rPr>
              <w:spacing w:val="-66"/>
            </w:rPr>
            <w:t xml:space="preserve"> </w:t>
          </w:r>
          <w:hyperlink w:anchor="bookmark33" w:history="1">
            <w:r>
              <w:rPr>
                <w:spacing w:val="-5"/>
              </w:rPr>
              <w:t>13</w:t>
            </w:r>
          </w:hyperlink>
        </w:p>
        <w:p>
          <w:pPr>
            <w:pStyle w:val="BodyText"/>
            <w:tabs>
              <w:tab w:val="right" w:leader="dot" w:pos="9800"/>
            </w:tabs>
            <w:spacing w:before="75" w:line="221" w:lineRule="auto"/>
            <w:ind w:left="49"/>
          </w:pPr>
          <w:r>
            <w:rPr>
              <w:spacing w:val="-2"/>
            </w:rPr>
            <w:t>图表</w:t>
          </w:r>
          <w:r>
            <w:rPr>
              <w:spacing w:val="-2"/>
            </w:rPr>
            <w:t xml:space="preserve"> </w:t>
          </w:r>
          <w:r>
            <w:rPr>
              <w:spacing w:val="-2"/>
            </w:rPr>
            <w:t>23：因子相关性矩阵</w:t>
          </w:r>
          <w:r>
            <w:rPr>
              <w:spacing w:val="-35"/>
            </w:rPr>
            <w:t xml:space="preserve"> </w:t>
          </w:r>
          <w:r>
            <w:tab/>
          </w:r>
          <w:r>
            <w:rPr>
              <w:spacing w:val="-66"/>
            </w:rPr>
            <w:t xml:space="preserve"> </w:t>
          </w:r>
          <w:hyperlink w:anchor="bookmark34" w:history="1">
            <w:r>
              <w:rPr>
                <w:spacing w:val="-5"/>
              </w:rPr>
              <w:t>14</w:t>
            </w:r>
          </w:hyperlink>
        </w:p>
        <w:p>
          <w:pPr>
            <w:pStyle w:val="BodyText"/>
            <w:tabs>
              <w:tab w:val="right" w:leader="dot" w:pos="9800"/>
            </w:tabs>
            <w:spacing w:before="76" w:line="220" w:lineRule="auto"/>
            <w:ind w:left="49"/>
          </w:pPr>
          <w:r>
            <w:rPr>
              <w:spacing w:val="-2"/>
            </w:rPr>
            <w:t>图表</w:t>
          </w:r>
          <w:r>
            <w:rPr>
              <w:spacing w:val="-2"/>
            </w:rPr>
            <w:t xml:space="preserve"> </w:t>
          </w:r>
          <w:r>
            <w:rPr>
              <w:spacing w:val="-2"/>
            </w:rPr>
            <w:t>24：预测胜率与真实胜率对比</w:t>
          </w:r>
          <w:r>
            <w:rPr>
              <w:spacing w:val="-21"/>
            </w:rPr>
            <w:t xml:space="preserve"> </w:t>
          </w:r>
          <w:r>
            <w:tab/>
          </w:r>
          <w:r>
            <w:rPr>
              <w:spacing w:val="-66"/>
            </w:rPr>
            <w:t xml:space="preserve"> </w:t>
          </w:r>
          <w:hyperlink w:anchor="bookmark35" w:history="1">
            <w:r>
              <w:rPr>
                <w:spacing w:val="-5"/>
              </w:rPr>
              <w:t>15</w:t>
            </w:r>
          </w:hyperlink>
        </w:p>
        <w:p>
          <w:pPr>
            <w:pStyle w:val="BodyText"/>
            <w:tabs>
              <w:tab w:val="right" w:leader="dot" w:pos="9800"/>
            </w:tabs>
            <w:spacing w:before="76" w:line="220" w:lineRule="auto"/>
            <w:ind w:left="49"/>
          </w:pPr>
          <w:r>
            <w:rPr>
              <w:spacing w:val="-2"/>
            </w:rPr>
            <w:t>图表</w:t>
          </w:r>
          <w:r>
            <w:rPr>
              <w:spacing w:val="-2"/>
            </w:rPr>
            <w:t xml:space="preserve"> </w:t>
          </w:r>
          <w:r>
            <w:rPr>
              <w:spacing w:val="-2"/>
            </w:rPr>
            <w:t>25：预测胜率与月度收益对比</w:t>
          </w:r>
          <w:r>
            <w:rPr>
              <w:spacing w:val="-21"/>
            </w:rPr>
            <w:t xml:space="preserve"> </w:t>
          </w:r>
          <w:r>
            <w:tab/>
          </w:r>
          <w:r>
            <w:rPr>
              <w:spacing w:val="-66"/>
            </w:rPr>
            <w:t xml:space="preserve"> </w:t>
          </w:r>
          <w:hyperlink w:anchor="bookmark36" w:history="1">
            <w:r>
              <w:rPr>
                <w:spacing w:val="-5"/>
              </w:rPr>
              <w:t>15</w:t>
            </w:r>
          </w:hyperlink>
        </w:p>
      </w:sdtContent>
    </w:sdt>
    <w:p>
      <w:pPr>
        <w:spacing w:line="220" w:lineRule="auto"/>
        <w:sectPr>
          <w:headerReference w:type="default" r:id="rId14"/>
          <w:footerReference w:type="default" r:id="rId15"/>
          <w:type w:val="nextPage"/>
          <w:pgSz w:w="11907" w:h="16839"/>
          <w:pgMar w:top="1721" w:right="924" w:bottom="1332" w:left="991" w:header="1110" w:footer="994" w:gutter="0"/>
          <w:pgNumType w:start="6"/>
          <w:cols w:space="708"/>
          <w:titlePg w:val="0"/>
        </w:sectPr>
      </w:pPr>
    </w:p>
    <w:p>
      <w:pPr>
        <w:spacing w:line="258" w:lineRule="auto"/>
        <w:rPr>
          <w:rFonts w:ascii="Arial"/>
          <w:sz w:val="21"/>
        </w:rPr>
      </w:pPr>
      <w:r>
        <w:pict>
          <v:rect id="_x0000_s1036" style="width:20.7pt;height:1.5pt;margin-top:546.49pt;margin-left:107.95pt;mso-position-horizontal-relative:page;mso-position-vertical-relative:page;position:absolute;z-index:251672576" o:allowincell="f" filled="t" fillcolor="#1c1c1b" stroked="f"/>
        </w:pict>
      </w:r>
      <w:r>
        <w:pict>
          <v:rect id="_x0000_s1037" style="width:20.7pt;height:1.5pt;margin-top:559.42pt;margin-left:107.95pt;mso-position-horizontal-relative:page;mso-position-vertical-relative:page;position:absolute;z-index:251674624" o:allowincell="f" filled="t" fillcolor="#d20a10" stroked="f"/>
        </w:pict>
      </w:r>
      <w:r>
        <w:pict>
          <v:rect id="_x0000_s1038" style="width:20.7pt;height:1.5pt;margin-top:572.35pt;margin-left:107.95pt;mso-position-horizontal-relative:page;mso-position-vertical-relative:page;position:absolute;z-index:251668480" o:allowincell="f" filled="t" fillcolor="#898989" stroked="f"/>
        </w:pict>
      </w:r>
      <w:r>
        <w:pict>
          <v:rect id="_x0000_s1039" style="width:20.7pt;height:1.55pt;margin-top:585.28pt;margin-left:107.95pt;mso-position-horizontal-relative:page;mso-position-vertical-relative:page;position:absolute;z-index:251671552" o:allowincell="f" filled="t" fillcolor="#f6cecf" stroked="f"/>
        </w:pict>
      </w:r>
      <w:r>
        <w:pict>
          <v:rect id="_x0000_s1040" style="width:498.75pt;height:2.2pt;margin-top:736.06pt;margin-left:51pt;mso-position-horizontal-relative:page;mso-position-vertical-relative:page;position:absolute;z-index:251665408" o:allowincell="f" filled="t" fillcolor="#b5b5b5" stroked="f"/>
        </w:pict>
      </w:r>
      <w:r>
        <w:pict>
          <v:shape id="_x0000_s1041" type="#_x0000_t202" style="width:68.15pt;height:23.15pt;margin-top:542.86pt;margin-left:129.18pt;mso-position-horizontal-relative:page;mso-position-vertical-relative:page;position:absolute;z-index:25166438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31" w:lineRule="auto"/>
                    <w:ind w:left="21"/>
                    <w:rPr>
                      <w:sz w:val="13"/>
                      <w:szCs w:val="13"/>
                    </w:rPr>
                  </w:pPr>
                  <w:r>
                    <w:rPr>
                      <w:spacing w:val="8"/>
                      <w:sz w:val="13"/>
                      <w:szCs w:val="13"/>
                    </w:rPr>
                    <w:t>管理期货宽基指数</w:t>
                  </w:r>
                </w:p>
                <w:p>
                  <w:pPr>
                    <w:pStyle w:val="BodyText"/>
                    <w:spacing w:before="95" w:line="232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z w:val="13"/>
                      <w:szCs w:val="13"/>
                    </w:rPr>
                    <w:t>CTA</w:t>
                  </w:r>
                  <w:r>
                    <w:rPr>
                      <w:spacing w:val="10"/>
                      <w:sz w:val="13"/>
                      <w:szCs w:val="13"/>
                    </w:rPr>
                    <w:t>趋势细分策略指数</w:t>
                  </w:r>
                </w:p>
              </w:txbxContent>
            </v:textbox>
          </v:shape>
        </w:pict>
      </w:r>
      <w:r>
        <w:pict>
          <v:shape id="_x0000_s1042" style="width:2.3pt;height:154.35pt;margin-top:543.48pt;margin-left:92.39pt;mso-position-horizontal-relative:page;mso-position-vertical-relative:page;position:absolute;z-index:-251654144" coordorigin="0,0" coordsize="45,3087" o:allowincell="f" path="m5,3081l5,m5,3081l45,3081m5,2704l45,2704m5,2330l45,2330m5,1953l45,1953m5,1579l45,1579m5,1202l45,1202m5,825l45,825m5,451l45,451m5,75l45,75e" filled="f" strokecolor="black" strokeweight="0.5pt"/>
        </w:pict>
      </w: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1173327</wp:posOffset>
            </wp:positionH>
            <wp:positionV relativeFrom="page">
              <wp:posOffset>8663559</wp:posOffset>
            </wp:positionV>
            <wp:extent cx="474497" cy="204597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74497" cy="2045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0" allowOverlap="1">
            <wp:simplePos x="0" y="0"/>
            <wp:positionH relativeFrom="page">
              <wp:posOffset>4495419</wp:posOffset>
            </wp:positionH>
            <wp:positionV relativeFrom="page">
              <wp:posOffset>7048119</wp:posOffset>
            </wp:positionV>
            <wp:extent cx="314705" cy="430530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14705" cy="430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0" allowOverlap="1">
            <wp:simplePos x="0" y="0"/>
            <wp:positionH relativeFrom="page">
              <wp:posOffset>3926966</wp:posOffset>
            </wp:positionH>
            <wp:positionV relativeFrom="page">
              <wp:posOffset>7069455</wp:posOffset>
            </wp:positionV>
            <wp:extent cx="334517" cy="656081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34517" cy="6560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0" allowOverlap="1">
            <wp:simplePos x="0" y="0"/>
            <wp:positionH relativeFrom="page">
              <wp:posOffset>4914519</wp:posOffset>
            </wp:positionH>
            <wp:positionV relativeFrom="page">
              <wp:posOffset>6921754</wp:posOffset>
            </wp:positionV>
            <wp:extent cx="147065" cy="579754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47065" cy="5797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3590163</wp:posOffset>
            </wp:positionH>
            <wp:positionV relativeFrom="page">
              <wp:posOffset>7352919</wp:posOffset>
            </wp:positionV>
            <wp:extent cx="145541" cy="95250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45541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5464683</wp:posOffset>
            </wp:positionH>
            <wp:positionV relativeFrom="page">
              <wp:posOffset>7110603</wp:posOffset>
            </wp:positionV>
            <wp:extent cx="81533" cy="92202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81533" cy="922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101" w:line="224" w:lineRule="auto"/>
        <w:ind w:left="2927"/>
        <w:outlineLvl w:val="0"/>
        <w:rPr>
          <w:sz w:val="31"/>
          <w:szCs w:val="31"/>
        </w:rPr>
      </w:pPr>
      <w:bookmarkStart w:id="0" w:name="bookmark12"/>
      <w:bookmarkEnd w:id="0"/>
      <w:bookmarkStart w:id="1" w:name="bookmark2"/>
      <w:bookmarkEnd w:id="1"/>
      <w:r>
        <w:rPr>
          <w:spacing w:val="6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一、</w:t>
      </w:r>
      <w:r>
        <w:rPr>
          <w:rFonts w:ascii="Arial" w:eastAsia="Arial" w:hAnsi="Arial" w:cs="Arial"/>
          <w:b/>
          <w:bCs/>
          <w:sz w:val="31"/>
          <w:szCs w:val="31"/>
        </w:rPr>
        <w:t>CTA</w:t>
      </w:r>
      <w:r>
        <w:rPr>
          <w:rFonts w:ascii="Arial" w:eastAsia="Arial" w:hAnsi="Arial" w:cs="Arial"/>
          <w:b/>
          <w:bCs/>
          <w:spacing w:val="6"/>
          <w:sz w:val="31"/>
          <w:szCs w:val="31"/>
        </w:rPr>
        <w:t xml:space="preserve"> </w:t>
      </w:r>
      <w:r>
        <w:rPr>
          <w:spacing w:val="6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趋势策略简介</w:t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68" w:line="343" w:lineRule="auto"/>
        <w:ind w:left="2916" w:right="103" w:firstLine="420"/>
        <w:jc w:val="both"/>
      </w:pPr>
      <w:r>
        <w:t>CTA</w:t>
      </w:r>
      <w:r>
        <w:rPr>
          <w:spacing w:val="1"/>
        </w:rPr>
        <w:t xml:space="preserve"> </w:t>
      </w:r>
      <w:r>
        <w:rPr>
          <w:spacing w:val="1"/>
        </w:rPr>
        <w:t>策略，通常也称作管理期货策略，是投资于全球期货市场，以获取</w:t>
      </w:r>
      <w:r>
        <w:rPr>
          <w:spacing w:val="17"/>
        </w:rPr>
        <w:t xml:space="preserve"> </w:t>
      </w:r>
      <w:r>
        <w:rPr>
          <w:spacing w:val="-1"/>
        </w:rPr>
        <w:t>收益并收取相应的管理费和分红的一种基金策略。CTA</w:t>
      </w:r>
      <w:r>
        <w:rPr>
          <w:spacing w:val="-34"/>
        </w:rPr>
        <w:t xml:space="preserve"> </w:t>
      </w:r>
      <w:r>
        <w:rPr>
          <w:spacing w:val="-1"/>
        </w:rPr>
        <w:t>策略最早出现于</w:t>
      </w:r>
      <w:r>
        <w:rPr>
          <w:spacing w:val="-46"/>
        </w:rPr>
        <w:t xml:space="preserve"> </w:t>
      </w:r>
      <w:r>
        <w:rPr>
          <w:spacing w:val="-1"/>
        </w:rPr>
        <w:t>20</w:t>
      </w:r>
      <w:r>
        <w:rPr>
          <w:spacing w:val="-46"/>
        </w:rPr>
        <w:t xml:space="preserve"> </w:t>
      </w:r>
      <w:r>
        <w:rPr>
          <w:spacing w:val="-1"/>
        </w:rPr>
        <w:t>世</w:t>
      </w:r>
      <w:r>
        <w:t xml:space="preserve"> </w:t>
      </w:r>
      <w:r>
        <w:rPr>
          <w:spacing w:val="-1"/>
        </w:rPr>
        <w:t>纪</w:t>
      </w:r>
      <w:r>
        <w:rPr>
          <w:spacing w:val="-34"/>
        </w:rPr>
        <w:t xml:space="preserve"> </w:t>
      </w:r>
      <w:r>
        <w:rPr>
          <w:spacing w:val="-1"/>
        </w:rPr>
        <w:t>50</w:t>
      </w:r>
      <w:r>
        <w:rPr>
          <w:spacing w:val="-29"/>
        </w:rPr>
        <w:t xml:space="preserve"> </w:t>
      </w:r>
      <w:r>
        <w:rPr>
          <w:spacing w:val="-1"/>
        </w:rPr>
        <w:t>年代和</w:t>
      </w:r>
      <w:r>
        <w:rPr>
          <w:spacing w:val="-31"/>
        </w:rPr>
        <w:t xml:space="preserve"> </w:t>
      </w:r>
      <w:r>
        <w:rPr>
          <w:spacing w:val="-1"/>
        </w:rPr>
        <w:t>60</w:t>
      </w:r>
      <w:r>
        <w:rPr>
          <w:spacing w:val="-28"/>
        </w:rPr>
        <w:t xml:space="preserve"> </w:t>
      </w:r>
      <w:r>
        <w:rPr>
          <w:spacing w:val="-1"/>
        </w:rPr>
        <w:t>年代初的美国期货市场。当时，期货市场主要以商品（</w:t>
      </w:r>
      <w:r>
        <w:rPr>
          <w:spacing w:val="-2"/>
        </w:rPr>
        <w:t>如农</w:t>
      </w:r>
      <w:r>
        <w:t xml:space="preserve"> </w:t>
      </w:r>
      <w:r>
        <w:rPr>
          <w:spacing w:val="-4"/>
        </w:rPr>
        <w:t>产品、金属和能源）为基础，</w:t>
      </w:r>
      <w:r>
        <w:rPr>
          <w:spacing w:val="73"/>
        </w:rPr>
        <w:t xml:space="preserve"> </w:t>
      </w:r>
      <w:r>
        <w:rPr>
          <w:spacing w:val="-4"/>
        </w:rPr>
        <w:t>投资者开始尝试通过技术分析和量化方法来预</w:t>
      </w:r>
      <w:r>
        <w:t xml:space="preserve"> </w:t>
      </w:r>
      <w:r>
        <w:rPr>
          <w:spacing w:val="-4"/>
        </w:rPr>
        <w:t>测商品价格的走势。</w:t>
      </w:r>
      <w:r>
        <w:rPr>
          <w:spacing w:val="-4"/>
        </w:rPr>
        <w:t xml:space="preserve"> </w:t>
      </w:r>
      <w:r>
        <w:rPr>
          <w:spacing w:val="-4"/>
        </w:rPr>
        <w:t>随着全球期货市场的发展，</w:t>
      </w:r>
      <w:r>
        <w:rPr>
          <w:spacing w:val="-4"/>
        </w:rPr>
        <w:t xml:space="preserve"> </w:t>
      </w:r>
      <w:r>
        <w:rPr>
          <w:spacing w:val="-4"/>
        </w:rPr>
        <w:t>CTA</w:t>
      </w:r>
      <w:r>
        <w:rPr>
          <w:spacing w:val="-5"/>
        </w:rPr>
        <w:t xml:space="preserve"> </w:t>
      </w:r>
      <w:r>
        <w:rPr>
          <w:spacing w:val="-5"/>
        </w:rPr>
        <w:t>策略逐渐将其投资领域</w:t>
      </w:r>
      <w:r>
        <w:t xml:space="preserve"> </w:t>
      </w:r>
      <w:r>
        <w:rPr>
          <w:spacing w:val="1"/>
        </w:rPr>
        <w:t>从商品期货扩展到包括利率期货、股指期货、外汇期货在内的几乎所有期货</w:t>
      </w:r>
      <w:r>
        <w:rPr>
          <w:spacing w:val="13"/>
        </w:rPr>
        <w:t xml:space="preserve"> </w:t>
      </w:r>
      <w:r>
        <w:rPr>
          <w:spacing w:val="1"/>
        </w:rPr>
        <w:t>品种。随着计算机技术的进步，</w:t>
      </w:r>
      <w:r>
        <w:t>CTA</w:t>
      </w:r>
      <w:r>
        <w:rPr>
          <w:spacing w:val="1"/>
        </w:rPr>
        <w:t xml:space="preserve"> </w:t>
      </w:r>
      <w:r>
        <w:rPr>
          <w:spacing w:val="1"/>
        </w:rPr>
        <w:t>策略逐渐演化为更加复杂的量化交易策</w:t>
      </w:r>
      <w:r>
        <w:rPr>
          <w:spacing w:val="18"/>
        </w:rPr>
        <w:t xml:space="preserve"> </w:t>
      </w:r>
      <w:r>
        <w:t>略。机器学习、算法交易和高频交易等技术的</w:t>
      </w:r>
      <w:r>
        <w:rPr>
          <w:spacing w:val="-1"/>
        </w:rPr>
        <w:t>应用成为现代</w:t>
      </w:r>
      <w:r>
        <w:rPr>
          <w:spacing w:val="-18"/>
        </w:rPr>
        <w:t xml:space="preserve"> </w:t>
      </w:r>
      <w:r>
        <w:rPr>
          <w:spacing w:val="-1"/>
        </w:rPr>
        <w:t>CTA</w:t>
      </w:r>
      <w:r>
        <w:rPr>
          <w:spacing w:val="-21"/>
        </w:rPr>
        <w:t xml:space="preserve"> </w:t>
      </w:r>
      <w:r>
        <w:rPr>
          <w:spacing w:val="-1"/>
        </w:rPr>
        <w:t>策略的一部</w:t>
      </w:r>
    </w:p>
    <w:p>
      <w:pPr>
        <w:pStyle w:val="BodyText"/>
        <w:spacing w:line="220" w:lineRule="auto"/>
        <w:ind w:left="2923"/>
      </w:pPr>
      <w:r>
        <w:rPr>
          <w:spacing w:val="-10"/>
        </w:rPr>
        <w:t>分。</w:t>
      </w:r>
    </w:p>
    <w:p>
      <w:pPr>
        <w:pStyle w:val="BodyText"/>
        <w:spacing w:before="292" w:line="343" w:lineRule="auto"/>
        <w:ind w:left="2916" w:right="103" w:firstLine="420"/>
      </w:pPr>
      <w:r>
        <w:t>CTA</w:t>
      </w:r>
      <w:r>
        <w:rPr>
          <w:spacing w:val="1"/>
        </w:rPr>
        <w:t xml:space="preserve"> </w:t>
      </w:r>
      <w:r>
        <w:rPr>
          <w:spacing w:val="1"/>
        </w:rPr>
        <w:t>策略按交易策略来分主要有趋势跟踪策略、统计套利策略、复合策</w:t>
      </w:r>
      <w:r>
        <w:rPr>
          <w:spacing w:val="18"/>
        </w:rPr>
        <w:t xml:space="preserve"> </w:t>
      </w:r>
      <w:r>
        <w:rPr>
          <w:spacing w:val="-1"/>
        </w:rPr>
        <w:t>略等。趋势跟踪策略是</w:t>
      </w:r>
      <w:r>
        <w:rPr>
          <w:spacing w:val="-1"/>
        </w:rPr>
        <w:t xml:space="preserve"> </w:t>
      </w:r>
      <w:r>
        <w:rPr>
          <w:spacing w:val="-1"/>
        </w:rPr>
        <w:t>CTA</w:t>
      </w:r>
      <w:r>
        <w:rPr>
          <w:spacing w:val="-18"/>
        </w:rPr>
        <w:t xml:space="preserve"> </w:t>
      </w:r>
      <w:r>
        <w:rPr>
          <w:spacing w:val="-1"/>
        </w:rPr>
        <w:t>策略中最常见的一种。它的核心思想是利用市场</w:t>
      </w:r>
      <w:r>
        <w:t xml:space="preserve"> </w:t>
      </w:r>
      <w:r>
        <w:rPr>
          <w:spacing w:val="-2"/>
        </w:rPr>
        <w:t>价格趋势的方向性来进行交易，即通过跟踪商品价格走势进行追涨杀跌，</w:t>
      </w:r>
      <w:r>
        <w:rPr>
          <w:spacing w:val="-2"/>
        </w:rPr>
        <w:t xml:space="preserve"> </w:t>
      </w:r>
      <w:r>
        <w:rPr>
          <w:spacing w:val="-2"/>
        </w:rPr>
        <w:t>获</w:t>
      </w:r>
      <w:r>
        <w:rPr>
          <w:spacing w:val="11"/>
        </w:rPr>
        <w:t xml:space="preserve"> </w:t>
      </w:r>
      <w:r>
        <w:rPr>
          <w:spacing w:val="1"/>
        </w:rPr>
        <w:t>取收益。基本上，趋势跟踪策略假定市场会延续当前的趋势，并尝试从这一</w:t>
      </w:r>
      <w:r>
        <w:rPr>
          <w:spacing w:val="14"/>
        </w:rPr>
        <w:t xml:space="preserve"> </w:t>
      </w:r>
      <w:r>
        <w:rPr>
          <w:spacing w:val="1"/>
        </w:rPr>
        <w:t>趋势中获利。如果市场处于上升趋势，策略会买入期货合约；如果市场处于</w:t>
      </w:r>
      <w:r>
        <w:rPr>
          <w:spacing w:val="13"/>
        </w:rPr>
        <w:t xml:space="preserve"> </w:t>
      </w:r>
      <w:r>
        <w:rPr>
          <w:spacing w:val="1"/>
        </w:rPr>
        <w:t>下降趋势，策略会卖空期货合约。它的优势在于能够捕捉市场趋势，趋势跟</w:t>
      </w:r>
      <w:r>
        <w:rPr>
          <w:spacing w:val="16"/>
        </w:rPr>
        <w:t xml:space="preserve"> </w:t>
      </w:r>
      <w:r>
        <w:rPr>
          <w:spacing w:val="1"/>
        </w:rPr>
        <w:t>踪策略最担心的就是市场平静如水、波动率很低、商品价格趋势不明显。若</w:t>
      </w:r>
      <w:r>
        <w:rPr>
          <w:spacing w:val="13"/>
        </w:rPr>
        <w:t xml:space="preserve"> </w:t>
      </w:r>
      <w:r>
        <w:t>是趋势持续时间能够覆盖持仓周期，那么趋势跟踪策略表现会较好</w:t>
      </w:r>
      <w:r>
        <w:rPr>
          <w:spacing w:val="-59"/>
        </w:rPr>
        <w:t xml:space="preserve"> </w:t>
      </w:r>
      <w:r>
        <w:t>；反之，</w:t>
      </w:r>
    </w:p>
    <w:p>
      <w:pPr>
        <w:pStyle w:val="BodyText"/>
        <w:spacing w:before="1" w:line="219" w:lineRule="auto"/>
        <w:ind w:left="2916"/>
      </w:pPr>
      <w:r>
        <w:rPr>
          <w:spacing w:val="-1"/>
        </w:rPr>
        <w:t>在市场横盘或快速反转时则很有可能会出现回撤。</w:t>
      </w:r>
    </w:p>
    <w:p>
      <w:pPr>
        <w:pStyle w:val="BodyText"/>
        <w:spacing w:before="233" w:line="213" w:lineRule="auto"/>
        <w:ind w:left="46"/>
        <w:rPr>
          <w:sz w:val="18"/>
          <w:szCs w:val="18"/>
        </w:rPr>
      </w:pPr>
      <w:r>
        <w:rPr>
          <w:spacing w:val="-4"/>
          <w:sz w:val="18"/>
          <w:szCs w:val="18"/>
        </w:rPr>
        <w:t>图表</w:t>
      </w:r>
      <w:r>
        <w:rPr>
          <w:spacing w:val="27"/>
          <w:sz w:val="18"/>
          <w:szCs w:val="18"/>
        </w:rPr>
        <w:t xml:space="preserve"> </w:t>
      </w:r>
      <w:r>
        <w:rPr>
          <w:spacing w:val="-4"/>
          <w:sz w:val="18"/>
          <w:szCs w:val="18"/>
        </w:rPr>
        <w:t>1：CTA</w:t>
      </w:r>
      <w:r>
        <w:rPr>
          <w:spacing w:val="-37"/>
          <w:sz w:val="18"/>
          <w:szCs w:val="18"/>
        </w:rPr>
        <w:t xml:space="preserve"> </w:t>
      </w:r>
      <w:r>
        <w:rPr>
          <w:spacing w:val="-4"/>
          <w:sz w:val="18"/>
          <w:szCs w:val="18"/>
        </w:rPr>
        <w:t>策略收益情况</w:t>
      </w:r>
    </w:p>
    <w:p>
      <w:pPr>
        <w:spacing w:line="43" w:lineRule="exact"/>
        <w:ind w:firstLine="28"/>
      </w:pPr>
      <w:r>
        <w:pict>
          <v:shape id="_x0000_i1043" style="width:498.75pt;height:2.2pt;mso-position-horizontal-relative:char;mso-position-vertical-relative:line" coordorigin="0,0" coordsize="9975,44" path="m,43l108,43l108,l,l,43xem108,43l151,43l151,l108,l108,43xem151,43l9866,43l9866,l151,l151,43xem9865,43l9909,43l9909,l9865,l9865,43xem9880,43l9923,43l9923,l9880,l9880,43xem9923,43l9974,43l9974,l9923,l9923,43xe" filled="t" fillcolor="#b5b5b5" stroked="f">
            <w10:wrap type="none"/>
          </v:shape>
        </w:pict>
      </w:r>
    </w:p>
    <w:p>
      <w:pPr>
        <w:spacing w:before="50"/>
      </w:pPr>
    </w:p>
    <w:p>
      <w:pPr>
        <w:sectPr>
          <w:headerReference w:type="default" r:id="rId22"/>
          <w:footerReference w:type="default" r:id="rId23"/>
          <w:pgSz w:w="11907" w:h="16839"/>
          <w:pgMar w:top="1721" w:right="912" w:bottom="1332" w:left="991" w:header="1110" w:footer="994" w:gutter="0"/>
          <w:pgNumType w:start="7"/>
          <w:cols w:num="1" w:space="708" w:equalWidth="0">
            <w:col w:w="10003" w:space="0"/>
          </w:cols>
        </w:sectPr>
      </w:pPr>
    </w:p>
    <w:p>
      <w:pPr>
        <w:pStyle w:val="BodyText"/>
        <w:spacing w:before="29" w:line="192" w:lineRule="auto"/>
        <w:ind w:right="5"/>
        <w:jc w:val="right"/>
        <w:rPr>
          <w:sz w:val="13"/>
          <w:szCs w:val="13"/>
        </w:rPr>
      </w:pPr>
      <w:r>
        <w:rPr>
          <w:spacing w:val="3"/>
          <w:sz w:val="13"/>
          <w:szCs w:val="13"/>
        </w:rPr>
        <w:t>80%</w:t>
      </w:r>
    </w:p>
    <w:p>
      <w:pPr>
        <w:pStyle w:val="BodyText"/>
        <w:spacing w:before="241" w:line="192" w:lineRule="auto"/>
        <w:ind w:right="5"/>
        <w:jc w:val="right"/>
        <w:rPr>
          <w:sz w:val="13"/>
          <w:szCs w:val="13"/>
        </w:rPr>
      </w:pPr>
      <w:r>
        <w:rPr>
          <w:spacing w:val="2"/>
          <w:sz w:val="13"/>
          <w:szCs w:val="13"/>
        </w:rPr>
        <w:t>70%</w:t>
      </w:r>
    </w:p>
    <w:p>
      <w:pPr>
        <w:pStyle w:val="BodyText"/>
        <w:spacing w:before="240" w:line="192" w:lineRule="auto"/>
        <w:ind w:right="5"/>
        <w:jc w:val="right"/>
        <w:rPr>
          <w:sz w:val="13"/>
          <w:szCs w:val="13"/>
        </w:rPr>
      </w:pPr>
      <w:r>
        <w:rPr>
          <w:spacing w:val="2"/>
          <w:sz w:val="13"/>
          <w:szCs w:val="13"/>
        </w:rPr>
        <w:t>60%</w:t>
      </w:r>
    </w:p>
    <w:p>
      <w:pPr>
        <w:pStyle w:val="BodyText"/>
        <w:spacing w:before="240" w:line="192" w:lineRule="auto"/>
        <w:ind w:right="5"/>
        <w:jc w:val="right"/>
        <w:rPr>
          <w:sz w:val="13"/>
          <w:szCs w:val="13"/>
        </w:rPr>
      </w:pPr>
      <w:r>
        <w:rPr>
          <w:spacing w:val="3"/>
          <w:sz w:val="13"/>
          <w:szCs w:val="13"/>
        </w:rPr>
        <w:t>50%</w:t>
      </w:r>
    </w:p>
    <w:p>
      <w:pPr>
        <w:pStyle w:val="BodyText"/>
        <w:spacing w:before="241" w:line="192" w:lineRule="auto"/>
        <w:ind w:right="5"/>
        <w:jc w:val="right"/>
        <w:rPr>
          <w:sz w:val="13"/>
          <w:szCs w:val="13"/>
        </w:rPr>
      </w:pPr>
      <w:r>
        <w:rPr>
          <w:spacing w:val="4"/>
          <w:sz w:val="13"/>
          <w:szCs w:val="13"/>
        </w:rPr>
        <w:t>40%</w:t>
      </w:r>
    </w:p>
    <w:p>
      <w:pPr>
        <w:pStyle w:val="BodyText"/>
        <w:spacing w:before="241" w:line="192" w:lineRule="auto"/>
        <w:ind w:right="5"/>
        <w:jc w:val="right"/>
        <w:rPr>
          <w:sz w:val="13"/>
          <w:szCs w:val="13"/>
        </w:rPr>
      </w:pPr>
      <w:r>
        <w:rPr>
          <w:spacing w:val="2"/>
          <w:sz w:val="13"/>
          <w:szCs w:val="13"/>
        </w:rPr>
        <w:t>30%</w:t>
      </w:r>
    </w:p>
    <w:p>
      <w:pPr>
        <w:pStyle w:val="BodyText"/>
        <w:spacing w:before="240" w:line="192" w:lineRule="auto"/>
        <w:ind w:right="5"/>
        <w:jc w:val="right"/>
        <w:rPr>
          <w:sz w:val="13"/>
          <w:szCs w:val="13"/>
        </w:rPr>
      </w:pPr>
      <w:r>
        <w:rPr>
          <w:spacing w:val="3"/>
          <w:sz w:val="13"/>
          <w:szCs w:val="13"/>
        </w:rPr>
        <w:t>20%</w:t>
      </w:r>
    </w:p>
    <w:p>
      <w:pPr>
        <w:pStyle w:val="BodyText"/>
        <w:spacing w:before="241" w:line="192" w:lineRule="auto"/>
        <w:ind w:right="5"/>
        <w:jc w:val="right"/>
        <w:rPr>
          <w:sz w:val="13"/>
          <w:szCs w:val="13"/>
        </w:rPr>
      </w:pPr>
      <w:r>
        <w:rPr>
          <w:sz w:val="13"/>
          <w:szCs w:val="13"/>
        </w:rPr>
        <w:t>10%</w:t>
      </w:r>
    </w:p>
    <w:p>
      <w:pPr>
        <w:pStyle w:val="BodyText"/>
        <w:spacing w:before="241" w:line="98" w:lineRule="exact"/>
        <w:ind w:right="5"/>
        <w:jc w:val="right"/>
        <w:rPr>
          <w:sz w:val="13"/>
          <w:szCs w:val="13"/>
        </w:rPr>
      </w:pPr>
      <w:r>
        <w:rPr>
          <w:spacing w:val="2"/>
          <w:position w:val="-2"/>
          <w:sz w:val="13"/>
          <w:szCs w:val="13"/>
        </w:rPr>
        <w:t>0%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9" w:line="2922" w:lineRule="exact"/>
        <w:ind w:firstLine="717"/>
      </w:pPr>
      <w:r>
        <w:rPr>
          <w:position w:val="-58"/>
        </w:rPr>
        <w:pict>
          <v:group id="_x0000_i1044" style="width:411.3pt;height:146.1pt;mso-position-horizontal-relative:char;mso-position-vertical-relative:line" coordorigin="0,0" coordsize="8225,2922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5" type="#_x0000_t75" style="width:8225;height:2922;position:absolute" filled="f" stroked="f">
              <v:imagedata r:id="rId24" o:title=""/>
            </v:shape>
            <v:shape id="_x0000_s1046" type="#_x0000_t202" style="width:8265;height:2962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46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3" w:line="232" w:lineRule="auto"/>
                      <w:ind w:left="58"/>
                      <w:rPr>
                        <w:rFonts w:ascii="SimHei" w:eastAsia="SimHei" w:hAnsi="SimHei" w:cs="SimHei"/>
                        <w:sz w:val="13"/>
                        <w:szCs w:val="13"/>
                      </w:rPr>
                    </w:pPr>
                    <w:r>
                      <w:rPr>
                        <w:rFonts w:ascii="SimHei" w:eastAsia="SimHei" w:hAnsi="SimHei" w:cs="SimHei"/>
                        <w:sz w:val="13"/>
                        <w:szCs w:val="13"/>
                      </w:rPr>
                      <w:t>CTA</w:t>
                    </w:r>
                    <w:r>
                      <w:rPr>
                        <w:rFonts w:ascii="SimHei" w:eastAsia="SimHei" w:hAnsi="SimHei" w:cs="SimHei"/>
                        <w:spacing w:val="10"/>
                        <w:sz w:val="13"/>
                        <w:szCs w:val="13"/>
                      </w:rPr>
                      <w:t>套利细分策略指数</w:t>
                    </w:r>
                  </w:p>
                  <w:p>
                    <w:pPr>
                      <w:spacing w:before="95" w:line="232" w:lineRule="auto"/>
                      <w:ind w:left="58"/>
                      <w:rPr>
                        <w:rFonts w:ascii="SimHei" w:eastAsia="SimHei" w:hAnsi="SimHei" w:cs="SimHei"/>
                        <w:sz w:val="13"/>
                        <w:szCs w:val="13"/>
                      </w:rPr>
                    </w:pPr>
                    <w:r>
                      <w:rPr>
                        <w:rFonts w:ascii="SimHei" w:eastAsia="SimHei" w:hAnsi="SimHei" w:cs="SimHei"/>
                        <w:sz w:val="13"/>
                        <w:szCs w:val="13"/>
                      </w:rPr>
                      <w:t>CTA</w:t>
                    </w:r>
                    <w:r>
                      <w:rPr>
                        <w:rFonts w:ascii="SimHei" w:eastAsia="SimHei" w:hAnsi="SimHei" w:cs="SimHei"/>
                        <w:spacing w:val="10"/>
                        <w:sz w:val="13"/>
                        <w:szCs w:val="13"/>
                      </w:rPr>
                      <w:t>复合细分策略指数</w:t>
                    </w:r>
                    <w:r>
                      <w:rPr>
                        <w:rFonts w:ascii="SimHei" w:eastAsia="SimHei" w:hAnsi="SimHei" w:cs="SimHei"/>
                        <w:sz w:val="13"/>
                        <w:szCs w:val="13"/>
                      </w:rPr>
                      <w:br/>
                    </w:r>
                    <w:r>
                      <w:rPr>
                        <w:rFonts w:ascii="SimHei" w:eastAsia="SimHei" w:hAnsi="SimHei" w:cs="SimHei"/>
                        <w:sz w:val="13"/>
                        <w:szCs w:val="13"/>
                      </w:rPr>
                      <w:br/>
                    </w:r>
                  </w:p>
                  <w:p>
                    <w:pPr>
                      <w:kinsoku/>
                      <w:autoSpaceDE/>
                      <w:autoSpaceDN/>
                      <w:adjustRightInd/>
                      <w:snapToGrid/>
                      <w:spacing w:after="0" w:line="240" w:lineRule="auto"/>
                      <w:jc w:val="left"/>
                      <w:textAlignment w:val="auto"/>
                      <w:rPr>
                        <w:rFonts w:ascii="SimSun" w:eastAsia="SimSun" w:hAnsi="SimSun" w:cs="SimSun"/>
                        <w:b/>
                        <w:bCs/>
                        <w:noProof w:val="0"/>
                        <w:snapToGrid/>
                        <w:kern w:val="0"/>
                        <w:sz w:val="30"/>
                        <w:szCs w:val="30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noProof w:val="0"/>
                        <w:snapToGrid/>
                        <w:kern w:val="0"/>
                        <w:sz w:val="30"/>
                        <w:szCs w:val="30"/>
                      </w:rPr>
                      <w:t>以上内容仅为本文档的试下载部分，为可阅读页数的一半内容。如要下载或阅读全文，请访问：</w:t>
                    </w:r>
                    <w:hyperlink r:id="rId25" w:history="1">
                      <w:r>
                        <w:rPr>
                          <w:rFonts w:ascii="SimSun" w:eastAsia="SimSun" w:hAnsi="SimSun" w:cs="SimSun"/>
                          <w:b/>
                          <w:bCs/>
                          <w:noProof w:val="0"/>
                          <w:snapToGrid/>
                          <w:color w:val="0000EE"/>
                          <w:kern w:val="0"/>
                          <w:sz w:val="30"/>
                          <w:szCs w:val="30"/>
                          <w:u w:val="single" w:color="0000EE"/>
                        </w:rPr>
                        <w:t>https://d.book118.com/995013130234011120</w:t>
                      </w:r>
                    </w:hyperlink>
                  </w:p>
                  <w:p>
                    <w:pPr>
                      <w:spacing w:before="95" w:line="232" w:lineRule="auto"/>
                      <w:ind w:left="58"/>
                      <w:rPr>
                        <w:rFonts w:ascii="SimHei" w:eastAsia="SimHei" w:hAnsi="SimHei" w:cs="SimHei"/>
                        <w:sz w:val="13"/>
                        <w:szCs w:val="13"/>
                      </w:rPr>
                    </w:pPr>
                  </w:p>
                </w:txbxContent>
              </v:textbox>
            </v:shape>
            <w10:wrap type="none"/>
          </v:group>
        </w:pict>
      </w:r>
    </w:p>
    <w:sectPr>
      <w:headerReference w:type="default" r:id="rId26"/>
      <w:footerReference w:type="default" r:id="rId27"/>
      <w:type w:val="continuous"/>
      <w:pgSz w:w="11907" w:h="16839"/>
      <w:pgMar w:top="1721" w:right="912" w:bottom="1332" w:left="991" w:header="1110" w:footer="994" w:gutter="0"/>
      <w:pgNumType w:start="8"/>
      <w:cols w:num="2" w:space="708" w:equalWidth="0">
        <w:col w:w="757" w:space="100"/>
        <w:col w:w="914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5" w:line="232" w:lineRule="auto"/>
      <w:ind w:left="276" w:right="223" w:firstLine="5"/>
      <w:rPr>
        <w:sz w:val="18"/>
        <w:szCs w:val="18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495300</wp:posOffset>
          </wp:positionH>
          <wp:positionV relativeFrom="page">
            <wp:posOffset>9417888</wp:posOffset>
          </wp:positionV>
          <wp:extent cx="6586473" cy="6350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586473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重要提示：本报告非期货交易咨询业务项下服务，其中的观点和信息仅作参考之用，</w:t>
    </w:r>
    <w:r>
      <w:rPr>
        <w:spacing w:val="-1"/>
        <w:sz w:val="18"/>
        <w:szCs w:val="18"/>
      </w:rPr>
      <w:t xml:space="preserve"> </w:t>
    </w:r>
    <w:r>
      <w:rPr>
        <w:spacing w:val="-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不构成对任何人的投资建议。中信期货不会因</w:t>
    </w:r>
    <w:r>
      <w:rPr>
        <w:spacing w:val="3"/>
        <w:sz w:val="18"/>
        <w:szCs w:val="18"/>
      </w:rPr>
      <w:t xml:space="preserve"> </w:t>
    </w:r>
    <w:r>
      <w:rPr>
        <w:spacing w:val="-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为关注、收到或阅读本报告内容而视相关人员为客户；</w:t>
    </w:r>
    <w:r>
      <w:rPr>
        <w:spacing w:val="-1"/>
        <w:sz w:val="18"/>
        <w:szCs w:val="18"/>
      </w:rPr>
      <w:t xml:space="preserve"> </w:t>
    </w:r>
    <w:r>
      <w:rPr>
        <w:spacing w:val="-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市场有风险，投资需谨慎。如本报告涉及行</w:t>
    </w:r>
    <w:r>
      <w:rPr>
        <w:spacing w:val="-2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业分析或上市公司相关内容，旨</w:t>
    </w:r>
    <w:r>
      <w:rPr>
        <w:sz w:val="18"/>
        <w:szCs w:val="18"/>
      </w:rPr>
      <w:t xml:space="preserve"> </w:t>
    </w:r>
    <w:r>
      <w:rPr>
        <w:spacing w:val="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在对期货市场及其相关性进行比较论证，列举解释期货品种相关特性及潜在风险，不涉及对</w:t>
    </w:r>
    <w:r>
      <w:rPr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其行业或上市公司的相关推荐，不构成</w:t>
    </w:r>
    <w:r>
      <w:rPr>
        <w:sz w:val="18"/>
        <w:szCs w:val="18"/>
      </w:rPr>
      <w:t xml:space="preserve"> </w:t>
    </w:r>
    <w:r>
      <w:rPr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对任何主体进行或不进行某项行为的建议或意见，不得将本报告的任何内容据以作为中信期货所作的承诺或声明。在任何情况下，</w:t>
    </w:r>
    <w:r>
      <w:rPr>
        <w:sz w:val="18"/>
        <w:szCs w:val="18"/>
      </w:rPr>
      <w:t xml:space="preserve"> </w:t>
    </w:r>
    <w:r>
      <w:rPr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任何主体依据本报告所进行的任何作为或不作为，中信期货不承担任何责</w:t>
    </w:r>
    <w:r>
      <w:rPr>
        <w:spacing w:val="-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任。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5" w:line="232" w:lineRule="auto"/>
      <w:ind w:left="276" w:right="223" w:firstLine="5"/>
      <w:rPr>
        <w:sz w:val="18"/>
        <w:szCs w:val="18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495300</wp:posOffset>
          </wp:positionH>
          <wp:positionV relativeFrom="page">
            <wp:posOffset>9417888</wp:posOffset>
          </wp:positionV>
          <wp:extent cx="6586473" cy="6350"/>
          <wp:effectExtent l="0" t="0" r="0" b="0"/>
          <wp:wrapNone/>
          <wp:docPr id="42875062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875062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586473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重要提示：本报告非期货交易咨询业务项下服务，其中的观点和信息仅作参考之用，</w:t>
    </w:r>
    <w:r>
      <w:rPr>
        <w:spacing w:val="-1"/>
        <w:sz w:val="18"/>
        <w:szCs w:val="18"/>
      </w:rPr>
      <w:t xml:space="preserve"> </w:t>
    </w:r>
    <w:r>
      <w:rPr>
        <w:spacing w:val="-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不构成对任何人的投资建议。中信期货不会因</w:t>
    </w:r>
    <w:r>
      <w:rPr>
        <w:spacing w:val="3"/>
        <w:sz w:val="18"/>
        <w:szCs w:val="18"/>
      </w:rPr>
      <w:t xml:space="preserve"> </w:t>
    </w:r>
    <w:r>
      <w:rPr>
        <w:spacing w:val="-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为关注、收到或阅读本报告内容而视相关人员为客户；</w:t>
    </w:r>
    <w:r>
      <w:rPr>
        <w:spacing w:val="-1"/>
        <w:sz w:val="18"/>
        <w:szCs w:val="18"/>
      </w:rPr>
      <w:t xml:space="preserve"> </w:t>
    </w:r>
    <w:r>
      <w:rPr>
        <w:spacing w:val="-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市场有风险，投资需谨慎。如本报告涉及行</w:t>
    </w:r>
    <w:r>
      <w:rPr>
        <w:spacing w:val="-2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业分析或上市公司相关内容，旨</w:t>
    </w:r>
    <w:r>
      <w:rPr>
        <w:sz w:val="18"/>
        <w:szCs w:val="18"/>
      </w:rPr>
      <w:t xml:space="preserve"> </w:t>
    </w:r>
    <w:r>
      <w:rPr>
        <w:spacing w:val="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在对期货市场及其相关性进行比较论证，列举解释期货品种相关特性及潜在风险，不涉及对</w:t>
    </w:r>
    <w:r>
      <w:rPr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其行业或上市公司的相关推荐，不构成</w:t>
    </w:r>
    <w:r>
      <w:rPr>
        <w:sz w:val="18"/>
        <w:szCs w:val="18"/>
      </w:rPr>
      <w:t xml:space="preserve"> </w:t>
    </w:r>
    <w:r>
      <w:rPr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对任何主体进行或不进行某项行为的建议或意见，不得将本报告的任何内容据以作为中信期货所作的承诺或声明。在任何情况下，</w:t>
    </w:r>
    <w:r>
      <w:rPr>
        <w:sz w:val="18"/>
        <w:szCs w:val="18"/>
      </w:rPr>
      <w:t xml:space="preserve"> </w:t>
    </w:r>
    <w:r>
      <w:rPr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任何主体依据本报告所进行的任何作为或不作为，中信期货不承担任何责</w:t>
    </w:r>
    <w:r>
      <w:rPr>
        <w:spacing w:val="-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任。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5" w:line="232" w:lineRule="auto"/>
      <w:ind w:left="276" w:right="223" w:firstLine="5"/>
      <w:rPr>
        <w:sz w:val="18"/>
        <w:szCs w:val="18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495300</wp:posOffset>
          </wp:positionH>
          <wp:positionV relativeFrom="page">
            <wp:posOffset>9417888</wp:posOffset>
          </wp:positionV>
          <wp:extent cx="6586473" cy="6350"/>
          <wp:effectExtent l="0" t="0" r="0" b="0"/>
          <wp:wrapNone/>
          <wp:docPr id="1167621680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7621680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586473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重要提示：本报告非期货交易咨询业务项下服务，其中的观点和信息仅作参考之用，</w:t>
    </w:r>
    <w:r>
      <w:rPr>
        <w:spacing w:val="-1"/>
        <w:sz w:val="18"/>
        <w:szCs w:val="18"/>
      </w:rPr>
      <w:t xml:space="preserve"> </w:t>
    </w:r>
    <w:r>
      <w:rPr>
        <w:spacing w:val="-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不构成对任何人的投资建议。中信期货不会因</w:t>
    </w:r>
    <w:r>
      <w:rPr>
        <w:spacing w:val="3"/>
        <w:sz w:val="18"/>
        <w:szCs w:val="18"/>
      </w:rPr>
      <w:t xml:space="preserve"> </w:t>
    </w:r>
    <w:r>
      <w:rPr>
        <w:spacing w:val="-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为关注、收到或阅读本报告内容而视相关人员为客户；</w:t>
    </w:r>
    <w:r>
      <w:rPr>
        <w:spacing w:val="-1"/>
        <w:sz w:val="18"/>
        <w:szCs w:val="18"/>
      </w:rPr>
      <w:t xml:space="preserve"> </w:t>
    </w:r>
    <w:r>
      <w:rPr>
        <w:spacing w:val="-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市场有风险，投资需谨慎。如本报告涉及行</w:t>
    </w:r>
    <w:r>
      <w:rPr>
        <w:spacing w:val="-2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业分析或上市公司相关内容，旨</w:t>
    </w:r>
    <w:r>
      <w:rPr>
        <w:sz w:val="18"/>
        <w:szCs w:val="18"/>
      </w:rPr>
      <w:t xml:space="preserve"> </w:t>
    </w:r>
    <w:r>
      <w:rPr>
        <w:spacing w:val="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在对期货市场及其相关性进行比较论证，列举解释期货品种相关特性及潜在风险，不涉及对</w:t>
    </w:r>
    <w:r>
      <w:rPr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其行业或上市公司的相关推荐，不构成</w:t>
    </w:r>
    <w:r>
      <w:rPr>
        <w:sz w:val="18"/>
        <w:szCs w:val="18"/>
      </w:rPr>
      <w:t xml:space="preserve"> </w:t>
    </w:r>
    <w:r>
      <w:rPr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对任何主体进行或不进行某项行为的建议或意见，不得将本报告的任何内容据以作为中信期货所作的承诺或声明。在任何情况下，</w:t>
    </w:r>
    <w:r>
      <w:rPr>
        <w:sz w:val="18"/>
        <w:szCs w:val="18"/>
      </w:rPr>
      <w:t xml:space="preserve"> </w:t>
    </w:r>
    <w:r>
      <w:rPr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任何主体依据本报告所进行的任何作为或不作为，中信期货不承担任何责</w:t>
    </w:r>
    <w:r>
      <w:rPr>
        <w:spacing w:val="-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任。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5" w:line="232" w:lineRule="auto"/>
      <w:ind w:left="276" w:right="223" w:firstLine="5"/>
      <w:rPr>
        <w:sz w:val="18"/>
        <w:szCs w:val="18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495300</wp:posOffset>
          </wp:positionH>
          <wp:positionV relativeFrom="page">
            <wp:posOffset>9417888</wp:posOffset>
          </wp:positionV>
          <wp:extent cx="6586473" cy="6350"/>
          <wp:effectExtent l="0" t="0" r="0" b="0"/>
          <wp:wrapNone/>
          <wp:docPr id="1014724257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4724257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586473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重要提示：本报告非期货交易咨询业务项下服务，其中的观点和信息仅作参考之用，</w:t>
    </w:r>
    <w:r>
      <w:rPr>
        <w:spacing w:val="-1"/>
        <w:sz w:val="18"/>
        <w:szCs w:val="18"/>
      </w:rPr>
      <w:t xml:space="preserve"> </w:t>
    </w:r>
    <w:r>
      <w:rPr>
        <w:spacing w:val="-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不构成对任何人的投资建议。中信期货不会因</w:t>
    </w:r>
    <w:r>
      <w:rPr>
        <w:spacing w:val="3"/>
        <w:sz w:val="18"/>
        <w:szCs w:val="18"/>
      </w:rPr>
      <w:t xml:space="preserve"> </w:t>
    </w:r>
    <w:r>
      <w:rPr>
        <w:spacing w:val="-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为关注、收到或阅读本报告内容而视相关人员为客户；</w:t>
    </w:r>
    <w:r>
      <w:rPr>
        <w:spacing w:val="-1"/>
        <w:sz w:val="18"/>
        <w:szCs w:val="18"/>
      </w:rPr>
      <w:t xml:space="preserve"> </w:t>
    </w:r>
    <w:r>
      <w:rPr>
        <w:spacing w:val="-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市场有风险，投资需谨慎。如本报告涉及行</w:t>
    </w:r>
    <w:r>
      <w:rPr>
        <w:spacing w:val="-2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业分析或上市公司相关内容，旨</w:t>
    </w:r>
    <w:r>
      <w:rPr>
        <w:sz w:val="18"/>
        <w:szCs w:val="18"/>
      </w:rPr>
      <w:t xml:space="preserve"> </w:t>
    </w:r>
    <w:r>
      <w:rPr>
        <w:spacing w:val="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在对期货市场及其相关性进行比较论证，列举解释期货品种相关特性及潜在风险，不涉及对</w:t>
    </w:r>
    <w:r>
      <w:rPr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其行业或上市公司的相关推荐，不构成</w:t>
    </w:r>
    <w:r>
      <w:rPr>
        <w:sz w:val="18"/>
        <w:szCs w:val="18"/>
      </w:rPr>
      <w:t xml:space="preserve"> </w:t>
    </w:r>
    <w:r>
      <w:rPr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对任何主体进行或不进行某项行为的建议或意见，不得将本报告的任何内容据以作为中信期货所作的承诺或声明。在任何情况下，</w:t>
    </w:r>
    <w:r>
      <w:rPr>
        <w:sz w:val="18"/>
        <w:szCs w:val="18"/>
      </w:rPr>
      <w:t xml:space="preserve"> </w:t>
    </w:r>
    <w:r>
      <w:rPr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任何主体依据本报告所进行的任何作为或不作为，中信期货不承担任何责</w:t>
    </w:r>
    <w:r>
      <w:rPr>
        <w:spacing w:val="-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任。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17" w:line="216" w:lineRule="auto"/>
      <w:ind w:left="36"/>
      <w:rPr>
        <w:sz w:val="18"/>
        <w:szCs w:val="18"/>
      </w:rPr>
    </w:pPr>
    <w:r>
      <w:pict>
        <v:shape id="_x0000_s2054" style="width:492pt;height:0.5pt;margin-top:775.3pt;margin-left:49.56pt;mso-position-horizontal-relative:page;mso-position-vertical-relative:page;position:absolute;z-index:251663360" coordorigin="0,0" coordsize="9840,10" o:allowincell="f" path="m,9l9839,9l9839,l,l,9xe" filled="t" fillcolor="black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37.75pt;height:17.2pt;margin-top:2.28pt;margin-left:453.67pt;position:absolute;z-index:251662336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33" w:lineRule="auto"/>
                  <w:ind w:left="20"/>
                  <w:rPr>
                    <w:sz w:val="24"/>
                    <w:szCs w:val="24"/>
                  </w:rPr>
                </w:pPr>
                <w:r>
                  <w:rPr>
                    <w:spacing w:val="-6"/>
                    <w:sz w:val="24"/>
                    <w:szCs w:val="24"/>
                    <w14:textOutline w14:w="4354">
                      <w14:solidFill>
                        <w14:srgbClr w14:val="000000"/>
                      </w14:solidFill>
                      <w14:prstDash w14:val="solid"/>
                      <w14:miter w14:lim="10"/>
                    </w14:textOutline>
                  </w:rPr>
                  <w:t>2</w:t>
                </w:r>
                <w:r>
                  <w:rPr>
                    <w:spacing w:val="7"/>
                    <w:sz w:val="24"/>
                    <w:szCs w:val="24"/>
                  </w:rPr>
                  <w:t xml:space="preserve"> </w:t>
                </w:r>
                <w:r>
                  <w:rPr>
                    <w:spacing w:val="-6"/>
                    <w:sz w:val="24"/>
                    <w:szCs w:val="24"/>
                  </w:rPr>
                  <w:t>/</w:t>
                </w:r>
                <w:r>
                  <w:rPr>
                    <w:spacing w:val="21"/>
                    <w:sz w:val="24"/>
                    <w:szCs w:val="24"/>
                  </w:rPr>
                  <w:t xml:space="preserve"> </w:t>
                </w:r>
                <w:r>
                  <w:rPr>
                    <w:spacing w:val="-6"/>
                    <w:sz w:val="24"/>
                    <w:szCs w:val="24"/>
                    <w14:textOutline w14:w="4354">
                      <w14:solidFill>
                        <w14:srgbClr w14:val="000000"/>
                      </w14:solidFill>
                      <w14:prstDash w14:val="solid"/>
                      <w14:miter w14:lim="10"/>
                    </w14:textOutline>
                  </w:rPr>
                  <w:t>17</w:t>
                </w:r>
              </w:p>
            </w:txbxContent>
          </v:textbox>
        </v:shape>
      </w:pict>
    </w:r>
    <w:r>
      <w:rPr>
        <w:spacing w:val="-1"/>
        <w:sz w:val="18"/>
        <w:szCs w:val="18"/>
      </w:rPr>
      <w:t>请务必阅读正文之后的免责声明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17" w:line="216" w:lineRule="auto"/>
      <w:ind w:left="36"/>
      <w:rPr>
        <w:sz w:val="18"/>
        <w:szCs w:val="18"/>
      </w:rPr>
    </w:pPr>
    <w:r>
      <w:pict>
        <v:shape id="_x0000_s2057" style="width:492pt;height:0.5pt;margin-top:775.3pt;margin-left:49.56pt;mso-position-horizontal-relative:page;mso-position-vertical-relative:page;position:absolute;z-index:251665408" coordorigin="0,0" coordsize="9840,10" o:allowincell="f" path="m,9l9839,9l9839,l,l,9xe" filled="t" fillcolor="black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37.75pt;height:17.2pt;margin-top:2.28pt;margin-left:453.67pt;position:absolute;z-index:251664384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33" w:lineRule="auto"/>
                  <w:ind w:left="20"/>
                  <w:rPr>
                    <w:sz w:val="24"/>
                    <w:szCs w:val="24"/>
                  </w:rPr>
                </w:pPr>
                <w:r>
                  <w:rPr>
                    <w:spacing w:val="-6"/>
                    <w:sz w:val="24"/>
                    <w:szCs w:val="24"/>
                    <w14:textOutline w14:w="4354">
                      <w14:solidFill>
                        <w14:srgbClr w14:val="000000"/>
                      </w14:solidFill>
                      <w14:prstDash w14:val="solid"/>
                      <w14:miter w14:lim="10"/>
                    </w14:textOutline>
                  </w:rPr>
                  <w:t>2</w:t>
                </w:r>
                <w:r>
                  <w:rPr>
                    <w:spacing w:val="7"/>
                    <w:sz w:val="24"/>
                    <w:szCs w:val="24"/>
                  </w:rPr>
                  <w:t xml:space="preserve"> </w:t>
                </w:r>
                <w:r>
                  <w:rPr>
                    <w:spacing w:val="-6"/>
                    <w:sz w:val="24"/>
                    <w:szCs w:val="24"/>
                  </w:rPr>
                  <w:t>/</w:t>
                </w:r>
                <w:r>
                  <w:rPr>
                    <w:spacing w:val="21"/>
                    <w:sz w:val="24"/>
                    <w:szCs w:val="24"/>
                  </w:rPr>
                  <w:t xml:space="preserve"> </w:t>
                </w:r>
                <w:r>
                  <w:rPr>
                    <w:spacing w:val="-6"/>
                    <w:sz w:val="24"/>
                    <w:szCs w:val="24"/>
                    <w14:textOutline w14:w="4354">
                      <w14:solidFill>
                        <w14:srgbClr w14:val="000000"/>
                      </w14:solidFill>
                      <w14:prstDash w14:val="solid"/>
                      <w14:miter w14:lim="10"/>
                    </w14:textOutline>
                  </w:rPr>
                  <w:t>17</w:t>
                </w:r>
              </w:p>
            </w:txbxContent>
          </v:textbox>
        </v:shape>
      </w:pict>
    </w:r>
    <w:r>
      <w:rPr>
        <w:spacing w:val="-1"/>
        <w:sz w:val="18"/>
        <w:szCs w:val="18"/>
      </w:rPr>
      <w:t>请务必阅读正文之后的免责声明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17" w:line="216" w:lineRule="auto"/>
      <w:ind w:left="36"/>
      <w:rPr>
        <w:sz w:val="18"/>
        <w:szCs w:val="18"/>
      </w:rPr>
    </w:pPr>
    <w:r>
      <w:pict>
        <v:shape id="_x0000_s2060" style="width:492pt;height:0.5pt;margin-top:775.3pt;margin-left:49.56pt;mso-position-horizontal-relative:page;mso-position-vertical-relative:page;position:absolute;z-index:251667456" coordorigin="0,0" coordsize="9840,10" o:allowincell="f" path="m,9l9839,9l9839,l,l,9xe" filled="t" fillcolor="black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37.7pt;height:17.2pt;margin-top:2.28pt;margin-left:453.77pt;position:absolute;z-index:251666432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33" w:lineRule="auto"/>
                  <w:ind w:left="20"/>
                  <w:rPr>
                    <w:sz w:val="24"/>
                    <w:szCs w:val="24"/>
                  </w:rPr>
                </w:pPr>
                <w:r>
                  <w:rPr>
                    <w:spacing w:val="-7"/>
                    <w:sz w:val="24"/>
                    <w:szCs w:val="24"/>
                    <w14:textOutline w14:w="4354">
                      <w14:solidFill>
                        <w14:srgbClr w14:val="000000"/>
                      </w14:solidFill>
                      <w14:prstDash w14:val="solid"/>
                      <w14:miter w14:lim="10"/>
                    </w14:textOutline>
                  </w:rPr>
                  <w:t>3</w:t>
                </w:r>
                <w:r>
                  <w:rPr>
                    <w:spacing w:val="9"/>
                    <w:sz w:val="24"/>
                    <w:szCs w:val="24"/>
                  </w:rPr>
                  <w:t xml:space="preserve"> </w:t>
                </w:r>
                <w:r>
                  <w:rPr>
                    <w:spacing w:val="-7"/>
                    <w:sz w:val="24"/>
                    <w:szCs w:val="24"/>
                  </w:rPr>
                  <w:t>/</w:t>
                </w:r>
                <w:r>
                  <w:rPr>
                    <w:spacing w:val="21"/>
                    <w:sz w:val="24"/>
                    <w:szCs w:val="24"/>
                  </w:rPr>
                  <w:t xml:space="preserve"> </w:t>
                </w:r>
                <w:r>
                  <w:rPr>
                    <w:spacing w:val="-7"/>
                    <w:sz w:val="24"/>
                    <w:szCs w:val="24"/>
                    <w14:textOutline w14:w="4354">
                      <w14:solidFill>
                        <w14:srgbClr w14:val="000000"/>
                      </w14:solidFill>
                      <w14:prstDash w14:val="solid"/>
                      <w14:miter w14:lim="10"/>
                    </w14:textOutline>
                  </w:rPr>
                  <w:t>17</w:t>
                </w:r>
              </w:p>
            </w:txbxContent>
          </v:textbox>
        </v:shape>
      </w:pict>
    </w:r>
    <w:r>
      <w:rPr>
        <w:spacing w:val="-1"/>
        <w:sz w:val="18"/>
        <w:szCs w:val="18"/>
      </w:rPr>
      <w:t>请务必阅读正文之后的免责声明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17" w:line="216" w:lineRule="auto"/>
      <w:ind w:left="36"/>
      <w:rPr>
        <w:sz w:val="18"/>
        <w:szCs w:val="18"/>
      </w:rPr>
    </w:pPr>
    <w:r>
      <w:pict>
        <v:shape id="_x0000_s2063" style="width:492pt;height:0.5pt;margin-top:775.3pt;margin-left:49.56pt;mso-position-horizontal-relative:page;mso-position-vertical-relative:page;position:absolute;z-index:251669504" coordorigin="0,0" coordsize="9840,10" o:allowincell="f" path="m,9l9839,9l9839,l,l,9xe" filled="t" fillcolor="black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37.7pt;height:17.2pt;margin-top:2.28pt;margin-left:453.77pt;position:absolute;z-index:251668480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33" w:lineRule="auto"/>
                  <w:ind w:left="20"/>
                  <w:rPr>
                    <w:sz w:val="24"/>
                    <w:szCs w:val="24"/>
                  </w:rPr>
                </w:pPr>
                <w:r>
                  <w:rPr>
                    <w:spacing w:val="-7"/>
                    <w:sz w:val="24"/>
                    <w:szCs w:val="24"/>
                    <w14:textOutline w14:w="4354">
                      <w14:solidFill>
                        <w14:srgbClr w14:val="000000"/>
                      </w14:solidFill>
                      <w14:prstDash w14:val="solid"/>
                      <w14:miter w14:lim="10"/>
                    </w14:textOutline>
                  </w:rPr>
                  <w:t>3</w:t>
                </w:r>
                <w:r>
                  <w:rPr>
                    <w:spacing w:val="9"/>
                    <w:sz w:val="24"/>
                    <w:szCs w:val="24"/>
                  </w:rPr>
                  <w:t xml:space="preserve"> </w:t>
                </w:r>
                <w:r>
                  <w:rPr>
                    <w:spacing w:val="-7"/>
                    <w:sz w:val="24"/>
                    <w:szCs w:val="24"/>
                  </w:rPr>
                  <w:t>/</w:t>
                </w:r>
                <w:r>
                  <w:rPr>
                    <w:spacing w:val="21"/>
                    <w:sz w:val="24"/>
                    <w:szCs w:val="24"/>
                  </w:rPr>
                  <w:t xml:space="preserve"> </w:t>
                </w:r>
                <w:r>
                  <w:rPr>
                    <w:spacing w:val="-7"/>
                    <w:sz w:val="24"/>
                    <w:szCs w:val="24"/>
                    <w14:textOutline w14:w="4354">
                      <w14:solidFill>
                        <w14:srgbClr w14:val="000000"/>
                      </w14:solidFill>
                      <w14:prstDash w14:val="solid"/>
                      <w14:miter w14:lim="10"/>
                    </w14:textOutline>
                  </w:rPr>
                  <w:t>17</w:t>
                </w:r>
              </w:p>
            </w:txbxContent>
          </v:textbox>
        </v:shape>
      </w:pict>
    </w:r>
    <w:r>
      <w:rPr>
        <w:spacing w:val="-1"/>
        <w:sz w:val="18"/>
        <w:szCs w:val="18"/>
      </w:rPr>
      <w:t>请务必阅读正文之后的免责声明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940" w:lineRule="exact"/>
      <w:ind w:left="23"/>
    </w:pPr>
    <w:r>
      <w:rPr>
        <w:position w:val="-19"/>
      </w:rPr>
      <w:drawing>
        <wp:inline distT="0" distB="0" distL="0" distR="0">
          <wp:extent cx="1943735" cy="597522"/>
          <wp:effectExtent l="0" t="0" r="0" b="0"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943735" cy="59752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spacing w:before="283" w:line="214" w:lineRule="auto"/>
      <w:ind w:left="207"/>
      <w:rPr>
        <w:sz w:val="30"/>
        <w:szCs w:val="3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column">
            <wp:posOffset>18668</wp:posOffset>
          </wp:positionH>
          <wp:positionV relativeFrom="paragraph">
            <wp:posOffset>106422</wp:posOffset>
          </wp:positionV>
          <wp:extent cx="5039994" cy="307975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5039994" cy="3079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72.2pt;height:15.95pt;margin-top:13.41pt;margin-left:430.94pt;position:absolute;z-index:251659264" filled="f" stroked="f">
          <o:lock v:ext="edit" aspectratio="f"/>
          <v:textbox inset="0,0,0,0">
            <w:txbxContent>
              <w:p>
                <w:pPr>
                  <w:pStyle w:val="BodyText"/>
                  <w:spacing w:before="19" w:line="184" w:lineRule="auto"/>
                  <w:ind w:left="20"/>
                  <w:rPr>
                    <w:sz w:val="28"/>
                    <w:szCs w:val="28"/>
                  </w:rPr>
                </w:pPr>
                <w:r>
                  <w:rPr>
                    <w:color w:val="D20A06"/>
                    <w:sz w:val="28"/>
                    <w:szCs w:val="28"/>
                    <w14:textOutline w14:w="5094">
                      <w14:solidFill>
                        <w14:srgbClr w14:val="D20A06"/>
                      </w14:solidFill>
                      <w14:prstDash w14:val="solid"/>
                      <w14:miter w14:lim="10"/>
                    </w14:textOutline>
                  </w:rPr>
                  <w:t>2024-03-08</w:t>
                </w:r>
              </w:p>
            </w:txbxContent>
          </v:textbox>
        </v:shape>
      </w:pict>
    </w:r>
    <w:r>
      <w:rPr>
        <w:color w:val="FFFFFF"/>
        <w:spacing w:val="-2"/>
        <w:sz w:val="30"/>
        <w:szCs w:val="30"/>
        <w14:textOutline w14:w="5442">
          <w14:solidFill>
            <w14:srgbClr w14:val="FFFFFF"/>
          </w14:solidFill>
          <w14:prstDash w14:val="solid"/>
          <w14:miter w14:lim="10"/>
        </w14:textOutline>
      </w:rPr>
      <w:t>中信期货研究|金融工程专题报告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940" w:lineRule="exact"/>
      <w:ind w:left="23"/>
    </w:pPr>
    <w:r>
      <w:rPr>
        <w:position w:val="-19"/>
      </w:rPr>
      <w:drawing>
        <wp:inline distT="0" distB="0" distL="0" distR="0">
          <wp:extent cx="1943735" cy="597522"/>
          <wp:effectExtent l="0" t="0" r="0" b="0"/>
          <wp:docPr id="244958059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4958059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943735" cy="59752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spacing w:before="283" w:line="214" w:lineRule="auto"/>
      <w:ind w:left="207"/>
      <w:rPr>
        <w:sz w:val="30"/>
        <w:szCs w:val="3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column">
            <wp:posOffset>18668</wp:posOffset>
          </wp:positionH>
          <wp:positionV relativeFrom="paragraph">
            <wp:posOffset>106422</wp:posOffset>
          </wp:positionV>
          <wp:extent cx="5039994" cy="307975"/>
          <wp:effectExtent l="0" t="0" r="0" b="0"/>
          <wp:wrapNone/>
          <wp:docPr id="175445558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4455584" name="IM 4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5039994" cy="3079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72.2pt;height:15.95pt;margin-top:13.41pt;margin-left:430.94pt;position:absolute;z-index:251661312" filled="f" stroked="f">
          <o:lock v:ext="edit" aspectratio="f"/>
          <v:textbox inset="0,0,0,0">
            <w:txbxContent>
              <w:p>
                <w:pPr>
                  <w:pStyle w:val="BodyText"/>
                  <w:spacing w:before="19" w:line="184" w:lineRule="auto"/>
                  <w:ind w:left="20"/>
                  <w:rPr>
                    <w:sz w:val="28"/>
                    <w:szCs w:val="28"/>
                  </w:rPr>
                </w:pPr>
                <w:r>
                  <w:rPr>
                    <w:color w:val="D20A06"/>
                    <w:sz w:val="28"/>
                    <w:szCs w:val="28"/>
                    <w14:textOutline w14:w="5094">
                      <w14:solidFill>
                        <w14:srgbClr w14:val="D20A06"/>
                      </w14:solidFill>
                      <w14:prstDash w14:val="solid"/>
                      <w14:miter w14:lim="10"/>
                    </w14:textOutline>
                  </w:rPr>
                  <w:t>2024-03-08</w:t>
                </w:r>
              </w:p>
            </w:txbxContent>
          </v:textbox>
        </v:shape>
      </w:pict>
    </w:r>
    <w:r>
      <w:rPr>
        <w:color w:val="FFFFFF"/>
        <w:spacing w:val="-2"/>
        <w:sz w:val="30"/>
        <w:szCs w:val="30"/>
        <w14:textOutline w14:w="5442">
          <w14:solidFill>
            <w14:srgbClr w14:val="FFFFFF"/>
          </w14:solidFill>
          <w14:prstDash w14:val="solid"/>
          <w14:miter w14:lim="10"/>
        </w14:textOutline>
      </w:rPr>
      <w:t>中信期货研究|金融工程专题报告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940" w:lineRule="exact"/>
      <w:ind w:left="23"/>
    </w:pPr>
    <w:r>
      <w:rPr>
        <w:position w:val="-19"/>
      </w:rPr>
      <w:drawing>
        <wp:inline distT="0" distB="0" distL="0" distR="0">
          <wp:extent cx="1943735" cy="597522"/>
          <wp:effectExtent l="0" t="0" r="0" b="0"/>
          <wp:docPr id="1788727839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8727839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943735" cy="59752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spacing w:before="283" w:line="214" w:lineRule="auto"/>
      <w:ind w:left="207"/>
      <w:rPr>
        <w:sz w:val="30"/>
        <w:szCs w:val="3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column">
            <wp:posOffset>18668</wp:posOffset>
          </wp:positionH>
          <wp:positionV relativeFrom="paragraph">
            <wp:posOffset>106422</wp:posOffset>
          </wp:positionV>
          <wp:extent cx="5039994" cy="307975"/>
          <wp:effectExtent l="0" t="0" r="0" b="0"/>
          <wp:wrapNone/>
          <wp:docPr id="694964313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4964313" name="IM 4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5039994" cy="3079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72.2pt;height:15.95pt;margin-top:13.41pt;margin-left:430.94pt;position:absolute;z-index:251663360" filled="f" stroked="f">
          <o:lock v:ext="edit" aspectratio="f"/>
          <v:textbox inset="0,0,0,0">
            <w:txbxContent>
              <w:p>
                <w:pPr>
                  <w:pStyle w:val="BodyText"/>
                  <w:spacing w:before="19" w:line="184" w:lineRule="auto"/>
                  <w:ind w:left="20"/>
                  <w:rPr>
                    <w:sz w:val="28"/>
                    <w:szCs w:val="28"/>
                  </w:rPr>
                </w:pPr>
                <w:r>
                  <w:rPr>
                    <w:color w:val="D20A06"/>
                    <w:sz w:val="28"/>
                    <w:szCs w:val="28"/>
                    <w14:textOutline w14:w="5094">
                      <w14:solidFill>
                        <w14:srgbClr w14:val="D20A06"/>
                      </w14:solidFill>
                      <w14:prstDash w14:val="solid"/>
                      <w14:miter w14:lim="10"/>
                    </w14:textOutline>
                  </w:rPr>
                  <w:t>2024-03-08</w:t>
                </w:r>
              </w:p>
            </w:txbxContent>
          </v:textbox>
        </v:shape>
      </w:pict>
    </w:r>
    <w:r>
      <w:rPr>
        <w:color w:val="FFFFFF"/>
        <w:spacing w:val="-2"/>
        <w:sz w:val="30"/>
        <w:szCs w:val="30"/>
        <w14:textOutline w14:w="5442">
          <w14:solidFill>
            <w14:srgbClr w14:val="FFFFFF"/>
          </w14:solidFill>
          <w14:prstDash w14:val="solid"/>
          <w14:miter w14:lim="10"/>
        </w14:textOutline>
      </w:rPr>
      <w:t>中信期货研究|金融工程专题报告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940" w:lineRule="exact"/>
      <w:ind w:left="23"/>
    </w:pPr>
    <w:r>
      <w:rPr>
        <w:position w:val="-19"/>
      </w:rPr>
      <w:drawing>
        <wp:inline distT="0" distB="0" distL="0" distR="0">
          <wp:extent cx="1943735" cy="597522"/>
          <wp:effectExtent l="0" t="0" r="0" b="0"/>
          <wp:docPr id="2146315148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6315148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943735" cy="59752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spacing w:before="283" w:line="214" w:lineRule="auto"/>
      <w:ind w:left="207"/>
      <w:rPr>
        <w:sz w:val="30"/>
        <w:szCs w:val="3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column">
            <wp:posOffset>18668</wp:posOffset>
          </wp:positionH>
          <wp:positionV relativeFrom="paragraph">
            <wp:posOffset>106422</wp:posOffset>
          </wp:positionV>
          <wp:extent cx="5039994" cy="307975"/>
          <wp:effectExtent l="0" t="0" r="0" b="0"/>
          <wp:wrapNone/>
          <wp:docPr id="1332068879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2068879" name="IM 4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5039994" cy="3079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72.2pt;height:15.95pt;margin-top:13.41pt;margin-left:430.94pt;position:absolute;z-index:251665408" filled="f" stroked="f">
          <o:lock v:ext="edit" aspectratio="f"/>
          <v:textbox inset="0,0,0,0">
            <w:txbxContent>
              <w:p>
                <w:pPr>
                  <w:pStyle w:val="BodyText"/>
                  <w:spacing w:before="19" w:line="184" w:lineRule="auto"/>
                  <w:ind w:left="20"/>
                  <w:rPr>
                    <w:sz w:val="28"/>
                    <w:szCs w:val="28"/>
                  </w:rPr>
                </w:pPr>
                <w:r>
                  <w:rPr>
                    <w:color w:val="D20A06"/>
                    <w:sz w:val="28"/>
                    <w:szCs w:val="28"/>
                    <w14:textOutline w14:w="5094">
                      <w14:solidFill>
                        <w14:srgbClr w14:val="D20A06"/>
                      </w14:solidFill>
                      <w14:prstDash w14:val="solid"/>
                      <w14:miter w14:lim="10"/>
                    </w14:textOutline>
                  </w:rPr>
                  <w:t>2024-03-08</w:t>
                </w:r>
              </w:p>
            </w:txbxContent>
          </v:textbox>
        </v:shape>
      </w:pict>
    </w:r>
    <w:r>
      <w:rPr>
        <w:color w:val="FFFFFF"/>
        <w:spacing w:val="-2"/>
        <w:sz w:val="30"/>
        <w:szCs w:val="30"/>
        <w14:textOutline w14:w="5442">
          <w14:solidFill>
            <w14:srgbClr w14:val="FFFFFF"/>
          </w14:solidFill>
          <w14:prstDash w14:val="solid"/>
          <w14:miter w14:lim="10"/>
        </w14:textOutline>
      </w:rPr>
      <w:t>中信期货研究|金融工程专题报告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5" w:line="219" w:lineRule="auto"/>
      <w:ind w:left="56"/>
      <w:rPr>
        <w:sz w:val="24"/>
        <w:szCs w:val="24"/>
      </w:rPr>
    </w:pPr>
    <w:r>
      <w:pict>
        <v:shape id="_x0000_s2053" style="width:499.55pt;height:0.5pt;margin-top:85.58pt;margin-left:49.56pt;mso-position-horizontal-relative:page;mso-position-vertical-relative:page;position:absolute;z-index:251667456" coordorigin="0,0" coordsize="9990,10" o:allowincell="f" path="m,9l9990,9l9990,l,l,9xe" filled="t" fillcolor="black" stroked="f"/>
      </w:pict>
    </w: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5812154</wp:posOffset>
          </wp:positionH>
          <wp:positionV relativeFrom="page">
            <wp:posOffset>704901</wp:posOffset>
          </wp:positionV>
          <wp:extent cx="1017270" cy="312749"/>
          <wp:effectExtent l="0" t="0" r="0" b="0"/>
          <wp:wrapNone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17270" cy="3127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2"/>
        <w:sz w:val="24"/>
        <w:szCs w:val="24"/>
        <w14:textOutline w14:w="4354">
          <w14:solidFill>
            <w14:srgbClr w14:val="000000"/>
          </w14:solidFill>
          <w14:prstDash w14:val="solid"/>
          <w14:miter w14:lim="10"/>
        </w14:textOutline>
      </w:rPr>
      <w:t>中信期货金融工程专题报告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5" w:line="219" w:lineRule="auto"/>
      <w:ind w:left="56"/>
      <w:rPr>
        <w:sz w:val="24"/>
        <w:szCs w:val="24"/>
      </w:rPr>
    </w:pPr>
    <w:r>
      <w:pict>
        <v:shape id="_x0000_s2056" style="width:499.55pt;height:0.5pt;margin-top:85.58pt;margin-left:49.56pt;mso-position-horizontal-relative:page;mso-position-vertical-relative:page;position:absolute;z-index:251669504" coordorigin="0,0" coordsize="9990,10" o:allowincell="f" path="m,9l9990,9l9990,l,l,9xe" filled="t" fillcolor="black" stroked="f"/>
      </w:pict>
    </w: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5812154</wp:posOffset>
          </wp:positionH>
          <wp:positionV relativeFrom="page">
            <wp:posOffset>704901</wp:posOffset>
          </wp:positionV>
          <wp:extent cx="1017270" cy="312749"/>
          <wp:effectExtent l="0" t="0" r="0" b="0"/>
          <wp:wrapNone/>
          <wp:docPr id="154541732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541732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17270" cy="3127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2"/>
        <w:sz w:val="24"/>
        <w:szCs w:val="24"/>
        <w14:textOutline w14:w="4354">
          <w14:solidFill>
            <w14:srgbClr w14:val="000000"/>
          </w14:solidFill>
          <w14:prstDash w14:val="solid"/>
          <w14:miter w14:lim="10"/>
        </w14:textOutline>
      </w:rPr>
      <w:t>中信期货金融工程专题报告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5" w:line="219" w:lineRule="auto"/>
      <w:ind w:left="56"/>
      <w:rPr>
        <w:sz w:val="24"/>
        <w:szCs w:val="24"/>
      </w:rPr>
    </w:pPr>
    <w:r>
      <w:pict>
        <v:shape id="_x0000_s2059" style="width:499.55pt;height:0.5pt;margin-top:85.58pt;margin-left:49.56pt;mso-position-horizontal-relative:page;mso-position-vertical-relative:page;position:absolute;z-index:251671552" coordorigin="0,0" coordsize="9990,10" o:allowincell="f" path="m,9l9990,9l9990,l,l,9xe" filled="t" fillcolor="black" stroked="f"/>
      </w:pict>
    </w:r>
    <w: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5812154</wp:posOffset>
          </wp:positionH>
          <wp:positionV relativeFrom="page">
            <wp:posOffset>704901</wp:posOffset>
          </wp:positionV>
          <wp:extent cx="1017270" cy="312749"/>
          <wp:effectExtent l="0" t="0" r="0" b="0"/>
          <wp:wrapNone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17270" cy="3127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2"/>
        <w:sz w:val="24"/>
        <w:szCs w:val="24"/>
        <w14:textOutline w14:w="4354">
          <w14:solidFill>
            <w14:srgbClr w14:val="000000"/>
          </w14:solidFill>
          <w14:prstDash w14:val="solid"/>
          <w14:miter w14:lim="10"/>
        </w14:textOutline>
      </w:rPr>
      <w:t>中信期货金融工程专题报告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5" w:line="219" w:lineRule="auto"/>
      <w:ind w:left="56"/>
      <w:rPr>
        <w:sz w:val="24"/>
        <w:szCs w:val="24"/>
      </w:rPr>
    </w:pPr>
    <w:r>
      <w:pict>
        <v:shape id="_x0000_s2062" style="width:499.55pt;height:0.5pt;margin-top:85.58pt;margin-left:49.56pt;mso-position-horizontal-relative:page;mso-position-vertical-relative:page;position:absolute;z-index:251673600" coordorigin="0,0" coordsize="9990,10" o:allowincell="f" path="m,9l9990,9l9990,l,l,9xe" filled="t" fillcolor="black" stroked="f"/>
      </w:pict>
    </w:r>
    <w:r>
      <w:drawing>
        <wp:anchor distT="0" distB="0" distL="0" distR="0" simplePos="0" relativeHeight="251672576" behindDoc="0" locked="0" layoutInCell="0" allowOverlap="1">
          <wp:simplePos x="0" y="0"/>
          <wp:positionH relativeFrom="page">
            <wp:posOffset>5812154</wp:posOffset>
          </wp:positionH>
          <wp:positionV relativeFrom="page">
            <wp:posOffset>704901</wp:posOffset>
          </wp:positionV>
          <wp:extent cx="1017270" cy="312749"/>
          <wp:effectExtent l="0" t="0" r="0" b="0"/>
          <wp:wrapNone/>
          <wp:docPr id="948636732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8636732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17270" cy="3127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2"/>
        <w:sz w:val="24"/>
        <w:szCs w:val="24"/>
        <w14:textOutline w14:w="4354">
          <w14:solidFill>
            <w14:srgbClr w14:val="000000"/>
          </w14:solidFill>
          <w14:prstDash w14:val="solid"/>
          <w14:miter w14:lim="10"/>
        </w14:textOutline>
      </w:rPr>
      <w:t>中信期货金融工程专题报告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Hei" w:eastAsia="SimHei" w:hAnsi="SimHei" w:cs="SimHei"/>
      <w:sz w:val="21"/>
      <w:szCs w:val="2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image" Target="media/image5.png" /><Relationship Id="rId17" Type="http://schemas.openxmlformats.org/officeDocument/2006/relationships/image" Target="media/image6.png" /><Relationship Id="rId18" Type="http://schemas.openxmlformats.org/officeDocument/2006/relationships/image" Target="media/image7.png" /><Relationship Id="rId19" Type="http://schemas.openxmlformats.org/officeDocument/2006/relationships/image" Target="media/image8.png" /><Relationship Id="rId2" Type="http://schemas.openxmlformats.org/officeDocument/2006/relationships/webSettings" Target="webSettings.xml" /><Relationship Id="rId20" Type="http://schemas.openxmlformats.org/officeDocument/2006/relationships/image" Target="media/image9.png" /><Relationship Id="rId21" Type="http://schemas.openxmlformats.org/officeDocument/2006/relationships/image" Target="media/image10.png" /><Relationship Id="rId22" Type="http://schemas.openxmlformats.org/officeDocument/2006/relationships/header" Target="header7.xml" /><Relationship Id="rId23" Type="http://schemas.openxmlformats.org/officeDocument/2006/relationships/footer" Target="footer7.xml" /><Relationship Id="rId24" Type="http://schemas.openxmlformats.org/officeDocument/2006/relationships/image" Target="media/image11.png" /><Relationship Id="rId25" Type="http://schemas.openxmlformats.org/officeDocument/2006/relationships/hyperlink" Target="https://d.book118.com/995013130234011120" TargetMode="External" /><Relationship Id="rId26" Type="http://schemas.openxmlformats.org/officeDocument/2006/relationships/header" Target="header8.xml" /><Relationship Id="rId27" Type="http://schemas.openxmlformats.org/officeDocument/2006/relationships/footer" Target="footer8.xml" /><Relationship Id="rId28" Type="http://schemas.openxmlformats.org/officeDocument/2006/relationships/theme" Target="theme/theme1.xml" /><Relationship Id="rId29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image" Target="media/image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image" Target="media/image2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image" Target="media/image2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image" Target="media/image2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2024-03-08T17:38:35Z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2024-03-08T18:06:59Z</vt:filetime>
  </property>
  <property fmtid="{D5CDD505-2E9C-101B-9397-08002B2CF9AE}" pid="3" name="CRO">
    <vt:lpwstr>wqlLaW5nc29mdCBQREYgdG8gV1BTIDkw</vt:lpwstr>
  </property>
</Properties>
</file>