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2018-2023年宣城职业技术学院高职单招（数学／语文／英语）历年常考试题库含答案解析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有“曲状元”之称的元代散曲家是（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《米龙老爹》在情节叙述上的特点是（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A.第一人称自叙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B.第一、第三人称互换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C.第二人称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D.第三人称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我国先秦时期著名的语录体散文集是（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李白《行路难》中运用行为细节描写揭示内心悲愤的诗句是（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C.行路难，行路难，多歧路，今安在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《灯下漫笔》一文向青年所阐明的最重要的道理是（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A.如何读书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B.改造国民性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C.如何绘画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D.创建新时代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庄子认为在无限广大的宇宙中，个人的认识和作用是（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A.无限的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B.有限的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C.巨大的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D.重要的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下列作品中，属于艾青成名作的一项是（）。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B.《火把》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下列文学常识表述错误的是（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A.被后人称作“三苏”的作家是苏洵、苏轼、苏辙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B.“济南二安”指的是李清照和辛弃疾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C.苍凉悲壮是曹操诗歌的主要艺术风格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D.曹雪芹是我国明代伟大的浪漫主义作家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曹禺创作的第一部剧作是（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表现莺莺对现实不满更为强烈的曲词是（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A.前暮私情，昨夜成亲，今日别离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B.有梦也难寻觅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C.蜗角虚名，蝇头微利，拆鸳鸯在两下里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D.但得一个并头莲，煞强如状元及第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司马迁用“桃李不言，下自成蹊”赞美（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D.程不识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提出“文章合为时而著，歌诗合为事而作”文学主张的是（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https://d.book118.com/995104120332011112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95104120332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