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系列脱氯剂项目合作计划书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6" w:history="1">
        <w:r>
          <w:rPr>
            <w:rFonts w:ascii="仿宋" w:eastAsia="仿宋" w:hAnsi="仿宋" w:cs="仿宋" w:hint="eastAsia"/>
            <w:lang w:eastAsia="zh-CN"/>
          </w:rPr>
          <w:t>前言</w:t>
        </w:r>
        <w:r>
          <w:tab/>
        </w:r>
        <w:r>
          <w:fldChar w:fldCharType="begin"/>
        </w:r>
        <w:r>
          <w:instrText xml:space="preserve"> PAGEREF _Toc2386 \h </w:instrText>
        </w:r>
        <w:r>
          <w:fldChar w:fldCharType="separate"/>
        </w:r>
        <w:r>
          <w:t>3</w:t>
        </w:r>
        <w:r>
          <w:fldChar w:fldCharType="end"/>
        </w:r>
      </w:hyperlink>
    </w:p>
    <w:p>
      <w:pPr>
        <w:pStyle w:val="TOC1"/>
        <w:tabs>
          <w:tab w:val="right" w:leader="dot" w:pos="8306"/>
        </w:tabs>
      </w:pPr>
      <w:hyperlink w:anchor="_Toc29096" w:history="1">
        <w:r>
          <w:rPr>
            <w:rFonts w:ascii="仿宋" w:eastAsia="仿宋" w:hAnsi="仿宋" w:cs="仿宋" w:hint="eastAsia"/>
            <w:lang w:eastAsia="zh-CN"/>
          </w:rPr>
          <w:t>一、后期运营与管理</w:t>
        </w:r>
        <w:r>
          <w:tab/>
        </w:r>
        <w:r>
          <w:fldChar w:fldCharType="begin"/>
        </w:r>
        <w:r>
          <w:instrText xml:space="preserve"> PAGEREF _Toc29096 \h </w:instrText>
        </w:r>
        <w:r>
          <w:fldChar w:fldCharType="separate"/>
        </w:r>
        <w:r>
          <w:t>3</w:t>
        </w:r>
        <w:r>
          <w:fldChar w:fldCharType="end"/>
        </w:r>
      </w:hyperlink>
    </w:p>
    <w:p>
      <w:pPr>
        <w:pStyle w:val="TOC2"/>
        <w:tabs>
          <w:tab w:val="right" w:leader="dot" w:pos="8306"/>
        </w:tabs>
      </w:pPr>
      <w:hyperlink w:anchor="_Toc29078" w:history="1">
        <w:r>
          <w:rPr>
            <w:rFonts w:ascii="仿宋" w:eastAsia="仿宋" w:hAnsi="仿宋" w:cs="仿宋" w:hint="eastAsia"/>
            <w:lang w:eastAsia="zh-CN"/>
          </w:rPr>
          <w:t>(一)、系列脱氯剂项目运营管理机制</w:t>
        </w:r>
        <w:r>
          <w:tab/>
        </w:r>
        <w:r>
          <w:fldChar w:fldCharType="begin"/>
        </w:r>
        <w:r>
          <w:instrText xml:space="preserve"> PAGEREF _Toc29078 \h </w:instrText>
        </w:r>
        <w:r>
          <w:fldChar w:fldCharType="separate"/>
        </w:r>
        <w:r>
          <w:t>3</w:t>
        </w:r>
        <w:r>
          <w:fldChar w:fldCharType="end"/>
        </w:r>
      </w:hyperlink>
    </w:p>
    <w:p>
      <w:pPr>
        <w:pStyle w:val="TOC2"/>
        <w:tabs>
          <w:tab w:val="right" w:leader="dot" w:pos="8306"/>
        </w:tabs>
      </w:pPr>
      <w:hyperlink w:anchor="_Toc28582" w:history="1">
        <w:r>
          <w:rPr>
            <w:rFonts w:ascii="仿宋" w:eastAsia="仿宋" w:hAnsi="仿宋" w:cs="仿宋" w:hint="eastAsia"/>
            <w:lang w:eastAsia="zh-CN"/>
          </w:rPr>
          <w:t>(二)、人员培训与知识转移</w:t>
        </w:r>
        <w:r>
          <w:tab/>
        </w:r>
        <w:r>
          <w:fldChar w:fldCharType="begin"/>
        </w:r>
        <w:r>
          <w:instrText xml:space="preserve"> PAGEREF _Toc28582 \h </w:instrText>
        </w:r>
        <w:r>
          <w:fldChar w:fldCharType="separate"/>
        </w:r>
        <w:r>
          <w:t>4</w:t>
        </w:r>
        <w:r>
          <w:fldChar w:fldCharType="end"/>
        </w:r>
      </w:hyperlink>
    </w:p>
    <w:p>
      <w:pPr>
        <w:pStyle w:val="TOC2"/>
        <w:tabs>
          <w:tab w:val="right" w:leader="dot" w:pos="8306"/>
        </w:tabs>
      </w:pPr>
      <w:hyperlink w:anchor="_Toc16861" w:history="1">
        <w:r>
          <w:rPr>
            <w:rFonts w:ascii="仿宋" w:eastAsia="仿宋" w:hAnsi="仿宋" w:cs="仿宋" w:hint="eastAsia"/>
            <w:lang w:eastAsia="zh-CN"/>
          </w:rPr>
          <w:t>(三)、设备维护与保养</w:t>
        </w:r>
        <w:r>
          <w:tab/>
        </w:r>
        <w:r>
          <w:fldChar w:fldCharType="begin"/>
        </w:r>
        <w:r>
          <w:instrText xml:space="preserve"> PAGEREF _Toc16861 \h </w:instrText>
        </w:r>
        <w:r>
          <w:fldChar w:fldCharType="separate"/>
        </w:r>
        <w:r>
          <w:t>4</w:t>
        </w:r>
        <w:r>
          <w:fldChar w:fldCharType="end"/>
        </w:r>
      </w:hyperlink>
    </w:p>
    <w:p>
      <w:pPr>
        <w:pStyle w:val="TOC2"/>
        <w:tabs>
          <w:tab w:val="right" w:leader="dot" w:pos="8306"/>
        </w:tabs>
      </w:pPr>
      <w:hyperlink w:anchor="_Toc21557" w:history="1">
        <w:r>
          <w:rPr>
            <w:rFonts w:ascii="仿宋" w:eastAsia="仿宋" w:hAnsi="仿宋" w:cs="仿宋" w:hint="eastAsia"/>
            <w:lang w:eastAsia="zh-CN"/>
          </w:rPr>
          <w:t>(四)、定期检查与评估</w:t>
        </w:r>
        <w:r>
          <w:tab/>
        </w:r>
        <w:r>
          <w:fldChar w:fldCharType="begin"/>
        </w:r>
        <w:r>
          <w:instrText xml:space="preserve"> PAGEREF _Toc21557 \h </w:instrText>
        </w:r>
        <w:r>
          <w:fldChar w:fldCharType="separate"/>
        </w:r>
        <w:r>
          <w:t>5</w:t>
        </w:r>
        <w:r>
          <w:fldChar w:fldCharType="end"/>
        </w:r>
      </w:hyperlink>
    </w:p>
    <w:p>
      <w:pPr>
        <w:pStyle w:val="TOC1"/>
        <w:tabs>
          <w:tab w:val="right" w:leader="dot" w:pos="8306"/>
        </w:tabs>
      </w:pPr>
      <w:hyperlink w:anchor="_Toc30626" w:history="1">
        <w:r>
          <w:rPr>
            <w:rFonts w:ascii="仿宋" w:eastAsia="仿宋" w:hAnsi="仿宋" w:cs="仿宋" w:hint="eastAsia"/>
            <w:lang w:eastAsia="zh-CN"/>
          </w:rPr>
          <w:t>二、背景和必要性研究</w:t>
        </w:r>
        <w:r>
          <w:tab/>
        </w:r>
        <w:r>
          <w:fldChar w:fldCharType="begin"/>
        </w:r>
        <w:r>
          <w:instrText xml:space="preserve"> PAGEREF _Toc30626 \h </w:instrText>
        </w:r>
        <w:r>
          <w:fldChar w:fldCharType="separate"/>
        </w:r>
        <w:r>
          <w:t>6</w:t>
        </w:r>
        <w:r>
          <w:fldChar w:fldCharType="end"/>
        </w:r>
      </w:hyperlink>
    </w:p>
    <w:p>
      <w:pPr>
        <w:pStyle w:val="TOC2"/>
        <w:tabs>
          <w:tab w:val="right" w:leader="dot" w:pos="8306"/>
        </w:tabs>
      </w:pPr>
      <w:hyperlink w:anchor="_Toc23983" w:history="1">
        <w:r>
          <w:rPr>
            <w:rFonts w:ascii="仿宋" w:eastAsia="仿宋" w:hAnsi="仿宋" w:cs="仿宋" w:hint="eastAsia"/>
            <w:lang w:eastAsia="zh-CN"/>
          </w:rPr>
          <w:t>(一)、系列脱氯剂项目承办单位背景分析</w:t>
        </w:r>
        <w:r>
          <w:tab/>
        </w:r>
        <w:r>
          <w:fldChar w:fldCharType="begin"/>
        </w:r>
        <w:r>
          <w:instrText xml:space="preserve"> PAGEREF _Toc23983 \h </w:instrText>
        </w:r>
        <w:r>
          <w:fldChar w:fldCharType="separate"/>
        </w:r>
        <w:r>
          <w:t>6</w:t>
        </w:r>
        <w:r>
          <w:fldChar w:fldCharType="end"/>
        </w:r>
      </w:hyperlink>
    </w:p>
    <w:p>
      <w:pPr>
        <w:pStyle w:val="TOC2"/>
        <w:tabs>
          <w:tab w:val="right" w:leader="dot" w:pos="8306"/>
        </w:tabs>
      </w:pPr>
      <w:hyperlink w:anchor="_Toc23420" w:history="1">
        <w:r>
          <w:rPr>
            <w:rFonts w:ascii="仿宋" w:eastAsia="仿宋" w:hAnsi="仿宋" w:cs="仿宋" w:hint="eastAsia"/>
            <w:lang w:eastAsia="zh-CN"/>
          </w:rPr>
          <w:t>(二)、系列脱氯剂项目背景分析</w:t>
        </w:r>
        <w:r>
          <w:tab/>
        </w:r>
        <w:r>
          <w:fldChar w:fldCharType="begin"/>
        </w:r>
        <w:r>
          <w:instrText xml:space="preserve"> PAGEREF _Toc23420 \h </w:instrText>
        </w:r>
        <w:r>
          <w:fldChar w:fldCharType="separate"/>
        </w:r>
        <w:r>
          <w:t>7</w:t>
        </w:r>
        <w:r>
          <w:fldChar w:fldCharType="end"/>
        </w:r>
      </w:hyperlink>
    </w:p>
    <w:p>
      <w:pPr>
        <w:pStyle w:val="TOC1"/>
        <w:tabs>
          <w:tab w:val="right" w:leader="dot" w:pos="8306"/>
        </w:tabs>
      </w:pPr>
      <w:hyperlink w:anchor="_Toc12133" w:history="1">
        <w:r>
          <w:rPr>
            <w:rFonts w:ascii="仿宋" w:eastAsia="仿宋" w:hAnsi="仿宋" w:cs="仿宋" w:hint="eastAsia"/>
            <w:lang w:eastAsia="zh-CN"/>
          </w:rPr>
          <w:t>三、系列脱氯剂项目建设地分析</w:t>
        </w:r>
        <w:r>
          <w:tab/>
        </w:r>
        <w:r>
          <w:fldChar w:fldCharType="begin"/>
        </w:r>
        <w:r>
          <w:instrText xml:space="preserve"> PAGEREF _Toc12133 \h </w:instrText>
        </w:r>
        <w:r>
          <w:fldChar w:fldCharType="separate"/>
        </w:r>
        <w:r>
          <w:t>8</w:t>
        </w:r>
        <w:r>
          <w:fldChar w:fldCharType="end"/>
        </w:r>
      </w:hyperlink>
    </w:p>
    <w:p>
      <w:pPr>
        <w:pStyle w:val="TOC2"/>
        <w:tabs>
          <w:tab w:val="right" w:leader="dot" w:pos="8306"/>
        </w:tabs>
      </w:pPr>
      <w:hyperlink w:anchor="_Toc29741" w:history="1">
        <w:r>
          <w:rPr>
            <w:rFonts w:ascii="仿宋" w:eastAsia="仿宋" w:hAnsi="仿宋" w:cs="仿宋" w:hint="eastAsia"/>
            <w:lang w:eastAsia="zh-CN"/>
          </w:rPr>
          <w:t>(一)、系列脱氯剂项目选址原则</w:t>
        </w:r>
        <w:r>
          <w:tab/>
        </w:r>
        <w:r>
          <w:fldChar w:fldCharType="begin"/>
        </w:r>
        <w:r>
          <w:instrText xml:space="preserve"> PAGEREF _Toc29741 \h </w:instrText>
        </w:r>
        <w:r>
          <w:fldChar w:fldCharType="separate"/>
        </w:r>
        <w:r>
          <w:t>8</w:t>
        </w:r>
        <w:r>
          <w:fldChar w:fldCharType="end"/>
        </w:r>
      </w:hyperlink>
    </w:p>
    <w:p>
      <w:pPr>
        <w:pStyle w:val="TOC2"/>
        <w:tabs>
          <w:tab w:val="right" w:leader="dot" w:pos="8306"/>
        </w:tabs>
      </w:pPr>
      <w:hyperlink w:anchor="_Toc11006" w:history="1">
        <w:r>
          <w:rPr>
            <w:rFonts w:ascii="仿宋" w:eastAsia="仿宋" w:hAnsi="仿宋" w:cs="仿宋" w:hint="eastAsia"/>
            <w:lang w:eastAsia="zh-CN"/>
          </w:rPr>
          <w:t>(二)、系列脱氯剂项目选址</w:t>
        </w:r>
        <w:r>
          <w:tab/>
        </w:r>
        <w:r>
          <w:fldChar w:fldCharType="begin"/>
        </w:r>
        <w:r>
          <w:instrText xml:space="preserve"> PAGEREF _Toc11006 \h </w:instrText>
        </w:r>
        <w:r>
          <w:fldChar w:fldCharType="separate"/>
        </w:r>
        <w:r>
          <w:t>8</w:t>
        </w:r>
        <w:r>
          <w:fldChar w:fldCharType="end"/>
        </w:r>
      </w:hyperlink>
    </w:p>
    <w:p>
      <w:pPr>
        <w:pStyle w:val="TOC2"/>
        <w:tabs>
          <w:tab w:val="right" w:leader="dot" w:pos="8306"/>
        </w:tabs>
      </w:pPr>
      <w:hyperlink w:anchor="_Toc25341" w:history="1">
        <w:r>
          <w:rPr>
            <w:rFonts w:ascii="仿宋" w:eastAsia="仿宋" w:hAnsi="仿宋" w:cs="仿宋" w:hint="eastAsia"/>
            <w:lang w:eastAsia="zh-CN"/>
          </w:rPr>
          <w:t>(三)、建设条件分析</w:t>
        </w:r>
        <w:r>
          <w:tab/>
        </w:r>
        <w:r>
          <w:fldChar w:fldCharType="begin"/>
        </w:r>
        <w:r>
          <w:instrText xml:space="preserve"> PAGEREF _Toc25341 \h </w:instrText>
        </w:r>
        <w:r>
          <w:fldChar w:fldCharType="separate"/>
        </w:r>
        <w:r>
          <w:t>9</w:t>
        </w:r>
        <w:r>
          <w:fldChar w:fldCharType="end"/>
        </w:r>
      </w:hyperlink>
    </w:p>
    <w:p>
      <w:pPr>
        <w:pStyle w:val="TOC2"/>
        <w:tabs>
          <w:tab w:val="right" w:leader="dot" w:pos="8306"/>
        </w:tabs>
      </w:pPr>
      <w:hyperlink w:anchor="_Toc8669" w:history="1">
        <w:r>
          <w:rPr>
            <w:rFonts w:ascii="仿宋" w:eastAsia="仿宋" w:hAnsi="仿宋" w:cs="仿宋" w:hint="eastAsia"/>
            <w:lang w:eastAsia="zh-CN"/>
          </w:rPr>
          <w:t>(四)、用地控制指标</w:t>
        </w:r>
        <w:r>
          <w:tab/>
        </w:r>
        <w:r>
          <w:fldChar w:fldCharType="begin"/>
        </w:r>
        <w:r>
          <w:instrText xml:space="preserve"> PAGEREF _Toc8669 \h </w:instrText>
        </w:r>
        <w:r>
          <w:fldChar w:fldCharType="separate"/>
        </w:r>
        <w:r>
          <w:t>10</w:t>
        </w:r>
        <w:r>
          <w:fldChar w:fldCharType="end"/>
        </w:r>
      </w:hyperlink>
    </w:p>
    <w:p>
      <w:pPr>
        <w:pStyle w:val="TOC2"/>
        <w:tabs>
          <w:tab w:val="right" w:leader="dot" w:pos="8306"/>
        </w:tabs>
      </w:pPr>
      <w:hyperlink w:anchor="_Toc31767" w:history="1">
        <w:r>
          <w:rPr>
            <w:rFonts w:ascii="仿宋" w:eastAsia="仿宋" w:hAnsi="仿宋" w:cs="仿宋" w:hint="eastAsia"/>
            <w:lang w:eastAsia="zh-CN"/>
          </w:rPr>
          <w:t>(五)、用地总体要求</w:t>
        </w:r>
        <w:r>
          <w:tab/>
        </w:r>
        <w:r>
          <w:fldChar w:fldCharType="begin"/>
        </w:r>
        <w:r>
          <w:instrText xml:space="preserve"> PAGEREF _Toc31767 \h </w:instrText>
        </w:r>
        <w:r>
          <w:fldChar w:fldCharType="separate"/>
        </w:r>
        <w:r>
          <w:t>11</w:t>
        </w:r>
        <w:r>
          <w:fldChar w:fldCharType="end"/>
        </w:r>
      </w:hyperlink>
    </w:p>
    <w:p>
      <w:pPr>
        <w:pStyle w:val="TOC2"/>
        <w:tabs>
          <w:tab w:val="right" w:leader="dot" w:pos="8306"/>
        </w:tabs>
      </w:pPr>
      <w:hyperlink w:anchor="_Toc1672" w:history="1">
        <w:r>
          <w:rPr>
            <w:rFonts w:ascii="仿宋" w:eastAsia="仿宋" w:hAnsi="仿宋" w:cs="仿宋" w:hint="eastAsia"/>
            <w:lang w:eastAsia="zh-CN"/>
          </w:rPr>
          <w:t>(六)、节约用地措施</w:t>
        </w:r>
        <w:r>
          <w:tab/>
        </w:r>
        <w:r>
          <w:fldChar w:fldCharType="begin"/>
        </w:r>
        <w:r>
          <w:instrText xml:space="preserve"> PAGEREF _Toc1672 \h </w:instrText>
        </w:r>
        <w:r>
          <w:fldChar w:fldCharType="separate"/>
        </w:r>
        <w:r>
          <w:t>12</w:t>
        </w:r>
        <w:r>
          <w:fldChar w:fldCharType="end"/>
        </w:r>
      </w:hyperlink>
    </w:p>
    <w:p>
      <w:pPr>
        <w:pStyle w:val="TOC2"/>
        <w:tabs>
          <w:tab w:val="right" w:leader="dot" w:pos="8306"/>
        </w:tabs>
      </w:pPr>
      <w:hyperlink w:anchor="_Toc17101" w:history="1">
        <w:r>
          <w:rPr>
            <w:rFonts w:ascii="仿宋" w:eastAsia="仿宋" w:hAnsi="仿宋" w:cs="仿宋" w:hint="eastAsia"/>
            <w:lang w:eastAsia="zh-CN"/>
          </w:rPr>
          <w:t>(七)、总图布置方案</w:t>
        </w:r>
        <w:r>
          <w:tab/>
        </w:r>
        <w:r>
          <w:fldChar w:fldCharType="begin"/>
        </w:r>
        <w:r>
          <w:instrText xml:space="preserve"> PAGEREF _Toc17101 \h </w:instrText>
        </w:r>
        <w:r>
          <w:fldChar w:fldCharType="separate"/>
        </w:r>
        <w:r>
          <w:t>14</w:t>
        </w:r>
        <w:r>
          <w:fldChar w:fldCharType="end"/>
        </w:r>
      </w:hyperlink>
    </w:p>
    <w:p>
      <w:pPr>
        <w:pStyle w:val="TOC2"/>
        <w:tabs>
          <w:tab w:val="right" w:leader="dot" w:pos="8306"/>
        </w:tabs>
      </w:pPr>
      <w:hyperlink w:anchor="_Toc18017" w:history="1">
        <w:r>
          <w:rPr>
            <w:rFonts w:ascii="仿宋" w:eastAsia="仿宋" w:hAnsi="仿宋" w:cs="仿宋" w:hint="eastAsia"/>
            <w:lang w:eastAsia="zh-CN"/>
          </w:rPr>
          <w:t>(八)、运输组成</w:t>
        </w:r>
        <w:r>
          <w:tab/>
        </w:r>
        <w:r>
          <w:fldChar w:fldCharType="begin"/>
        </w:r>
        <w:r>
          <w:instrText xml:space="preserve"> PAGEREF _Toc18017 \h </w:instrText>
        </w:r>
        <w:r>
          <w:fldChar w:fldCharType="separate"/>
        </w:r>
        <w:r>
          <w:t>16</w:t>
        </w:r>
        <w:r>
          <w:fldChar w:fldCharType="end"/>
        </w:r>
      </w:hyperlink>
    </w:p>
    <w:p>
      <w:pPr>
        <w:pStyle w:val="TOC2"/>
        <w:tabs>
          <w:tab w:val="right" w:leader="dot" w:pos="8306"/>
        </w:tabs>
      </w:pPr>
      <w:hyperlink w:anchor="_Toc28904" w:history="1">
        <w:r>
          <w:rPr>
            <w:rFonts w:ascii="仿宋" w:eastAsia="仿宋" w:hAnsi="仿宋" w:cs="仿宋" w:hint="eastAsia"/>
            <w:lang w:eastAsia="zh-CN"/>
          </w:rPr>
          <w:t>(九)、选址综合评价</w:t>
        </w:r>
        <w:r>
          <w:tab/>
        </w:r>
        <w:r>
          <w:fldChar w:fldCharType="begin"/>
        </w:r>
        <w:r>
          <w:instrText xml:space="preserve"> PAGEREF _Toc28904 \h </w:instrText>
        </w:r>
        <w:r>
          <w:fldChar w:fldCharType="separate"/>
        </w:r>
        <w:r>
          <w:t>18</w:t>
        </w:r>
        <w:r>
          <w:fldChar w:fldCharType="end"/>
        </w:r>
      </w:hyperlink>
    </w:p>
    <w:p>
      <w:pPr>
        <w:pStyle w:val="TOC1"/>
        <w:tabs>
          <w:tab w:val="right" w:leader="dot" w:pos="8306"/>
        </w:tabs>
      </w:pPr>
      <w:hyperlink w:anchor="_Toc30272" w:history="1">
        <w:r>
          <w:rPr>
            <w:rFonts w:ascii="仿宋" w:eastAsia="仿宋" w:hAnsi="仿宋" w:cs="仿宋" w:hint="eastAsia"/>
            <w:lang w:eastAsia="zh-CN"/>
          </w:rPr>
          <w:t>四、建设规划分析</w:t>
        </w:r>
        <w:r>
          <w:tab/>
        </w:r>
        <w:r>
          <w:fldChar w:fldCharType="begin"/>
        </w:r>
        <w:r>
          <w:instrText xml:space="preserve"> PAGEREF _Toc30272 \h </w:instrText>
        </w:r>
        <w:r>
          <w:fldChar w:fldCharType="separate"/>
        </w:r>
        <w:r>
          <w:t>19</w:t>
        </w:r>
        <w:r>
          <w:fldChar w:fldCharType="end"/>
        </w:r>
      </w:hyperlink>
    </w:p>
    <w:p>
      <w:pPr>
        <w:pStyle w:val="TOC2"/>
        <w:tabs>
          <w:tab w:val="right" w:leader="dot" w:pos="8306"/>
        </w:tabs>
      </w:pPr>
      <w:hyperlink w:anchor="_Toc10595" w:history="1">
        <w:r>
          <w:rPr>
            <w:rFonts w:ascii="仿宋" w:eastAsia="仿宋" w:hAnsi="仿宋" w:cs="仿宋" w:hint="eastAsia"/>
            <w:lang w:eastAsia="zh-CN"/>
          </w:rPr>
          <w:t>(一)、产品规划</w:t>
        </w:r>
        <w:r>
          <w:tab/>
        </w:r>
        <w:r>
          <w:fldChar w:fldCharType="begin"/>
        </w:r>
        <w:r>
          <w:instrText xml:space="preserve"> PAGEREF _Toc10595 \h </w:instrText>
        </w:r>
        <w:r>
          <w:fldChar w:fldCharType="separate"/>
        </w:r>
        <w:r>
          <w:t>19</w:t>
        </w:r>
        <w:r>
          <w:fldChar w:fldCharType="end"/>
        </w:r>
      </w:hyperlink>
    </w:p>
    <w:p>
      <w:pPr>
        <w:pStyle w:val="TOC2"/>
        <w:tabs>
          <w:tab w:val="right" w:leader="dot" w:pos="8306"/>
        </w:tabs>
      </w:pPr>
      <w:hyperlink w:anchor="_Toc4259" w:history="1">
        <w:r>
          <w:rPr>
            <w:rFonts w:ascii="仿宋" w:eastAsia="仿宋" w:hAnsi="仿宋" w:cs="仿宋" w:hint="eastAsia"/>
            <w:lang w:eastAsia="zh-CN"/>
          </w:rPr>
          <w:t>(二)、建设规模</w:t>
        </w:r>
        <w:r>
          <w:tab/>
        </w:r>
        <w:r>
          <w:fldChar w:fldCharType="begin"/>
        </w:r>
        <w:r>
          <w:instrText xml:space="preserve"> PAGEREF _Toc4259 \h </w:instrText>
        </w:r>
        <w:r>
          <w:fldChar w:fldCharType="separate"/>
        </w:r>
        <w:r>
          <w:t>20</w:t>
        </w:r>
        <w:r>
          <w:fldChar w:fldCharType="end"/>
        </w:r>
      </w:hyperlink>
    </w:p>
    <w:p>
      <w:pPr>
        <w:pStyle w:val="TOC1"/>
        <w:tabs>
          <w:tab w:val="right" w:leader="dot" w:pos="8306"/>
        </w:tabs>
      </w:pPr>
      <w:hyperlink w:anchor="_Toc14937" w:history="1">
        <w:r>
          <w:rPr>
            <w:rFonts w:ascii="仿宋" w:eastAsia="仿宋" w:hAnsi="仿宋" w:cs="仿宋" w:hint="eastAsia"/>
            <w:lang w:eastAsia="zh-CN"/>
          </w:rPr>
          <w:t>五、人员培训与发展</w:t>
        </w:r>
        <w:r>
          <w:tab/>
        </w:r>
        <w:r>
          <w:fldChar w:fldCharType="begin"/>
        </w:r>
        <w:r>
          <w:instrText xml:space="preserve"> PAGEREF _Toc14937 \h </w:instrText>
        </w:r>
        <w:r>
          <w:fldChar w:fldCharType="separate"/>
        </w:r>
        <w:r>
          <w:t>20</w:t>
        </w:r>
        <w:r>
          <w:fldChar w:fldCharType="end"/>
        </w:r>
      </w:hyperlink>
    </w:p>
    <w:p>
      <w:pPr>
        <w:pStyle w:val="TOC2"/>
        <w:tabs>
          <w:tab w:val="right" w:leader="dot" w:pos="8306"/>
        </w:tabs>
      </w:pPr>
      <w:hyperlink w:anchor="_Toc14989" w:history="1">
        <w:r>
          <w:rPr>
            <w:rFonts w:ascii="仿宋" w:eastAsia="仿宋" w:hAnsi="仿宋" w:cs="仿宋" w:hint="eastAsia"/>
            <w:lang w:eastAsia="zh-CN"/>
          </w:rPr>
          <w:t>(一)、培训需求分析</w:t>
        </w:r>
        <w:r>
          <w:tab/>
        </w:r>
        <w:r>
          <w:fldChar w:fldCharType="begin"/>
        </w:r>
        <w:r>
          <w:instrText xml:space="preserve"> PAGEREF _Toc14989 \h </w:instrText>
        </w:r>
        <w:r>
          <w:fldChar w:fldCharType="separate"/>
        </w:r>
        <w:r>
          <w:t>20</w:t>
        </w:r>
        <w:r>
          <w:fldChar w:fldCharType="end"/>
        </w:r>
      </w:hyperlink>
    </w:p>
    <w:p>
      <w:pPr>
        <w:pStyle w:val="TOC2"/>
        <w:tabs>
          <w:tab w:val="right" w:leader="dot" w:pos="8306"/>
        </w:tabs>
      </w:pPr>
      <w:hyperlink w:anchor="_Toc11996" w:history="1">
        <w:r>
          <w:rPr>
            <w:rFonts w:ascii="仿宋" w:eastAsia="仿宋" w:hAnsi="仿宋" w:cs="仿宋" w:hint="eastAsia"/>
            <w:lang w:eastAsia="zh-CN"/>
          </w:rPr>
          <w:t>(二)、培训计划制定</w:t>
        </w:r>
        <w:r>
          <w:tab/>
        </w:r>
        <w:r>
          <w:fldChar w:fldCharType="begin"/>
        </w:r>
        <w:r>
          <w:instrText xml:space="preserve"> PAGEREF _Toc11996 \h </w:instrText>
        </w:r>
        <w:r>
          <w:fldChar w:fldCharType="separate"/>
        </w:r>
        <w:r>
          <w:t>22</w:t>
        </w:r>
        <w:r>
          <w:fldChar w:fldCharType="end"/>
        </w:r>
      </w:hyperlink>
    </w:p>
    <w:p>
      <w:pPr>
        <w:pStyle w:val="TOC2"/>
        <w:tabs>
          <w:tab w:val="right" w:leader="dot" w:pos="8306"/>
        </w:tabs>
      </w:pPr>
      <w:hyperlink w:anchor="_Toc27736" w:history="1">
        <w:r>
          <w:rPr>
            <w:rFonts w:ascii="仿宋" w:eastAsia="仿宋" w:hAnsi="仿宋" w:cs="仿宋" w:hint="eastAsia"/>
            <w:lang w:eastAsia="zh-CN"/>
          </w:rPr>
          <w:t>(三)、培训执行与评估</w:t>
        </w:r>
        <w:r>
          <w:tab/>
        </w:r>
        <w:r>
          <w:fldChar w:fldCharType="begin"/>
        </w:r>
        <w:r>
          <w:instrText xml:space="preserve"> PAGEREF _Toc27736 \h </w:instrText>
        </w:r>
        <w:r>
          <w:fldChar w:fldCharType="separate"/>
        </w:r>
        <w:r>
          <w:t>23</w:t>
        </w:r>
        <w:r>
          <w:fldChar w:fldCharType="end"/>
        </w:r>
      </w:hyperlink>
    </w:p>
    <w:p>
      <w:pPr>
        <w:pStyle w:val="TOC2"/>
        <w:tabs>
          <w:tab w:val="right" w:leader="dot" w:pos="8306"/>
        </w:tabs>
      </w:pPr>
      <w:hyperlink w:anchor="_Toc14614" w:history="1">
        <w:r>
          <w:rPr>
            <w:rFonts w:ascii="仿宋" w:eastAsia="仿宋" w:hAnsi="仿宋" w:cs="仿宋" w:hint="eastAsia"/>
            <w:lang w:eastAsia="zh-CN"/>
          </w:rPr>
          <w:t>(四)、员工职业发展规划</w:t>
        </w:r>
        <w:r>
          <w:tab/>
        </w:r>
        <w:r>
          <w:fldChar w:fldCharType="begin"/>
        </w:r>
        <w:r>
          <w:instrText xml:space="preserve"> PAGEREF _Toc14614 \h </w:instrText>
        </w:r>
        <w:r>
          <w:fldChar w:fldCharType="separate"/>
        </w:r>
        <w:r>
          <w:t>24</w:t>
        </w:r>
        <w:r>
          <w:fldChar w:fldCharType="end"/>
        </w:r>
      </w:hyperlink>
    </w:p>
    <w:p>
      <w:pPr>
        <w:pStyle w:val="TOC1"/>
        <w:tabs>
          <w:tab w:val="right" w:leader="dot" w:pos="8306"/>
        </w:tabs>
      </w:pPr>
      <w:hyperlink w:anchor="_Toc1531" w:history="1">
        <w:r>
          <w:rPr>
            <w:rFonts w:ascii="仿宋" w:eastAsia="仿宋" w:hAnsi="仿宋" w:cs="仿宋" w:hint="eastAsia"/>
            <w:lang w:eastAsia="zh-CN"/>
          </w:rPr>
          <w:t>六、合作伙伴关系管理</w:t>
        </w:r>
        <w:r>
          <w:tab/>
        </w:r>
        <w:r>
          <w:fldChar w:fldCharType="begin"/>
        </w:r>
        <w:r>
          <w:instrText xml:space="preserve"> PAGEREF _Toc1531 \h </w:instrText>
        </w:r>
        <w:r>
          <w:fldChar w:fldCharType="separate"/>
        </w:r>
        <w:r>
          <w:t>26</w:t>
        </w:r>
        <w:r>
          <w:fldChar w:fldCharType="end"/>
        </w:r>
      </w:hyperlink>
    </w:p>
    <w:p>
      <w:pPr>
        <w:pStyle w:val="TOC2"/>
        <w:tabs>
          <w:tab w:val="right" w:leader="dot" w:pos="8306"/>
        </w:tabs>
      </w:pPr>
      <w:hyperlink w:anchor="_Toc32227" w:history="1">
        <w:r>
          <w:rPr>
            <w:rFonts w:ascii="仿宋" w:eastAsia="仿宋" w:hAnsi="仿宋" w:cs="仿宋" w:hint="eastAsia"/>
            <w:lang w:eastAsia="zh-CN"/>
          </w:rPr>
          <w:t>(一)、合作伙伴选择与评估</w:t>
        </w:r>
        <w:r>
          <w:tab/>
        </w:r>
        <w:r>
          <w:fldChar w:fldCharType="begin"/>
        </w:r>
        <w:r>
          <w:instrText xml:space="preserve"> PAGEREF _Toc32227 \h </w:instrText>
        </w:r>
        <w:r>
          <w:fldChar w:fldCharType="separate"/>
        </w:r>
        <w:r>
          <w:t>26</w:t>
        </w:r>
        <w:r>
          <w:fldChar w:fldCharType="end"/>
        </w:r>
      </w:hyperlink>
    </w:p>
    <w:p>
      <w:pPr>
        <w:pStyle w:val="TOC2"/>
        <w:tabs>
          <w:tab w:val="right" w:leader="dot" w:pos="8306"/>
        </w:tabs>
      </w:pPr>
      <w:hyperlink w:anchor="_Toc21137" w:history="1">
        <w:r>
          <w:rPr>
            <w:rFonts w:ascii="仿宋" w:eastAsia="仿宋" w:hAnsi="仿宋" w:cs="仿宋" w:hint="eastAsia"/>
            <w:lang w:eastAsia="zh-CN"/>
          </w:rPr>
          <w:t>(二)、合作伙伴协议与合同管理</w:t>
        </w:r>
        <w:r>
          <w:tab/>
        </w:r>
        <w:r>
          <w:fldChar w:fldCharType="begin"/>
        </w:r>
        <w:r>
          <w:instrText xml:space="preserve"> PAGEREF _Toc21137 \h </w:instrText>
        </w:r>
        <w:r>
          <w:fldChar w:fldCharType="separate"/>
        </w:r>
        <w:r>
          <w:t>27</w:t>
        </w:r>
        <w:r>
          <w:fldChar w:fldCharType="end"/>
        </w:r>
      </w:hyperlink>
    </w:p>
    <w:p>
      <w:pPr>
        <w:pStyle w:val="TOC2"/>
        <w:tabs>
          <w:tab w:val="right" w:leader="dot" w:pos="8306"/>
        </w:tabs>
      </w:pPr>
      <w:hyperlink w:anchor="_Toc22210" w:history="1">
        <w:r>
          <w:rPr>
            <w:rFonts w:ascii="仿宋" w:eastAsia="仿宋" w:hAnsi="仿宋" w:cs="仿宋" w:hint="eastAsia"/>
            <w:lang w:eastAsia="zh-CN"/>
          </w:rPr>
          <w:t>(三)、风险共担与利益共享机制</w:t>
        </w:r>
        <w:r>
          <w:tab/>
        </w:r>
        <w:r>
          <w:fldChar w:fldCharType="begin"/>
        </w:r>
        <w:r>
          <w:instrText xml:space="preserve"> PAGEREF _Toc22210 \h </w:instrText>
        </w:r>
        <w:r>
          <w:fldChar w:fldCharType="separate"/>
        </w:r>
        <w:r>
          <w:t>28</w:t>
        </w:r>
        <w:r>
          <w:fldChar w:fldCharType="end"/>
        </w:r>
      </w:hyperlink>
    </w:p>
    <w:p>
      <w:pPr>
        <w:pStyle w:val="TOC2"/>
        <w:tabs>
          <w:tab w:val="right" w:leader="dot" w:pos="8306"/>
        </w:tabs>
      </w:pPr>
      <w:hyperlink w:anchor="_Toc23857" w:history="1">
        <w:r>
          <w:rPr>
            <w:rFonts w:ascii="仿宋" w:eastAsia="仿宋" w:hAnsi="仿宋" w:cs="仿宋" w:hint="eastAsia"/>
            <w:lang w:eastAsia="zh-CN"/>
          </w:rPr>
          <w:t>(四)、定期合作评估与调整</w:t>
        </w:r>
        <w:r>
          <w:tab/>
        </w:r>
        <w:r>
          <w:fldChar w:fldCharType="begin"/>
        </w:r>
        <w:r>
          <w:instrText xml:space="preserve"> PAGEREF _Toc23857 \h </w:instrText>
        </w:r>
        <w:r>
          <w:fldChar w:fldCharType="separate"/>
        </w:r>
        <w:r>
          <w:t>28</w:t>
        </w:r>
        <w:r>
          <w:fldChar w:fldCharType="end"/>
        </w:r>
      </w:hyperlink>
    </w:p>
    <w:p>
      <w:pPr>
        <w:pStyle w:val="TOC1"/>
        <w:tabs>
          <w:tab w:val="right" w:leader="dot" w:pos="8306"/>
        </w:tabs>
      </w:pPr>
      <w:hyperlink w:anchor="_Toc980" w:history="1">
        <w:r>
          <w:rPr>
            <w:rFonts w:ascii="仿宋" w:eastAsia="仿宋" w:hAnsi="仿宋" w:cs="仿宋" w:hint="eastAsia"/>
            <w:lang w:eastAsia="zh-CN"/>
          </w:rPr>
          <w:t>七、质量管理与监督</w:t>
        </w:r>
        <w:r>
          <w:tab/>
        </w:r>
        <w:r>
          <w:fldChar w:fldCharType="begin"/>
        </w:r>
        <w:r>
          <w:instrText xml:space="preserve"> PAGEREF _Toc980 \h </w:instrText>
        </w:r>
        <w:r>
          <w:fldChar w:fldCharType="separate"/>
        </w:r>
        <w:r>
          <w:t>30</w:t>
        </w:r>
        <w:r>
          <w:fldChar w:fldCharType="end"/>
        </w:r>
      </w:hyperlink>
    </w:p>
    <w:p>
      <w:pPr>
        <w:pStyle w:val="TOC2"/>
        <w:tabs>
          <w:tab w:val="right" w:leader="dot" w:pos="8306"/>
        </w:tabs>
      </w:pPr>
      <w:hyperlink w:anchor="_Toc18761" w:history="1">
        <w:r>
          <w:rPr>
            <w:rFonts w:ascii="仿宋" w:eastAsia="仿宋" w:hAnsi="仿宋" w:cs="仿宋" w:hint="eastAsia"/>
            <w:lang w:eastAsia="zh-CN"/>
          </w:rPr>
          <w:t>(一)、质量管理原则</w:t>
        </w:r>
        <w:r>
          <w:tab/>
        </w:r>
        <w:r>
          <w:fldChar w:fldCharType="begin"/>
        </w:r>
        <w:r>
          <w:instrText xml:space="preserve"> PAGEREF _Toc18761 \h </w:instrText>
        </w:r>
        <w:r>
          <w:fldChar w:fldCharType="separate"/>
        </w:r>
        <w:r>
          <w:t>30</w:t>
        </w:r>
        <w:r>
          <w:fldChar w:fldCharType="end"/>
        </w:r>
      </w:hyperlink>
    </w:p>
    <w:p>
      <w:pPr>
        <w:pStyle w:val="TOC2"/>
        <w:tabs>
          <w:tab w:val="right" w:leader="dot" w:pos="8306"/>
        </w:tabs>
      </w:pPr>
      <w:hyperlink w:anchor="_Toc22331" w:history="1">
        <w:r>
          <w:rPr>
            <w:rFonts w:ascii="仿宋" w:eastAsia="仿宋" w:hAnsi="仿宋" w:cs="仿宋" w:hint="eastAsia"/>
            <w:lang w:eastAsia="zh-CN"/>
          </w:rPr>
          <w:t>(二)、质量控制措施</w:t>
        </w:r>
        <w:r>
          <w:tab/>
        </w:r>
        <w:r>
          <w:fldChar w:fldCharType="begin"/>
        </w:r>
        <w:r>
          <w:instrText xml:space="preserve"> PAGEREF _Toc22331 \h </w:instrText>
        </w:r>
        <w:r>
          <w:fldChar w:fldCharType="separate"/>
        </w:r>
        <w:r>
          <w:t>31</w:t>
        </w:r>
        <w:r>
          <w:fldChar w:fldCharType="end"/>
        </w:r>
      </w:hyperlink>
    </w:p>
    <w:p>
      <w:pPr>
        <w:pStyle w:val="TOC2"/>
        <w:tabs>
          <w:tab w:val="right" w:leader="dot" w:pos="8306"/>
        </w:tabs>
      </w:pPr>
      <w:hyperlink w:anchor="_Toc13091" w:history="1">
        <w:r>
          <w:rPr>
            <w:rFonts w:ascii="仿宋" w:eastAsia="仿宋" w:hAnsi="仿宋" w:cs="仿宋" w:hint="eastAsia"/>
            <w:lang w:eastAsia="zh-CN"/>
          </w:rPr>
          <w:t>(三)、监督与评估机制</w:t>
        </w:r>
        <w:r>
          <w:tab/>
        </w:r>
        <w:r>
          <w:fldChar w:fldCharType="begin"/>
        </w:r>
        <w:r>
          <w:instrText xml:space="preserve"> PAGEREF _Toc13091 \h </w:instrText>
        </w:r>
        <w:r>
          <w:fldChar w:fldCharType="separate"/>
        </w:r>
        <w:r>
          <w:t>33</w:t>
        </w:r>
        <w:r>
          <w:fldChar w:fldCharType="end"/>
        </w:r>
      </w:hyperlink>
    </w:p>
    <w:p>
      <w:pPr>
        <w:pStyle w:val="TOC2"/>
        <w:tabs>
          <w:tab w:val="right" w:leader="dot" w:pos="8306"/>
        </w:tabs>
      </w:pPr>
      <w:hyperlink w:anchor="_Toc27681" w:history="1">
        <w:r>
          <w:rPr>
            <w:rFonts w:ascii="仿宋" w:eastAsia="仿宋" w:hAnsi="仿宋" w:cs="仿宋" w:hint="eastAsia"/>
            <w:lang w:eastAsia="zh-CN"/>
          </w:rPr>
          <w:t>(四)、持续改进与反馈</w:t>
        </w:r>
        <w:r>
          <w:tab/>
        </w:r>
        <w:r>
          <w:fldChar w:fldCharType="begin"/>
        </w:r>
        <w:r>
          <w:instrText xml:space="preserve"> PAGEREF _Toc27681 \h </w:instrText>
        </w:r>
        <w:r>
          <w:fldChar w:fldCharType="separate"/>
        </w:r>
        <w:r>
          <w:t>34</w:t>
        </w:r>
        <w:r>
          <w:fldChar w:fldCharType="end"/>
        </w:r>
      </w:hyperlink>
    </w:p>
    <w:p>
      <w:pPr>
        <w:pStyle w:val="TOC1"/>
        <w:tabs>
          <w:tab w:val="right" w:leader="dot" w:pos="8306"/>
        </w:tabs>
      </w:pPr>
      <w:hyperlink w:anchor="_Toc314" w:history="1">
        <w:r>
          <w:rPr>
            <w:rFonts w:ascii="仿宋" w:eastAsia="仿宋" w:hAnsi="仿宋" w:cs="仿宋" w:hint="eastAsia"/>
            <w:lang w:eastAsia="zh-CN"/>
          </w:rPr>
          <w:t>八、系列脱氯剂项目落地与推广</w:t>
        </w:r>
        <w:r>
          <w:tab/>
        </w:r>
        <w:r>
          <w:fldChar w:fldCharType="begin"/>
        </w:r>
        <w:r>
          <w:instrText xml:space="preserve"> PAGEREF _Toc314 \h </w:instrText>
        </w:r>
        <w:r>
          <w:fldChar w:fldCharType="separate"/>
        </w:r>
        <w:r>
          <w:t>37</w:t>
        </w:r>
        <w:r>
          <w:fldChar w:fldCharType="end"/>
        </w:r>
      </w:hyperlink>
    </w:p>
    <w:p>
      <w:pPr>
        <w:pStyle w:val="TOC2"/>
        <w:tabs>
          <w:tab w:val="right" w:leader="dot" w:pos="8306"/>
        </w:tabs>
      </w:pPr>
      <w:hyperlink w:anchor="_Toc20256" w:history="1">
        <w:r>
          <w:rPr>
            <w:rFonts w:ascii="仿宋" w:eastAsia="仿宋" w:hAnsi="仿宋" w:cs="仿宋" w:hint="eastAsia"/>
            <w:lang w:eastAsia="zh-CN"/>
          </w:rPr>
          <w:t>(一)、系列脱氯剂项目推广计划</w:t>
        </w:r>
        <w:r>
          <w:tab/>
        </w:r>
        <w:r>
          <w:fldChar w:fldCharType="begin"/>
        </w:r>
        <w:r>
          <w:instrText xml:space="preserve"> PAGEREF _Toc20256 \h </w:instrText>
        </w:r>
        <w:r>
          <w:fldChar w:fldCharType="separate"/>
        </w:r>
        <w:r>
          <w:t>37</w:t>
        </w:r>
        <w:r>
          <w:fldChar w:fldCharType="end"/>
        </w:r>
      </w:hyperlink>
    </w:p>
    <w:p>
      <w:pPr>
        <w:pStyle w:val="TOC2"/>
        <w:tabs>
          <w:tab w:val="right" w:leader="dot" w:pos="8306"/>
        </w:tabs>
      </w:pPr>
      <w:hyperlink w:anchor="_Toc5512" w:history="1">
        <w:r>
          <w:rPr>
            <w:rFonts w:ascii="仿宋" w:eastAsia="仿宋" w:hAnsi="仿宋" w:cs="仿宋" w:hint="eastAsia"/>
            <w:lang w:eastAsia="zh-CN"/>
          </w:rPr>
          <w:t>(二)、地方政府支持与合作</w:t>
        </w:r>
        <w:r>
          <w:tab/>
        </w:r>
        <w:r>
          <w:fldChar w:fldCharType="begin"/>
        </w:r>
        <w:r>
          <w:instrText xml:space="preserve"> PAGEREF _Toc5512 \h </w:instrText>
        </w:r>
        <w:r>
          <w:fldChar w:fldCharType="separate"/>
        </w:r>
        <w:r>
          <w:t>38</w:t>
        </w:r>
        <w:r>
          <w:fldChar w:fldCharType="end"/>
        </w:r>
      </w:hyperlink>
    </w:p>
    <w:p>
      <w:pPr>
        <w:pStyle w:val="TOC2"/>
        <w:tabs>
          <w:tab w:val="right" w:leader="dot" w:pos="8306"/>
        </w:tabs>
      </w:pPr>
      <w:hyperlink w:anchor="_Toc27380" w:history="1">
        <w:r>
          <w:rPr>
            <w:rFonts w:ascii="仿宋" w:eastAsia="仿宋" w:hAnsi="仿宋" w:cs="仿宋" w:hint="eastAsia"/>
            <w:lang w:eastAsia="zh-CN"/>
          </w:rPr>
          <w:t>(三)、市场推广与品牌建设</w:t>
        </w:r>
        <w:r>
          <w:tab/>
        </w:r>
        <w:r>
          <w:fldChar w:fldCharType="begin"/>
        </w:r>
        <w:r>
          <w:instrText xml:space="preserve"> PAGEREF _Toc27380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6" w:history="1">
        <w:r>
          <w:rPr>
            <w:rFonts w:ascii="仿宋" w:eastAsia="仿宋" w:hAnsi="仿宋" w:cs="仿宋" w:hint="eastAsia"/>
            <w:lang w:eastAsia="zh-CN"/>
          </w:rPr>
          <w:t>(四)、社会参与与共享机制</w:t>
        </w:r>
        <w:r>
          <w:tab/>
        </w:r>
        <w:r>
          <w:fldChar w:fldCharType="begin"/>
        </w:r>
        <w:r>
          <w:instrText xml:space="preserve"> PAGEREF _Toc1526 \h </w:instrText>
        </w:r>
        <w:r>
          <w:fldChar w:fldCharType="separate"/>
        </w:r>
        <w:r>
          <w:t>40</w:t>
        </w:r>
        <w:r>
          <w:fldChar w:fldCharType="end"/>
        </w:r>
      </w:hyperlink>
    </w:p>
    <w:p>
      <w:pPr>
        <w:pStyle w:val="TOC1"/>
        <w:tabs>
          <w:tab w:val="right" w:leader="dot" w:pos="8306"/>
        </w:tabs>
      </w:pPr>
      <w:hyperlink w:anchor="_Toc25489" w:history="1">
        <w:r>
          <w:rPr>
            <w:rFonts w:ascii="仿宋" w:eastAsia="仿宋" w:hAnsi="仿宋" w:cs="仿宋" w:hint="eastAsia"/>
            <w:lang w:eastAsia="zh-CN"/>
          </w:rPr>
          <w:t>九、成本控制与效益提升</w:t>
        </w:r>
        <w:r>
          <w:tab/>
        </w:r>
        <w:r>
          <w:fldChar w:fldCharType="begin"/>
        </w:r>
        <w:r>
          <w:instrText xml:space="preserve"> PAGEREF _Toc25489 \h </w:instrText>
        </w:r>
        <w:r>
          <w:fldChar w:fldCharType="separate"/>
        </w:r>
        <w:r>
          <w:t>41</w:t>
        </w:r>
        <w:r>
          <w:fldChar w:fldCharType="end"/>
        </w:r>
      </w:hyperlink>
    </w:p>
    <w:p>
      <w:pPr>
        <w:pStyle w:val="TOC2"/>
        <w:tabs>
          <w:tab w:val="right" w:leader="dot" w:pos="8306"/>
        </w:tabs>
      </w:pPr>
      <w:hyperlink w:anchor="_Toc32143" w:history="1">
        <w:r>
          <w:rPr>
            <w:rFonts w:ascii="仿宋" w:eastAsia="仿宋" w:hAnsi="仿宋" w:cs="仿宋" w:hint="eastAsia"/>
            <w:lang w:eastAsia="zh-CN"/>
          </w:rPr>
          <w:t>(一)、成本核算与预算管理</w:t>
        </w:r>
        <w:r>
          <w:tab/>
        </w:r>
        <w:r>
          <w:fldChar w:fldCharType="begin"/>
        </w:r>
        <w:r>
          <w:instrText xml:space="preserve"> PAGEREF _Toc32143 \h </w:instrText>
        </w:r>
        <w:r>
          <w:fldChar w:fldCharType="separate"/>
        </w:r>
        <w:r>
          <w:t>41</w:t>
        </w:r>
        <w:r>
          <w:fldChar w:fldCharType="end"/>
        </w:r>
      </w:hyperlink>
    </w:p>
    <w:p>
      <w:pPr>
        <w:pStyle w:val="TOC2"/>
        <w:tabs>
          <w:tab w:val="right" w:leader="dot" w:pos="8306"/>
        </w:tabs>
      </w:pPr>
      <w:hyperlink w:anchor="_Toc6934" w:history="1">
        <w:r>
          <w:rPr>
            <w:rFonts w:ascii="仿宋" w:eastAsia="仿宋" w:hAnsi="仿宋" w:cs="仿宋" w:hint="eastAsia"/>
            <w:lang w:eastAsia="zh-CN"/>
          </w:rPr>
          <w:t>(二)、资源利用效率评估</w:t>
        </w:r>
        <w:r>
          <w:tab/>
        </w:r>
        <w:r>
          <w:fldChar w:fldCharType="begin"/>
        </w:r>
        <w:r>
          <w:instrText xml:space="preserve"> PAGEREF _Toc6934 \h </w:instrText>
        </w:r>
        <w:r>
          <w:fldChar w:fldCharType="separate"/>
        </w:r>
        <w:r>
          <w:t>43</w:t>
        </w:r>
        <w:r>
          <w:fldChar w:fldCharType="end"/>
        </w:r>
      </w:hyperlink>
    </w:p>
    <w:p>
      <w:pPr>
        <w:pStyle w:val="TOC2"/>
        <w:tabs>
          <w:tab w:val="right" w:leader="dot" w:pos="8306"/>
        </w:tabs>
      </w:pPr>
      <w:hyperlink w:anchor="_Toc13362" w:history="1">
        <w:r>
          <w:rPr>
            <w:rFonts w:ascii="仿宋" w:eastAsia="仿宋" w:hAnsi="仿宋" w:cs="仿宋" w:hint="eastAsia"/>
            <w:lang w:eastAsia="zh-CN"/>
          </w:rPr>
          <w:t>(三)、降本增效的具体措施</w:t>
        </w:r>
        <w:r>
          <w:tab/>
        </w:r>
        <w:r>
          <w:fldChar w:fldCharType="begin"/>
        </w:r>
        <w:r>
          <w:instrText xml:space="preserve"> PAGEREF _Toc13362 \h </w:instrText>
        </w:r>
        <w:r>
          <w:fldChar w:fldCharType="separate"/>
        </w:r>
        <w:r>
          <w:t>45</w:t>
        </w:r>
        <w:r>
          <w:fldChar w:fldCharType="end"/>
        </w:r>
      </w:hyperlink>
    </w:p>
    <w:p>
      <w:pPr>
        <w:pStyle w:val="TOC2"/>
        <w:tabs>
          <w:tab w:val="right" w:leader="dot" w:pos="8306"/>
        </w:tabs>
      </w:pPr>
      <w:hyperlink w:anchor="_Toc14134" w:history="1">
        <w:r>
          <w:rPr>
            <w:rFonts w:ascii="仿宋" w:eastAsia="仿宋" w:hAnsi="仿宋" w:cs="仿宋" w:hint="eastAsia"/>
            <w:lang w:eastAsia="zh-CN"/>
          </w:rPr>
          <w:t>(四)、成本与效益的平衡策略</w:t>
        </w:r>
        <w:r>
          <w:tab/>
        </w:r>
        <w:r>
          <w:fldChar w:fldCharType="begin"/>
        </w:r>
        <w:r>
          <w:instrText xml:space="preserve"> PAGEREF _Toc14134 \h </w:instrText>
        </w:r>
        <w:r>
          <w:fldChar w:fldCharType="separate"/>
        </w:r>
        <w:r>
          <w:t>47</w:t>
        </w:r>
        <w:r>
          <w:fldChar w:fldCharType="end"/>
        </w:r>
      </w:hyperlink>
    </w:p>
    <w:p>
      <w:pPr>
        <w:pStyle w:val="TOC1"/>
        <w:tabs>
          <w:tab w:val="right" w:leader="dot" w:pos="8306"/>
        </w:tabs>
      </w:pPr>
      <w:hyperlink w:anchor="_Toc6349" w:history="1">
        <w:r>
          <w:rPr>
            <w:rFonts w:ascii="仿宋" w:eastAsia="仿宋" w:hAnsi="仿宋" w:cs="仿宋" w:hint="eastAsia"/>
            <w:lang w:eastAsia="zh-CN"/>
          </w:rPr>
          <w:t>十、资源有效利用与节能减排</w:t>
        </w:r>
        <w:r>
          <w:tab/>
        </w:r>
        <w:r>
          <w:fldChar w:fldCharType="begin"/>
        </w:r>
        <w:r>
          <w:instrText xml:space="preserve"> PAGEREF _Toc6349 \h </w:instrText>
        </w:r>
        <w:r>
          <w:fldChar w:fldCharType="separate"/>
        </w:r>
        <w:r>
          <w:t>48</w:t>
        </w:r>
        <w:r>
          <w:fldChar w:fldCharType="end"/>
        </w:r>
      </w:hyperlink>
    </w:p>
    <w:p>
      <w:pPr>
        <w:pStyle w:val="TOC2"/>
        <w:tabs>
          <w:tab w:val="right" w:leader="dot" w:pos="8306"/>
        </w:tabs>
      </w:pPr>
      <w:hyperlink w:anchor="_Toc29455" w:history="1">
        <w:r>
          <w:rPr>
            <w:rFonts w:ascii="仿宋" w:eastAsia="仿宋" w:hAnsi="仿宋" w:cs="仿宋" w:hint="eastAsia"/>
            <w:lang w:eastAsia="zh-CN"/>
          </w:rPr>
          <w:t>(一)、资源有效利用策略</w:t>
        </w:r>
        <w:r>
          <w:tab/>
        </w:r>
        <w:r>
          <w:fldChar w:fldCharType="begin"/>
        </w:r>
        <w:r>
          <w:instrText xml:space="preserve"> PAGEREF _Toc29455 \h </w:instrText>
        </w:r>
        <w:r>
          <w:fldChar w:fldCharType="separate"/>
        </w:r>
        <w:r>
          <w:t>48</w:t>
        </w:r>
        <w:r>
          <w:fldChar w:fldCharType="end"/>
        </w:r>
      </w:hyperlink>
    </w:p>
    <w:p>
      <w:pPr>
        <w:pStyle w:val="TOC2"/>
        <w:tabs>
          <w:tab w:val="right" w:leader="dot" w:pos="8306"/>
        </w:tabs>
      </w:pPr>
      <w:hyperlink w:anchor="_Toc27237" w:history="1">
        <w:r>
          <w:rPr>
            <w:rFonts w:ascii="仿宋" w:eastAsia="仿宋" w:hAnsi="仿宋" w:cs="仿宋" w:hint="eastAsia"/>
            <w:lang w:eastAsia="zh-CN"/>
          </w:rPr>
          <w:t>(二)、节能措施与技术应用</w:t>
        </w:r>
        <w:r>
          <w:tab/>
        </w:r>
        <w:r>
          <w:fldChar w:fldCharType="begin"/>
        </w:r>
        <w:r>
          <w:instrText xml:space="preserve"> PAGEREF _Toc27237 \h </w:instrText>
        </w:r>
        <w:r>
          <w:fldChar w:fldCharType="separate"/>
        </w:r>
        <w:r>
          <w:t>49</w:t>
        </w:r>
        <w:r>
          <w:fldChar w:fldCharType="end"/>
        </w:r>
      </w:hyperlink>
    </w:p>
    <w:p>
      <w:pPr>
        <w:pStyle w:val="TOC2"/>
        <w:tabs>
          <w:tab w:val="right" w:leader="dot" w:pos="8306"/>
        </w:tabs>
      </w:pPr>
      <w:hyperlink w:anchor="_Toc10371" w:history="1">
        <w:r>
          <w:rPr>
            <w:rFonts w:ascii="仿宋" w:eastAsia="仿宋" w:hAnsi="仿宋" w:cs="仿宋" w:hint="eastAsia"/>
            <w:lang w:eastAsia="zh-CN"/>
          </w:rPr>
          <w:t>(三)、减少排放与废弃物管理</w:t>
        </w:r>
        <w:r>
          <w:tab/>
        </w:r>
        <w:r>
          <w:fldChar w:fldCharType="begin"/>
        </w:r>
        <w:r>
          <w:instrText xml:space="preserve"> PAGEREF _Toc10371 \h </w:instrText>
        </w:r>
        <w:r>
          <w:fldChar w:fldCharType="separate"/>
        </w:r>
        <w:r>
          <w:t>49</w:t>
        </w:r>
        <w:r>
          <w:fldChar w:fldCharType="end"/>
        </w:r>
      </w:hyperlink>
    </w:p>
    <w:p>
      <w:pPr>
        <w:pStyle w:val="TOC1"/>
        <w:tabs>
          <w:tab w:val="right" w:leader="dot" w:pos="8306"/>
        </w:tabs>
      </w:pPr>
      <w:hyperlink w:anchor="_Toc7802" w:history="1">
        <w:r>
          <w:rPr>
            <w:rFonts w:ascii="仿宋" w:eastAsia="仿宋" w:hAnsi="仿宋" w:cs="仿宋" w:hint="eastAsia"/>
            <w:lang w:eastAsia="zh-CN"/>
          </w:rPr>
          <w:t>十一、供应链管理</w:t>
        </w:r>
        <w:r>
          <w:tab/>
        </w:r>
        <w:r>
          <w:fldChar w:fldCharType="begin"/>
        </w:r>
        <w:r>
          <w:instrText xml:space="preserve"> PAGEREF _Toc7802 \h </w:instrText>
        </w:r>
        <w:r>
          <w:fldChar w:fldCharType="separate"/>
        </w:r>
        <w:r>
          <w:t>50</w:t>
        </w:r>
        <w:r>
          <w:fldChar w:fldCharType="end"/>
        </w:r>
      </w:hyperlink>
    </w:p>
    <w:p>
      <w:pPr>
        <w:pStyle w:val="TOC2"/>
        <w:tabs>
          <w:tab w:val="right" w:leader="dot" w:pos="8306"/>
        </w:tabs>
      </w:pPr>
      <w:hyperlink w:anchor="_Toc5519" w:history="1">
        <w:r>
          <w:rPr>
            <w:rFonts w:ascii="仿宋" w:eastAsia="仿宋" w:hAnsi="仿宋" w:cs="仿宋" w:hint="eastAsia"/>
            <w:lang w:eastAsia="zh-CN"/>
          </w:rPr>
          <w:t>(一)、供应链战略规划</w:t>
        </w:r>
        <w:r>
          <w:tab/>
        </w:r>
        <w:r>
          <w:fldChar w:fldCharType="begin"/>
        </w:r>
        <w:r>
          <w:instrText xml:space="preserve"> PAGEREF _Toc5519 \h </w:instrText>
        </w:r>
        <w:r>
          <w:fldChar w:fldCharType="separate"/>
        </w:r>
        <w:r>
          <w:t>50</w:t>
        </w:r>
        <w:r>
          <w:fldChar w:fldCharType="end"/>
        </w:r>
      </w:hyperlink>
    </w:p>
    <w:p>
      <w:pPr>
        <w:pStyle w:val="TOC2"/>
        <w:tabs>
          <w:tab w:val="right" w:leader="dot" w:pos="8306"/>
        </w:tabs>
      </w:pPr>
      <w:hyperlink w:anchor="_Toc10130" w:history="1">
        <w:r>
          <w:rPr>
            <w:rFonts w:ascii="仿宋" w:eastAsia="仿宋" w:hAnsi="仿宋" w:cs="仿宋" w:hint="eastAsia"/>
            <w:lang w:eastAsia="zh-CN"/>
          </w:rPr>
          <w:t>(二)、供应商选择与评估</w:t>
        </w:r>
        <w:r>
          <w:tab/>
        </w:r>
        <w:r>
          <w:fldChar w:fldCharType="begin"/>
        </w:r>
        <w:r>
          <w:instrText xml:space="preserve"> PAGEREF _Toc10130 \h </w:instrText>
        </w:r>
        <w:r>
          <w:fldChar w:fldCharType="separate"/>
        </w:r>
        <w:r>
          <w:t>51</w:t>
        </w:r>
        <w:r>
          <w:fldChar w:fldCharType="end"/>
        </w:r>
      </w:hyperlink>
    </w:p>
    <w:p>
      <w:pPr>
        <w:pStyle w:val="TOC2"/>
        <w:tabs>
          <w:tab w:val="right" w:leader="dot" w:pos="8306"/>
        </w:tabs>
      </w:pPr>
      <w:hyperlink w:anchor="_Toc17722" w:history="1">
        <w:r>
          <w:rPr>
            <w:rFonts w:ascii="仿宋" w:eastAsia="仿宋" w:hAnsi="仿宋" w:cs="仿宋" w:hint="eastAsia"/>
            <w:lang w:eastAsia="zh-CN"/>
          </w:rPr>
          <w:t>(三)、物流与库存管理</w:t>
        </w:r>
        <w:r>
          <w:tab/>
        </w:r>
        <w:r>
          <w:fldChar w:fldCharType="begin"/>
        </w:r>
        <w:r>
          <w:instrText xml:space="preserve"> PAGEREF _Toc17722 \h </w:instrText>
        </w:r>
        <w:r>
          <w:fldChar w:fldCharType="separate"/>
        </w:r>
        <w:r>
          <w:t>52</w:t>
        </w:r>
        <w:r>
          <w:fldChar w:fldCharType="end"/>
        </w:r>
      </w:hyperlink>
    </w:p>
    <w:p>
      <w:pPr>
        <w:pStyle w:val="TOC2"/>
        <w:tabs>
          <w:tab w:val="right" w:leader="dot" w:pos="8306"/>
        </w:tabs>
      </w:pPr>
      <w:hyperlink w:anchor="_Toc1246" w:history="1">
        <w:r>
          <w:rPr>
            <w:rFonts w:ascii="仿宋" w:eastAsia="仿宋" w:hAnsi="仿宋" w:cs="仿宋" w:hint="eastAsia"/>
            <w:lang w:eastAsia="zh-CN"/>
          </w:rPr>
          <w:t>(四)、供应链风险管理</w:t>
        </w:r>
        <w:r>
          <w:tab/>
        </w:r>
        <w:r>
          <w:fldChar w:fldCharType="begin"/>
        </w:r>
        <w:r>
          <w:instrText xml:space="preserve"> PAGEREF _Toc1246 \h </w:instrText>
        </w:r>
        <w:r>
          <w:fldChar w:fldCharType="separate"/>
        </w:r>
        <w:r>
          <w:t>53</w:t>
        </w:r>
        <w:r>
          <w:fldChar w:fldCharType="end"/>
        </w:r>
      </w:hyperlink>
    </w:p>
    <w:p>
      <w:pPr>
        <w:pStyle w:val="TOC1"/>
        <w:tabs>
          <w:tab w:val="right" w:leader="dot" w:pos="8306"/>
        </w:tabs>
      </w:pPr>
      <w:hyperlink w:anchor="_Toc268" w:history="1">
        <w:r>
          <w:rPr>
            <w:rFonts w:ascii="仿宋" w:eastAsia="仿宋" w:hAnsi="仿宋" w:cs="仿宋" w:hint="eastAsia"/>
            <w:lang w:eastAsia="zh-CN"/>
          </w:rPr>
          <w:t>十二、市场营销与品牌推广</w:t>
        </w:r>
        <w:r>
          <w:tab/>
        </w:r>
        <w:r>
          <w:fldChar w:fldCharType="begin"/>
        </w:r>
        <w:r>
          <w:instrText xml:space="preserve"> PAGEREF _Toc268 \h </w:instrText>
        </w:r>
        <w:r>
          <w:fldChar w:fldCharType="separate"/>
        </w:r>
        <w:r>
          <w:t>54</w:t>
        </w:r>
        <w:r>
          <w:fldChar w:fldCharType="end"/>
        </w:r>
      </w:hyperlink>
    </w:p>
    <w:p>
      <w:pPr>
        <w:pStyle w:val="TOC2"/>
        <w:tabs>
          <w:tab w:val="right" w:leader="dot" w:pos="8306"/>
        </w:tabs>
      </w:pPr>
      <w:hyperlink w:anchor="_Toc3169" w:history="1">
        <w:r>
          <w:rPr>
            <w:rFonts w:ascii="仿宋" w:eastAsia="仿宋" w:hAnsi="仿宋" w:cs="仿宋" w:hint="eastAsia"/>
            <w:lang w:eastAsia="zh-CN"/>
          </w:rPr>
          <w:t>(一)、市场调研与定位</w:t>
        </w:r>
        <w:r>
          <w:tab/>
        </w:r>
        <w:r>
          <w:fldChar w:fldCharType="begin"/>
        </w:r>
        <w:r>
          <w:instrText xml:space="preserve"> PAGEREF _Toc3169 \h </w:instrText>
        </w:r>
        <w:r>
          <w:fldChar w:fldCharType="separate"/>
        </w:r>
        <w:r>
          <w:t>54</w:t>
        </w:r>
        <w:r>
          <w:fldChar w:fldCharType="end"/>
        </w:r>
      </w:hyperlink>
    </w:p>
    <w:p>
      <w:pPr>
        <w:pStyle w:val="TOC2"/>
        <w:tabs>
          <w:tab w:val="right" w:leader="dot" w:pos="8306"/>
        </w:tabs>
      </w:pPr>
      <w:hyperlink w:anchor="_Toc5937" w:history="1">
        <w:r>
          <w:rPr>
            <w:rFonts w:ascii="仿宋" w:eastAsia="仿宋" w:hAnsi="仿宋" w:cs="仿宋" w:hint="eastAsia"/>
            <w:lang w:eastAsia="zh-CN"/>
          </w:rPr>
          <w:t>(二)、营销策略与推广计划</w:t>
        </w:r>
        <w:r>
          <w:tab/>
        </w:r>
        <w:r>
          <w:fldChar w:fldCharType="begin"/>
        </w:r>
        <w:r>
          <w:instrText xml:space="preserve"> PAGEREF _Toc5937 \h </w:instrText>
        </w:r>
        <w:r>
          <w:fldChar w:fldCharType="separate"/>
        </w:r>
        <w:r>
          <w:t>55</w:t>
        </w:r>
        <w:r>
          <w:fldChar w:fldCharType="end"/>
        </w:r>
      </w:hyperlink>
    </w:p>
    <w:p>
      <w:pPr>
        <w:pStyle w:val="TOC2"/>
        <w:tabs>
          <w:tab w:val="right" w:leader="dot" w:pos="8306"/>
        </w:tabs>
      </w:pPr>
      <w:hyperlink w:anchor="_Toc11014" w:history="1">
        <w:r>
          <w:rPr>
            <w:rFonts w:ascii="仿宋" w:eastAsia="仿宋" w:hAnsi="仿宋" w:cs="仿宋" w:hint="eastAsia"/>
            <w:lang w:eastAsia="zh-CN"/>
          </w:rPr>
          <w:t>(三)、客户关系管理</w:t>
        </w:r>
        <w:r>
          <w:tab/>
        </w:r>
        <w:r>
          <w:fldChar w:fldCharType="begin"/>
        </w:r>
        <w:r>
          <w:instrText xml:space="preserve"> PAGEREF _Toc11014 \h </w:instrText>
        </w:r>
        <w:r>
          <w:fldChar w:fldCharType="separate"/>
        </w:r>
        <w:r>
          <w:t>57</w:t>
        </w:r>
        <w:r>
          <w:fldChar w:fldCharType="end"/>
        </w:r>
      </w:hyperlink>
    </w:p>
    <w:p>
      <w:pPr>
        <w:pStyle w:val="TOC2"/>
        <w:tabs>
          <w:tab w:val="right" w:leader="dot" w:pos="8306"/>
        </w:tabs>
      </w:pPr>
      <w:hyperlink w:anchor="_Toc25261" w:history="1">
        <w:r>
          <w:rPr>
            <w:rFonts w:ascii="仿宋" w:eastAsia="仿宋" w:hAnsi="仿宋" w:cs="仿宋" w:hint="eastAsia"/>
            <w:lang w:eastAsia="zh-CN"/>
          </w:rPr>
          <w:t>(四)、品牌建设与维护</w:t>
        </w:r>
        <w:r>
          <w:tab/>
        </w:r>
        <w:r>
          <w:fldChar w:fldCharType="begin"/>
        </w:r>
        <w:r>
          <w:instrText xml:space="preserve"> PAGEREF _Toc25261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9096"/>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29078"/>
      <w:r>
        <w:rPr>
          <w:rFonts w:ascii="仿宋" w:eastAsia="仿宋" w:hAnsi="仿宋" w:cs="仿宋" w:hint="eastAsia"/>
          <w:lang w:eastAsia="zh-CN"/>
        </w:rPr>
        <w:t>(一)、系列脱氯剂项目运营管理机制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在系列脱氯剂项目运营阶段，我们将建立完善的运营管理机制，以确保系列脱氯剂项目稳健运行和高效管理。关键要点包括：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成立专业化的运营团队，囊括各领域专业人才，确保对系列脱氯剂项目各方面进行全面管理。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28582"/>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16861"/>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21557"/>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为保持系列脱氯剂项目的高效运行和不断改进，我们将定期进行检查与评估：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30626"/>
      <w:r>
        <w:rPr>
          <w:rFonts w:ascii="仿宋" w:eastAsia="仿宋" w:hAnsi="仿宋" w:cs="仿宋" w:hint="eastAsia"/>
          <w:sz w:val="28"/>
          <w:lang w:eastAsia="zh-CN"/>
        </w:rPr>
        <w:t>二、背景和必要性研究</w:t>
      </w:r>
      <w:bookmarkEnd w:id="7"/>
    </w:p>
    <w:p>
      <w:pPr>
        <w:pStyle w:val="Heading2"/>
        <w:rPr>
          <w:rFonts w:ascii="仿宋" w:eastAsia="仿宋" w:hAnsi="仿宋" w:cs="仿宋" w:hint="eastAsia"/>
          <w:lang w:eastAsia="zh-CN"/>
        </w:rPr>
      </w:pPr>
      <w:bookmarkStart w:id="8" w:name="_Toc23983"/>
      <w:r>
        <w:rPr>
          <w:rFonts w:ascii="仿宋" w:eastAsia="仿宋" w:hAnsi="仿宋" w:cs="仿宋" w:hint="eastAsia"/>
          <w:lang w:eastAsia="zh-CN"/>
        </w:rPr>
        <w:t>(一)、系列脱氯剂项目承办单位背景分析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9" w:name="_Toc23420"/>
      <w:r>
        <w:rPr>
          <w:rFonts w:ascii="仿宋" w:eastAsia="仿宋" w:hAnsi="仿宋" w:cs="仿宋" w:hint="eastAsia"/>
          <w:sz w:val="28"/>
          <w:lang w:eastAsia="zh-CN"/>
        </w:rPr>
        <w:t>(二)、系列脱氯剂项目背景分析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系列脱氯剂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0" w:name="_Toc12133"/>
      <w:r>
        <w:rPr>
          <w:rFonts w:ascii="仿宋" w:eastAsia="仿宋" w:hAnsi="仿宋" w:cs="仿宋" w:hint="eastAsia"/>
          <w:sz w:val="28"/>
          <w:lang w:eastAsia="zh-CN"/>
        </w:rPr>
        <w:t>三、系列脱氯剂项目建设地分析</w:t>
      </w:r>
      <w:bookmarkEnd w:id="10"/>
    </w:p>
    <w:p>
      <w:pPr>
        <w:pStyle w:val="Heading2"/>
        <w:rPr>
          <w:rFonts w:ascii="仿宋" w:eastAsia="仿宋" w:hAnsi="仿宋" w:cs="仿宋" w:hint="eastAsia"/>
          <w:lang w:eastAsia="zh-CN"/>
        </w:rPr>
      </w:pPr>
      <w:bookmarkStart w:id="11" w:name="_Toc29741"/>
      <w:r>
        <w:rPr>
          <w:rFonts w:ascii="仿宋" w:eastAsia="仿宋" w:hAnsi="仿宋" w:cs="仿宋" w:hint="eastAsia"/>
          <w:lang w:eastAsia="zh-CN"/>
        </w:rPr>
        <w:t>(一)、系列脱氯剂项目选址原则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确保系列脱氯剂项目建设不会对周围环境造成污染，或者任何潜在的污染都将控制在国家法律和标准允许的范围内。系列脱氯剂项目建设的区域将依据城市总体规划，以确保布局相对独立，便于进行科研、生产经营和管理活动。同时，系列脱氯剂项目建设区域与城市建设地的联系也将得到全面考虑，以促使系列脱氯剂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系列脱氯剂项目建设方案将在满足系列脱氯剂项目产品生产工艺、消防安全、环境保护卫生等要求的前提下，尽量合并建筑，以提高资源利用效率。在布置方面，将充分利用自然空间，贯彻执行“十分珍惜和合理利用土地”的基本国策，根据具体情况因地制宜，合理布置系列脱氯剂项目建设，确保土地利用的合理性和可持续性。这样的系列脱氯剂项目规划将确保在系列脱氯剂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2" w:name="_Toc11006"/>
      <w:r>
        <w:rPr>
          <w:rFonts w:ascii="仿宋" w:eastAsia="仿宋" w:hAnsi="仿宋" w:cs="仿宋" w:hint="eastAsia"/>
          <w:sz w:val="28"/>
          <w:lang w:eastAsia="zh-CN"/>
        </w:rPr>
        <w:t>(二)、系列脱氯剂项目选址</w:t>
      </w:r>
      <w:bookmarkEnd w:id="1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系列脱氯剂项目选址在</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产业示范园区，这一选址的决定经过了充分的论证和考量。首先，xxx</w:t>
      </w:r>
      <w:r>
        <w:rPr>
          <w:rFonts w:ascii="仿宋" w:eastAsia="仿宋" w:hAnsi="仿宋" w:cs="仿宋" w:hint="eastAsia"/>
          <w:sz w:val="28"/>
          <w:lang w:eastAsia="zh-CN"/>
        </w:rPr>
        <w:t xml:space="preserve"> 产业示范园区作为地区内产业发展的重要引擎，具备了先进的基础设施和产业配套条件，为系列脱氯剂项目的顺利开展提供了有力支持。其次，该示范园区拥有便捷的交通网络和优越的地理位置，有利于原材料供应、产品流通以及人员往来，提高了系列脱氯剂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系列脱氯剂项目的环保理念高度契合。选址于示范园区，不仅可以有效整合各类资源，降低系列脱氯剂项目建设和运营的成本，同时也有助于提升系列脱氯剂项目的整体竞争力。综合考虑产业集聚效应、交通便捷性以及生态环保等多方面因素，选址于 xxx 产业示范园区对系列脱氯剂项目的可持续发展具有积极的促进作用。</w:t>
      </w:r>
    </w:p>
    <w:p>
      <w:pPr>
        <w:pStyle w:val="Heading2"/>
        <w:ind w:firstLine="560" w:firstLineChars="200"/>
        <w:rPr>
          <w:rFonts w:ascii="仿宋" w:eastAsia="仿宋" w:hAnsi="仿宋" w:cs="仿宋" w:hint="eastAsia"/>
          <w:sz w:val="28"/>
          <w:lang w:eastAsia="zh-CN"/>
        </w:rPr>
      </w:pPr>
      <w:bookmarkStart w:id="13" w:name="_Toc25341"/>
      <w:r>
        <w:rPr>
          <w:rFonts w:ascii="仿宋" w:eastAsia="仿宋" w:hAnsi="仿宋" w:cs="仿宋" w:hint="eastAsia"/>
          <w:sz w:val="28"/>
          <w:lang w:eastAsia="zh-CN"/>
        </w:rPr>
        <w:t>(三)、建设条件分析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系列脱氯剂项目承办单位目前资产运营状况良好，财务管理制度健全且完善，企业财务雄厚。凭借卓越的产品质量、科学的管理模式以及灵活畅通的销售网络，该单位连年实现盈利，为系列脱氯剂项目建设提供充足的计划自筹资金。当地人民政府和主管部门高度重视系列脱氯剂项目建设，土地、规划、建设等管理部门提出了切实可行的实施方案和保障措施，并给予充分的认可。此外，系列脱氯剂项目建设区域拥有充足的水、电、气等资源供给，足以满足系列脱氯剂项目正常生产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系列脱氯剂项目可依托系列脱氯剂项目建设地成熟的公用工程、辅助工程、储运设施等富余资源，同时拥有丰富的劳动力资源和完善的社会服务体系。这将有助于加速系列脱氯剂项目建设进度，降低建设成本，实现系列脱氯剂项目投资的节约，提升系列脱氯剂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系列脱氯剂项目承办单位具备一大批丰富经验的系列脱氯剂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系列脱氯剂项目承办单位还与多家科研院所建立了长期的合作关系，并设立了向科研开发倾斜的奖励机制，每年投入专项资金用于重点产品和关键工艺的研发奖励。这为系列脱氯剂项目的科研创新提供了有力的支持。</w:t>
      </w:r>
    </w:p>
    <w:p>
      <w:pPr>
        <w:pStyle w:val="Heading2"/>
        <w:ind w:firstLine="560" w:firstLineChars="200"/>
        <w:rPr>
          <w:rFonts w:ascii="仿宋" w:eastAsia="仿宋" w:hAnsi="仿宋" w:cs="仿宋" w:hint="eastAsia"/>
          <w:sz w:val="28"/>
          <w:lang w:eastAsia="zh-CN"/>
        </w:rPr>
      </w:pPr>
      <w:bookmarkStart w:id="14" w:name="_Toc8669"/>
      <w:r>
        <w:rPr>
          <w:rFonts w:ascii="仿宋" w:eastAsia="仿宋" w:hAnsi="仿宋" w:cs="仿宋" w:hint="eastAsia"/>
          <w:sz w:val="28"/>
          <w:lang w:eastAsia="zh-CN"/>
        </w:rPr>
        <w:t>(四)、用地控制指标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系列脱氯剂项目选址于 xxx 产业示范园区，关于用地控制指标的规划与管理，本系列脱氯剂项目将严格遵循国家和地方的相关法规和标准。用地控制指标包括但不限于以下几个方面：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系列脱氯剂项目将严格按照规划建设主体工程的需要，确保建筑物基底占地面积在符合法规的范围内，以最大限度地利用土地，提高用地利用效率。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根据示范园区的总体规划，系列脱氯剂项目将遵循相应的建筑密度标准，合理规划建设，保障系列脱氯剂项目建设的紧凑性和高效性。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在系列脱氯剂项目建设中，将注重绿化工作，确保绿化率达到或超过规划要求。通过科学合理的绿化设计，提升系列脱氯剂项目周边的生态环境，使其更加宜居宜业。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系列脱氯剂项目将根据规划要求，合理规划地上和地下层数，确保建设的稳定性和安全性。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根据示范园区的具体规划和相关法规，系列脱氯剂项目还将遵循其他用地控制指标，如建筑线、退让线等，确保系列脱氯剂项目的建设与周边环境的和谐相处。</w:t>
      </w:r>
    </w:p>
    <w:p>
      <w:pPr>
        <w:pStyle w:val="Heading2"/>
        <w:ind w:firstLine="560" w:firstLineChars="200"/>
        <w:rPr>
          <w:rFonts w:ascii="仿宋" w:eastAsia="仿宋" w:hAnsi="仿宋" w:cs="仿宋" w:hint="eastAsia"/>
          <w:sz w:val="28"/>
          <w:lang w:eastAsia="zh-CN"/>
        </w:rPr>
      </w:pPr>
      <w:bookmarkStart w:id="15" w:name="_Toc31767"/>
      <w:r>
        <w:rPr>
          <w:rFonts w:ascii="仿宋" w:eastAsia="仿宋" w:hAnsi="仿宋" w:cs="仿宋" w:hint="eastAsia"/>
          <w:sz w:val="28"/>
          <w:lang w:eastAsia="zh-CN"/>
        </w:rPr>
        <w:t>(五)、用地总体要求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在本期工程系列脱氯剂项目的建设规划中，涉及到一系列关键的建设指标，这些指标将有助于确保系列脱氯剂项目的合理规划和高效建设。具体而言：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系列脱氯剂项目的建筑系数为XXX%。该系数是对系列脱氯剂项目建筑面积与用地面积的比例控制，通过设定合理的建筑系数，可以确保系列脱氯剂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系列脱氯剂项目的建筑容积率为XXX。该率值衡量了建筑物总体积与用地面积的比例，是规划中用来控制建筑高度和密度的关键参数。通过合理控制建筑容积率，可以在确保建筑物结构合理的同时，使系列脱氯剂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系列脱氯剂项目的生态品质，本期工程系列脱氯剂项目将严格执行绿化覆盖率标准，目标值为XXX%。这意味着在系列脱氯剂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系列脱氯剂项目的固定资产投资强度为XXX万元/亩。该指标表征了每亩土地上的固定资产投资额，是评估系列脱氯剂项目投资规模的重要参考。通过科学合理地控制投资强度，可以实现资金的有效利用，确保系列脱氯剂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这些建设规划指标将有助于系列脱氯剂项目在建设过程中充分考虑资源利用效率、环境保护、投资效益等多个方面，实现可持续发展的目标。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6" w:name="_Toc1672"/>
      <w:r>
        <w:rPr>
          <w:rFonts w:ascii="仿宋" w:eastAsia="仿宋" w:hAnsi="仿宋" w:cs="仿宋" w:hint="eastAsia"/>
          <w:sz w:val="28"/>
          <w:lang w:eastAsia="zh-CN"/>
        </w:rPr>
        <w:t>(六)、节约用地措施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系列脱氯剂项目建设坚持专业化生产原则，将主要生产过程和关键工序由系列脱氯剂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系列脱氯剂项目采用高效的生产工艺，通过科学的设备布局，最大程度地提高生产效率，减少生产空间的浪费。这包括合理的生产流程设计，避免不必要的物料运输和仓储空间占用。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在土地利用的同时，系列脱氯剂项目建设将考虑采用绿色建筑理念，以减少对周边自然环境的影响。通过科学规划和环保措施，确保生产过程中的废弃物处理和排放均符合环保标准，最小化对土地生态的冲击。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在生产过程中，系列脱氯剂项目将注重资源的综合利用，减少废弃物的产生。通过回收再利用、能源回收等手段，最大化地减少对新资源的依赖，实现对土地资源的更为有效的利用。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系列脱氯剂项目建设在土地资源的规划和使用上不仅注重高效性和科技性，同时保持对生态环境的尊重。这种全方位的土地资源节约措施将有助于系列脱氯剂项目的可持续发展和为社会创造更多的经济效益。</w:t>
      </w:r>
    </w:p>
    <w:p>
      <w:pPr>
        <w:pStyle w:val="Heading2"/>
        <w:ind w:firstLine="560" w:firstLineChars="200"/>
        <w:rPr>
          <w:rFonts w:ascii="仿宋" w:eastAsia="仿宋" w:hAnsi="仿宋" w:cs="仿宋" w:hint="eastAsia"/>
          <w:sz w:val="28"/>
          <w:lang w:eastAsia="zh-CN"/>
        </w:rPr>
      </w:pPr>
      <w:bookmarkStart w:id="17" w:name="_Toc17101"/>
      <w:r>
        <w:rPr>
          <w:rFonts w:ascii="仿宋" w:eastAsia="仿宋" w:hAnsi="仿宋" w:cs="仿宋" w:hint="eastAsia"/>
          <w:sz w:val="28"/>
          <w:lang w:eastAsia="zh-CN"/>
        </w:rPr>
        <w:t>(七)、总图布置方案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在系列脱氯剂项目规划中，总图布置方案是确保各个组成部分协调有序、高效运作的关键。以下是总图布置方案的主要考虑因素：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系列脱氯剂项目整体布局应基于高效生产流程和员工流动，确保各功能区域之间协调有序。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引入环保设计理念，设置废弃物处理区域和环保设施，确保系列脱氯剂项目对环境的影响最小化。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安排紧急设备和安全设备的布局，提高应急处理效率，确保系列脱氯剂项目安全运行。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留出足够的空间，以便未来系列脱氯剂项目扩建和设备更新。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总图布置方案应充分考虑以上因素，以确保系列脱氯剂项目在运作中能够高效、安全、可持续地发展。该方案的设计应符合系列脱氯剂项目的整体战略规划和长期发展目标。</w:t>
      </w:r>
    </w:p>
    <w:p>
      <w:pPr>
        <w:pStyle w:val="Heading2"/>
        <w:ind w:firstLine="560" w:firstLineChars="200"/>
        <w:rPr>
          <w:rFonts w:ascii="仿宋" w:eastAsia="仿宋" w:hAnsi="仿宋" w:cs="仿宋" w:hint="eastAsia"/>
          <w:sz w:val="28"/>
          <w:lang w:eastAsia="zh-CN"/>
        </w:rPr>
      </w:pPr>
      <w:bookmarkStart w:id="18" w:name="_Toc18017"/>
      <w:r>
        <w:rPr>
          <w:rFonts w:ascii="仿宋" w:eastAsia="仿宋" w:hAnsi="仿宋" w:cs="仿宋" w:hint="eastAsia"/>
          <w:sz w:val="28"/>
          <w:lang w:eastAsia="zh-CN"/>
        </w:rPr>
        <w:t>(八)、运输组成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系列脱氯剂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系列脱氯剂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场外运输主要包括原材料的供给和产品的外运。远距离运输采用汽车或铁路解决，而区域内社会运输力量充足，可以满足本期工程系列脱氯剂项目场外远距离运输需求。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系列脱氯剂项目选址位于XXX产业示范园区，将确保运输活动对周围环境不产生污染，且不超过国家法律和标准允许的范围。系列脱氯剂项目建设区域布局相对独立，便于科研、生产和管理活动，同时与建成区有便捷联系，确保系列脱氯剂项目的整体运营与周边社区和居民的和谐相处。</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系列脱氯剂项目建设方案将遵循土地利用的基本国策，采用因地制宜的方式进行合理布置，最大限度地减少土地利用的负面影响。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系列脱氯剂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综合考虑了物流系统的整体设计、运输安全、环保和社会影响、运输成本优化等方面，系列脱氯剂项目将致力于打造高效、安全、环保的物流体系，以支持系列脱氯剂项目的顺利实施和可持续发展。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28904"/>
      <w:r>
        <w:rPr>
          <w:rFonts w:ascii="仿宋" w:eastAsia="仿宋" w:hAnsi="仿宋" w:cs="仿宋" w:hint="eastAsia"/>
          <w:sz w:val="28"/>
          <w:lang w:eastAsia="zh-CN"/>
        </w:rPr>
        <w:t>(九)、选址综合评价</w:t>
      </w:r>
      <w:bookmarkEnd w:id="19"/>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系列脱氯剂项目选址地理位置优越，交通便利，具有显著的区位优势。该地区通讯便捷，水资源丰富，能源供应充足，这为系列脱氯剂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0" w:name="_Toc30272"/>
      <w:r>
        <w:rPr>
          <w:rFonts w:ascii="仿宋" w:eastAsia="仿宋" w:hAnsi="仿宋" w:cs="仿宋" w:hint="eastAsia"/>
          <w:sz w:val="28"/>
          <w:lang w:eastAsia="zh-CN"/>
        </w:rPr>
        <w:t>四、建设规划分析</w:t>
      </w:r>
      <w:bookmarkEnd w:id="20"/>
    </w:p>
    <w:p>
      <w:pPr>
        <w:pStyle w:val="Heading2"/>
        <w:rPr>
          <w:rFonts w:ascii="仿宋" w:eastAsia="仿宋" w:hAnsi="仿宋" w:cs="仿宋" w:hint="eastAsia"/>
          <w:lang w:eastAsia="zh-CN"/>
        </w:rPr>
      </w:pPr>
      <w:bookmarkStart w:id="21" w:name="_Toc10595"/>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系列脱氯剂项目产品方案的确定是基于多方面因素的综合考虑。我们充分考虑了国家及地方产业发展政策、市场需求状况、资源供应情况、企业资金筹措能力、生产工艺技术水平的先进程度以及系列脱氯剂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系列脱氯剂项目产品需求市场作为出发点和落脚点。根据市场的动态变化，我们将灵活调整产品结构，真正做到市场需求决定产品生产。市场热点在哪里，我们的创新工作就紧随其后。为了适应市场需求的变化，我们将合理确定系列脱氯剂项目产品生产方案，并通过增加产品高附加值的方式，满足人们对系列脱氯剂项目产品的多样需求。在市场变化中不断调整产品生产方案，是我们持续提高产品竞争力和满足市场需求的关键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https://d.book118.com/995130210211011103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B00041"/>
    <w:rsid w:val="25B00041"/>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95130210211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2024-01-28T15:02:00Z</dcterms:created>
  <dcterms:modified xsi:type="dcterms:W3CDTF">2024-01-28T15:02:34Z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EEE7FDC3F9C9493887CEEB83BE06D6A1_11</vt:lpwstr>
  </property>
  <property fmtid="{D5CDD505-2E9C-101B-9397-08002B2CF9AE}" pid="3" name="KSOProductBuildVer">
    <vt:lpwstr>2052-12.1.0.16120</vt:lpwstr>
  </property>
</Properties>
</file>