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"/>
        <w:rPr>
          <w:rFonts w:ascii="Times New Roman"/>
          <w:sz w:val="27"/>
        </w:rPr>
      </w:pPr>
    </w:p>
    <w:p>
      <w:pPr>
        <w:pStyle w:val="BodyText"/>
        <w:spacing w:before="97"/>
        <w:ind w:left="3420"/>
      </w:pPr>
      <w:r>
        <w:t>包装饮用水行业争论报告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5"/>
        </w:rPr>
      </w:pPr>
    </w:p>
    <w:p>
      <w:pPr>
        <w:pStyle w:val="BodyText"/>
        <w:spacing w:before="97"/>
        <w:ind w:left="3420"/>
      </w:pPr>
      <w:r>
        <w:t>报告观点：</w:t>
      </w:r>
    </w:p>
    <w:p>
      <w:pPr>
        <w:pStyle w:val="BodyText"/>
        <w:tabs>
          <w:tab w:val="left" w:pos="3780"/>
        </w:tabs>
        <w:spacing w:before="120" w:line="292" w:lineRule="auto"/>
        <w:ind w:left="3780" w:right="3278" w:hanging="1080"/>
      </w:pPr>
      <w:r>
        <w:t>1、</w:t>
        <w:tab/>
      </w:r>
      <w:r>
        <w:rPr>
          <w:spacing w:val="-1"/>
        </w:rPr>
        <w:t>国标出台</w:t>
      </w:r>
      <w:r>
        <w:t>加速国包装饮用水行业整合，原市场份额可能发生较大变动；</w:t>
      </w:r>
    </w:p>
    <w:p>
      <w:pPr>
        <w:pStyle w:val="BodyText"/>
        <w:tabs>
          <w:tab w:val="left" w:pos="3780"/>
        </w:tabs>
        <w:spacing w:before="8"/>
        <w:ind w:left="2700"/>
      </w:pPr>
      <w:r>
        <w:t>2、</w:t>
        <w:tab/>
        <w:t>国标加速不规包装饮用水企业倒下，调整完毕后，强者将更强；</w:t>
      </w:r>
    </w:p>
    <w:p>
      <w:pPr>
        <w:pStyle w:val="BodyText"/>
        <w:tabs>
          <w:tab w:val="left" w:pos="3780"/>
        </w:tabs>
        <w:spacing w:before="121"/>
        <w:ind w:left="2700"/>
      </w:pPr>
      <w:r>
        <w:t>3、</w:t>
        <w:tab/>
        <w:t>包装饮用水市场宽阔，增速较快，大有可为；</w:t>
      </w:r>
    </w:p>
    <w:p>
      <w:pPr>
        <w:pStyle w:val="BodyText"/>
        <w:tabs>
          <w:tab w:val="left" w:pos="3780"/>
        </w:tabs>
        <w:spacing w:before="120"/>
        <w:ind w:left="2700"/>
      </w:pPr>
      <w:r>
        <w:t>4、</w:t>
        <w:tab/>
        <w:t>高端矿泉水、自然矿泉水市场将成为抢夺的市场；</w:t>
      </w:r>
    </w:p>
    <w:p>
      <w:pPr>
        <w:pStyle w:val="BodyText"/>
        <w:tabs>
          <w:tab w:val="left" w:pos="3780"/>
        </w:tabs>
        <w:spacing w:before="125"/>
        <w:ind w:left="2700"/>
      </w:pPr>
      <w:r>
        <w:t>5、</w:t>
        <w:tab/>
        <w:t>尽快借助外界力气，抓住市场时机；</w:t>
      </w:r>
    </w:p>
    <w:p>
      <w:pPr>
        <w:pStyle w:val="BodyText"/>
        <w:tabs>
          <w:tab w:val="left" w:pos="3780"/>
        </w:tabs>
        <w:spacing w:before="121" w:line="292" w:lineRule="auto"/>
        <w:ind w:left="3780" w:right="2918" w:hanging="1080"/>
      </w:pPr>
      <w:r>
        <w:t>6、</w:t>
        <w:tab/>
      </w:r>
      <w:r>
        <w:rPr>
          <w:spacing w:val="-1"/>
        </w:rPr>
        <w:t>登陆资本市</w:t>
      </w:r>
      <w:r>
        <w:t>场可以给企业带来质的飞跃，有益于融资、征信、品牌、企业治理以及股权增值流通等；</w:t>
      </w:r>
    </w:p>
    <w:p>
      <w:pPr>
        <w:pStyle w:val="BodyText"/>
        <w:tabs>
          <w:tab w:val="left" w:pos="3780"/>
        </w:tabs>
        <w:spacing w:before="8" w:line="292" w:lineRule="auto"/>
        <w:ind w:left="3780" w:right="3278" w:hanging="1080"/>
      </w:pPr>
      <w:r>
        <w:t>7、</w:t>
        <w:tab/>
      </w:r>
      <w:r>
        <w:rPr>
          <w:spacing w:val="-1"/>
        </w:rPr>
        <w:t>目前国主板</w:t>
      </w:r>
      <w:r>
        <w:t>、中小板、创业板和三板均无一家纯粹的包装饮用水公司，抓住时机，争做第一。</w:t>
      </w:r>
    </w:p>
    <w:p>
      <w:pPr>
        <w:spacing w:after="0" w:line="292" w:lineRule="auto"/>
        <w:sectPr>
          <w:headerReference w:type="default" r:id="rId4"/>
          <w:footerReference w:type="default" r:id="rId5"/>
          <w:type w:val="continuous"/>
          <w:pgSz w:w="17860" w:h="25260"/>
          <w:pgMar w:top="1500" w:right="0" w:bottom="1680" w:left="0" w:header="1300" w:footer="148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97"/>
        <w:ind w:left="3420"/>
      </w:pPr>
      <w:r>
        <w:t>名目</w:t>
      </w:r>
    </w:p>
    <w:p>
      <w:pPr>
        <w:pStyle w:val="BodyText"/>
        <w:spacing w:before="5"/>
        <w:rPr>
          <w:sz w:val="52"/>
        </w:rPr>
      </w:pPr>
    </w:p>
    <w:p>
      <w:pPr>
        <w:pStyle w:val="BodyText"/>
        <w:spacing w:before="1" w:line="295" w:lineRule="auto"/>
        <w:ind w:left="3420" w:right="9398"/>
      </w:pPr>
      <w:r>
        <w:t>一、包装饮用水的定义及分类</w:t>
      </w:r>
      <w:r>
        <w:rPr>
          <w:spacing w:val="1"/>
        </w:rPr>
        <w:t xml:space="preserve"> </w:t>
      </w:r>
      <w:r>
        <w:rPr>
          <w:spacing w:val="-1"/>
        </w:rPr>
        <w:t>二、包装饮用水的进展概况分析</w:t>
      </w:r>
      <w:r>
        <w:t>三、中国包装饮用水行业分析</w:t>
      </w:r>
      <w:r>
        <w:rPr>
          <w:spacing w:val="1"/>
        </w:rPr>
        <w:t xml:space="preserve"> </w:t>
      </w:r>
      <w:r>
        <w:t>四、中国包装饮用水市场分析</w:t>
      </w:r>
      <w:r>
        <w:rPr>
          <w:spacing w:val="1"/>
        </w:rPr>
        <w:t xml:space="preserve"> </w:t>
      </w:r>
      <w:r>
        <w:t>五、包装饮用水企业市场分析</w:t>
      </w:r>
    </w:p>
    <w:p>
      <w:pPr>
        <w:pStyle w:val="BodyText"/>
        <w:spacing w:line="295" w:lineRule="auto"/>
        <w:ind w:left="3420" w:right="7958"/>
      </w:pPr>
      <w:r>
        <w:t>六、中国包装饮用水行业最政策分析</w:t>
      </w:r>
      <w:r>
        <w:rPr>
          <w:spacing w:val="1"/>
        </w:rPr>
        <w:t xml:space="preserve"> </w:t>
      </w:r>
      <w:r>
        <w:rPr>
          <w:spacing w:val="-1"/>
        </w:rPr>
        <w:t>七、包装饮用水行业前景展望与趋势推测</w:t>
      </w:r>
    </w:p>
    <w:p>
      <w:pPr>
        <w:spacing w:after="0" w:line="29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https://d.book118.com/995331100110011034</w:t>
        </w:r>
      </w:hyperlink>
    </w:p>
    <w:p>
      <w:pPr>
        <w:spacing w:after="0" w:line="295" w:lineRule="auto"/>
      </w:pPr>
    </w:p>
    <w:sectPr>
      <w:headerReference w:type="default" r:id="rId7"/>
      <w:footerReference w:type="default" r:id="rId8"/>
      <w:pgSz w:w="17860" w:h="25260"/>
      <w:pgMar w:top="1500" w:right="0" w:bottom="1680" w:left="0" w:header="1300" w:footer="148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细黑">
    <w:altName w:val="华文细黑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3.2pt;height:17.8pt;margin-top:1177.55pt;margin-left:161.0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6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Word</w:t>
                </w:r>
                <w:r>
                  <w:rPr>
                    <w:rFonts w:ascii="Times New Roman" w:eastAsia="Times New Roman"/>
                    <w:spacing w:val="1"/>
                    <w:sz w:val="27"/>
                  </w:rPr>
                  <w:t xml:space="preserve">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3.2pt;height:17.8pt;margin-top:1177.55pt;margin-left:161.0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Word</w:t>
                </w:r>
                <w:r>
                  <w:rPr>
                    <w:rFonts w:ascii="Times New Roman" w:eastAsia="Times New Roman"/>
                    <w:spacing w:val="1"/>
                    <w:sz w:val="27"/>
                  </w:rPr>
                  <w:t xml:space="preserve">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914400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914400</wp:posOffset>
          </wp:positionV>
          <wp:extent cx="8001000" cy="38100"/>
          <wp:effectExtent l="0" t="0" r="0" b="0"/>
          <wp:wrapNone/>
          <wp:docPr id="9884019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84019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细黑" w:eastAsia="华文细黑" w:hAnsi="华文细黑" w:cs="华文细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华文细黑" w:eastAsia="华文细黑" w:hAnsi="华文细黑" w:cs="华文细黑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97"/>
      <w:ind w:left="3543"/>
      <w:outlineLvl w:val="1"/>
    </w:pPr>
    <w:rPr>
      <w:rFonts w:ascii="华文细黑" w:eastAsia="华文细黑" w:hAnsi="华文细黑" w:cs="华文细黑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ind w:left="3571"/>
      <w:outlineLvl w:val="2"/>
    </w:pPr>
    <w:rPr>
      <w:rFonts w:ascii="华文细黑" w:eastAsia="华文细黑" w:hAnsi="华文细黑" w:cs="华文细黑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995331100110011034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2023-09-29T10:43:19Z</dcterms:created>
  <dcterms:modified xsi:type="dcterms:W3CDTF">2023-09-29T10:43:19Z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2023-05-05T00:00:00Z</vt:filetime>
  </property>
  <property fmtid="{D5CDD505-2E9C-101B-9397-08002B2CF9AE}" pid="3" name="LastSaved">
    <vt:filetime>2023-09-29T00:00:00Z</vt:filetime>
  </property>
</Properties>
</file>