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046" w:rsidRPr="0089101C">
      <w:pPr>
        <w:pStyle w:val="a"/>
        <w:framePr w:hSpace="0" w:vSpace="0" w:wrap="auto" w:vAnchor="margin" w:hAnchor="text" w:yAlign="inline"/>
        <w:spacing w:line="420" w:lineRule="auto"/>
        <w:ind w:left="-540" w:right="-506" w:firstLine="420" w:leftChars="-257" w:rightChars="-241" w:firstLineChars="210"/>
        <w:outlineLvl w:val="0"/>
        <w:rPr>
          <w:rFonts w:hint="eastAsia"/>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HBPicture" o:spid="_x0000_s1025" type="#_x0000_t75" style="width:110.5pt;height:56.7pt;margin-top:0;margin-left:5in;mso-position-horizontal-relative:margin;mso-position-vertical-relative:margin;position:absolute;z-index:251658240" stroked="f">
            <v:imagedata r:id="rId4" o:title="GB"/>
            <o:lock v:ext="edit" aspectratio="f"/>
            <w10:wrap anchorx="margin" anchory="margin"/>
            <w10:anchorlock/>
          </v:shape>
        </w:pict>
      </w:r>
      <w:r w:rsidRPr="0089101C">
        <w:t>ICS 03.120.10</w:t>
      </w:r>
    </w:p>
    <w:p w:rsidR="00FF7046" w:rsidRPr="0089101C">
      <w:pPr>
        <w:pStyle w:val="a"/>
        <w:framePr w:hSpace="0" w:vSpace="0" w:wrap="auto" w:vAnchor="margin" w:hAnchor="text" w:yAlign="inline"/>
        <w:tabs>
          <w:tab w:val="left" w:pos="9360"/>
        </w:tabs>
        <w:spacing w:line="420" w:lineRule="auto"/>
        <w:ind w:left="-540" w:firstLine="420" w:leftChars="-257" w:firstLineChars="200"/>
        <w:outlineLvl w:val="0"/>
      </w:pPr>
      <w:r w:rsidRPr="0089101C">
        <w:t>A 00</w:t>
      </w:r>
    </w:p>
    <w:p w:rsidR="00FF7046" w:rsidRPr="0089101C">
      <w:pPr>
        <w:rPr>
          <w:rFonts w:ascii="宋体" w:hAnsi="宋体" w:hint="eastAsia"/>
          <w:sz w:val="32"/>
          <w:szCs w:val="20"/>
        </w:rPr>
      </w:pPr>
    </w:p>
    <w:p w:rsidR="00FF7046" w:rsidRPr="0089101C">
      <w:pPr>
        <w:spacing w:line="420" w:lineRule="auto"/>
        <w:rPr>
          <w:rFonts w:ascii="华文中宋" w:eastAsia="华文中宋" w:hAnsi="华文中宋" w:hint="eastAsia"/>
          <w:b/>
          <w:bCs/>
          <w:spacing w:val="164"/>
          <w:sz w:val="52"/>
          <w:szCs w:val="20"/>
        </w:rPr>
      </w:pPr>
      <w:r w:rsidRPr="0089101C">
        <w:rPr>
          <w:rFonts w:ascii="华文中宋" w:eastAsia="华文中宋" w:hAnsi="华文中宋" w:hint="eastAsia"/>
          <w:b/>
          <w:bCs/>
          <w:snapToGrid w:val="0"/>
          <w:spacing w:val="164"/>
          <w:kern w:val="0"/>
          <w:sz w:val="52"/>
        </w:rPr>
        <w:t>中华人民共和国国家标准</w:t>
      </w:r>
    </w:p>
    <w:p w:rsidR="00FF7046" w:rsidRPr="000C4A53">
      <w:pPr>
        <w:spacing w:line="420" w:lineRule="auto"/>
        <w:rPr>
          <w:rFonts w:hint="eastAsia"/>
          <w:b/>
          <w:sz w:val="24"/>
          <w:lang w:val="de-DE"/>
        </w:rPr>
      </w:pPr>
      <w:r w:rsidRPr="000C4A53">
        <w:rPr>
          <w:rFonts w:hint="eastAsia"/>
          <w:b/>
          <w:bCs/>
          <w:sz w:val="28"/>
          <w:szCs w:val="20"/>
          <w:lang w:val="de-DE"/>
        </w:rPr>
        <w:t xml:space="preserve">                </w:t>
      </w:r>
      <w:r w:rsidRPr="000C4A53" w:rsidR="00F31E7D">
        <w:rPr>
          <w:rFonts w:hint="eastAsia"/>
          <w:b/>
          <w:bCs/>
          <w:sz w:val="28"/>
          <w:szCs w:val="20"/>
          <w:lang w:val="de-DE"/>
        </w:rPr>
        <w:t xml:space="preserve">               </w:t>
      </w:r>
      <w:r w:rsidRPr="000C4A53">
        <w:rPr>
          <w:rFonts w:hint="eastAsia"/>
          <w:b/>
          <w:bCs/>
          <w:sz w:val="28"/>
          <w:szCs w:val="20"/>
          <w:lang w:val="de-DE"/>
        </w:rPr>
        <w:t>GB/T</w:t>
      </w:r>
      <w:r w:rsidRPr="000C4A53" w:rsidR="00A32D05">
        <w:rPr>
          <w:sz w:val="24"/>
          <w:lang w:val="de-DE"/>
        </w:rPr>
        <w:t xml:space="preserve"> </w:t>
      </w:r>
      <w:r w:rsidRPr="000C4A53" w:rsidR="000C4A53">
        <w:rPr>
          <w:rFonts w:hint="eastAsia"/>
          <w:b/>
          <w:sz w:val="24"/>
          <w:lang w:val="de-DE"/>
        </w:rPr>
        <w:t>*****</w:t>
      </w:r>
      <w:r w:rsidRPr="000C4A53">
        <w:rPr>
          <w:b/>
          <w:sz w:val="24"/>
          <w:lang w:val="de-DE"/>
        </w:rPr>
        <w:t>—</w:t>
      </w:r>
      <w:r w:rsidRPr="000C4A53" w:rsidR="000C4A53">
        <w:rPr>
          <w:rFonts w:hint="eastAsia"/>
          <w:b/>
          <w:sz w:val="24"/>
          <w:lang w:val="de-DE"/>
        </w:rPr>
        <w:t xml:space="preserve">2023 </w:t>
      </w:r>
      <w:r w:rsidRPr="000C4A53" w:rsidR="000C4A53">
        <w:rPr>
          <w:rFonts w:hint="eastAsia"/>
          <w:b/>
          <w:sz w:val="28"/>
          <w:szCs w:val="28"/>
          <w:lang w:val="de-DE"/>
        </w:rPr>
        <w:t>IDT</w:t>
      </w:r>
      <w:r w:rsidRPr="000C4A53" w:rsidR="000C4A53">
        <w:rPr>
          <w:rFonts w:hint="eastAsia"/>
          <w:b/>
          <w:sz w:val="24"/>
          <w:lang w:val="de-DE"/>
        </w:rPr>
        <w:t xml:space="preserve"> </w:t>
      </w:r>
      <w:r w:rsidRPr="000C4A53" w:rsidR="00F31E7D">
        <w:rPr>
          <w:rFonts w:hint="eastAsia"/>
          <w:b/>
          <w:bCs/>
          <w:sz w:val="28"/>
          <w:szCs w:val="20"/>
          <w:lang w:val="de-DE"/>
        </w:rPr>
        <w:t>ISO</w:t>
      </w:r>
      <w:r w:rsidR="000C4A53">
        <w:rPr>
          <w:rFonts w:hint="eastAsia"/>
          <w:b/>
          <w:bCs/>
          <w:sz w:val="28"/>
          <w:szCs w:val="20"/>
          <w:lang w:val="de-DE"/>
        </w:rPr>
        <w:t>/IEC</w:t>
      </w:r>
      <w:r w:rsidR="000C4A53">
        <w:rPr>
          <w:rFonts w:hint="eastAsia"/>
          <w:sz w:val="24"/>
          <w:lang w:val="de-DE"/>
        </w:rPr>
        <w:t xml:space="preserve"> 17007:2023</w:t>
      </w:r>
    </w:p>
    <w:p w:rsidR="00FF7046" w:rsidRPr="000C4A53">
      <w:pPr>
        <w:spacing w:line="240" w:lineRule="exact"/>
        <w:rPr>
          <w:rFonts w:ascii="宋体" w:hAnsi="宋体" w:hint="eastAsia"/>
          <w:b/>
          <w:bCs/>
          <w:sz w:val="44"/>
          <w:szCs w:val="20"/>
          <w:lang w:val="de-DE"/>
        </w:rPr>
      </w:pPr>
      <w:r>
        <w:rPr>
          <w:rFonts w:ascii="宋体" w:hAnsi="宋体"/>
          <w:b/>
          <w:bCs/>
          <w:noProof/>
          <w:sz w:val="20"/>
          <w:szCs w:val="20"/>
        </w:rPr>
        <w:pict>
          <v:line id="_x0000_s1026" style="position:absolute;z-index:251659264" from="0,7.2pt" to="468pt,7.2pt"/>
        </w:pict>
      </w:r>
    </w:p>
    <w:p w:rsidR="00FF7046">
      <w:pPr>
        <w:rPr>
          <w:rFonts w:ascii="宋体" w:hAnsi="宋体" w:hint="eastAsia"/>
          <w:sz w:val="52"/>
          <w:szCs w:val="20"/>
          <w:lang w:val="de-DE"/>
        </w:rPr>
      </w:pPr>
    </w:p>
    <w:p w:rsidR="00B50564">
      <w:pPr>
        <w:rPr>
          <w:rFonts w:ascii="宋体" w:hAnsi="宋体" w:hint="eastAsia"/>
          <w:sz w:val="52"/>
          <w:szCs w:val="20"/>
          <w:lang w:val="de-DE"/>
        </w:rPr>
      </w:pPr>
    </w:p>
    <w:p w:rsidR="00B50564" w:rsidRPr="00B50564" w:rsidP="00B50564">
      <w:pPr>
        <w:autoSpaceDE w:val="0"/>
        <w:autoSpaceDN w:val="0"/>
        <w:adjustRightInd w:val="0"/>
        <w:spacing w:line="420" w:lineRule="auto"/>
        <w:jc w:val="center"/>
        <w:rPr>
          <w:rFonts w:ascii="黑体" w:eastAsia="黑体" w:hAnsi="宋体" w:hint="eastAsia"/>
          <w:b/>
          <w:sz w:val="52"/>
          <w:szCs w:val="52"/>
        </w:rPr>
      </w:pPr>
      <w:r w:rsidRPr="00B50564">
        <w:rPr>
          <w:rFonts w:ascii="黑体" w:eastAsia="黑体" w:hAnsi="宋体" w:hint="eastAsia"/>
          <w:b/>
          <w:sz w:val="52"/>
          <w:szCs w:val="52"/>
        </w:rPr>
        <w:t>合格评估</w:t>
      </w:r>
      <w:r w:rsidRPr="00B50564">
        <w:rPr>
          <w:rFonts w:ascii="黑体" w:eastAsia="黑体" w:hAnsi="宋体" w:hint="eastAsia"/>
          <w:b/>
          <w:sz w:val="52"/>
          <w:szCs w:val="52"/>
        </w:rPr>
        <w:t>——</w:t>
      </w:r>
      <w:r w:rsidRPr="00B50564">
        <w:rPr>
          <w:rFonts w:ascii="黑体" w:eastAsia="黑体" w:hAnsi="宋体" w:hint="eastAsia"/>
          <w:b/>
          <w:sz w:val="52"/>
          <w:szCs w:val="52"/>
        </w:rPr>
        <w:t>合格评估用规范性文献的编写指南</w:t>
      </w:r>
    </w:p>
    <w:p w:rsidR="00B50564" w:rsidRPr="00B50564" w:rsidP="00B50564">
      <w:pPr>
        <w:autoSpaceDE w:val="0"/>
        <w:autoSpaceDN w:val="0"/>
        <w:adjustRightInd w:val="0"/>
        <w:spacing w:line="420" w:lineRule="auto"/>
        <w:jc w:val="center"/>
        <w:rPr>
          <w:b/>
          <w:bCs/>
          <w:kern w:val="0"/>
          <w:sz w:val="28"/>
          <w:szCs w:val="28"/>
        </w:rPr>
      </w:pPr>
      <w:r w:rsidRPr="00B50564">
        <w:rPr>
          <w:b/>
          <w:bCs/>
          <w:kern w:val="0"/>
          <w:sz w:val="28"/>
          <w:szCs w:val="28"/>
        </w:rPr>
        <w:t xml:space="preserve">Conformity assessment — </w:t>
      </w:r>
      <w:r w:rsidRPr="000B4B5D">
        <w:rPr>
          <w:b/>
          <w:bCs/>
          <w:kern w:val="0"/>
          <w:sz w:val="28"/>
          <w:szCs w:val="28"/>
        </w:rPr>
        <w:t>Guidance</w:t>
      </w:r>
      <w:r w:rsidRPr="00B50564">
        <w:rPr>
          <w:b/>
          <w:bCs/>
          <w:kern w:val="0"/>
          <w:sz w:val="28"/>
          <w:szCs w:val="28"/>
        </w:rPr>
        <w:t xml:space="preserve"> for</w:t>
      </w:r>
      <w:r>
        <w:rPr>
          <w:rFonts w:hint="eastAsia"/>
          <w:b/>
          <w:bCs/>
          <w:kern w:val="0"/>
          <w:sz w:val="28"/>
          <w:szCs w:val="28"/>
        </w:rPr>
        <w:t xml:space="preserve"> </w:t>
      </w:r>
      <w:r w:rsidRPr="00B50564">
        <w:rPr>
          <w:b/>
          <w:bCs/>
          <w:kern w:val="0"/>
          <w:sz w:val="28"/>
          <w:szCs w:val="28"/>
        </w:rPr>
        <w:t>drafting normative documents suitable</w:t>
      </w:r>
      <w:r>
        <w:rPr>
          <w:rFonts w:hint="eastAsia"/>
          <w:b/>
          <w:bCs/>
          <w:kern w:val="0"/>
          <w:sz w:val="28"/>
          <w:szCs w:val="28"/>
        </w:rPr>
        <w:t xml:space="preserve"> </w:t>
      </w:r>
      <w:r w:rsidRPr="00B50564">
        <w:rPr>
          <w:b/>
          <w:bCs/>
          <w:kern w:val="0"/>
          <w:sz w:val="28"/>
          <w:szCs w:val="28"/>
        </w:rPr>
        <w:t>for use for conformity assessment</w:t>
      </w:r>
    </w:p>
    <w:p w:rsidR="00B50564" w:rsidP="00B50564">
      <w:pPr>
        <w:autoSpaceDE w:val="0"/>
        <w:autoSpaceDN w:val="0"/>
        <w:adjustRightInd w:val="0"/>
        <w:jc w:val="center"/>
        <w:rPr>
          <w:rFonts w:ascii="Arial,Bold" w:hAnsi="Arial,Bold" w:cs="Arial,Bold" w:hint="eastAsia"/>
          <w:b/>
          <w:bCs/>
          <w:kern w:val="0"/>
          <w:sz w:val="32"/>
          <w:szCs w:val="32"/>
        </w:rPr>
      </w:pPr>
    </w:p>
    <w:p w:rsidR="00FF7046" w:rsidRPr="0089101C" w:rsidP="00B50564">
      <w:pPr>
        <w:spacing w:line="420" w:lineRule="auto"/>
        <w:jc w:val="center"/>
        <w:rPr>
          <w:rFonts w:hint="eastAsia"/>
          <w:sz w:val="32"/>
        </w:rPr>
      </w:pPr>
      <w:r w:rsidRPr="0089101C" w:rsidR="005B5D47">
        <w:rPr>
          <w:rFonts w:hint="eastAsia"/>
          <w:sz w:val="32"/>
        </w:rPr>
        <w:t>(ISO</w:t>
      </w:r>
      <w:r w:rsidR="00B50564">
        <w:rPr>
          <w:rFonts w:hint="eastAsia"/>
          <w:sz w:val="32"/>
        </w:rPr>
        <w:t>/IEC</w:t>
      </w:r>
      <w:r w:rsidRPr="0089101C" w:rsidR="005B5D47">
        <w:rPr>
          <w:rFonts w:hint="eastAsia"/>
          <w:sz w:val="32"/>
        </w:rPr>
        <w:t xml:space="preserve"> </w:t>
      </w:r>
      <w:r w:rsidR="00B50564">
        <w:rPr>
          <w:rFonts w:hint="eastAsia"/>
          <w:sz w:val="32"/>
        </w:rPr>
        <w:t>17007</w:t>
      </w:r>
      <w:r w:rsidRPr="0089101C" w:rsidR="005B5D47">
        <w:rPr>
          <w:rFonts w:hint="eastAsia"/>
          <w:sz w:val="32"/>
        </w:rPr>
        <w:t>:2023</w:t>
      </w:r>
      <w:r w:rsidR="00FD1414">
        <w:rPr>
          <w:rFonts w:hint="eastAsia"/>
          <w:sz w:val="32"/>
        </w:rPr>
        <w:t xml:space="preserve"> </w:t>
      </w:r>
      <w:r w:rsidRPr="0089101C">
        <w:rPr>
          <w:rFonts w:hint="eastAsia"/>
          <w:sz w:val="32"/>
        </w:rPr>
        <w:t>, IDT)</w:t>
      </w:r>
    </w:p>
    <w:p w:rsidR="00FF7046" w:rsidRPr="0089101C">
      <w:pPr>
        <w:spacing w:line="400" w:lineRule="exact"/>
        <w:rPr>
          <w:rFonts w:hint="eastAsia"/>
          <w:sz w:val="52"/>
        </w:rPr>
      </w:pPr>
    </w:p>
    <w:p w:rsidR="00FF7046" w:rsidRPr="0089101C">
      <w:pPr>
        <w:spacing w:line="420" w:lineRule="auto"/>
        <w:rPr>
          <w:rFonts w:hint="eastAsia"/>
          <w:sz w:val="36"/>
          <w:szCs w:val="36"/>
        </w:rPr>
      </w:pPr>
      <w:r w:rsidRPr="0089101C">
        <w:rPr>
          <w:rFonts w:hint="eastAsia"/>
          <w:sz w:val="52"/>
        </w:rPr>
        <w:t xml:space="preserve">             </w:t>
      </w:r>
      <w:r w:rsidRPr="0089101C" w:rsidR="008C2475">
        <w:rPr>
          <w:rFonts w:hint="eastAsia"/>
          <w:sz w:val="52"/>
        </w:rPr>
        <w:t xml:space="preserve"> </w:t>
      </w:r>
      <w:r w:rsidRPr="0089101C">
        <w:rPr>
          <w:rFonts w:hint="eastAsia"/>
          <w:sz w:val="36"/>
          <w:szCs w:val="36"/>
        </w:rPr>
        <w:t>（</w:t>
      </w:r>
      <w:r w:rsidRPr="00713733" w:rsidR="00895F5F">
        <w:rPr>
          <w:rFonts w:hint="eastAsia"/>
          <w:sz w:val="36"/>
          <w:szCs w:val="36"/>
        </w:rPr>
        <w:t>征求意见</w:t>
      </w:r>
      <w:r w:rsidRPr="00713733">
        <w:rPr>
          <w:rFonts w:hint="eastAsia"/>
          <w:sz w:val="36"/>
          <w:szCs w:val="36"/>
        </w:rPr>
        <w:t>稿</w:t>
      </w:r>
      <w:r w:rsidRPr="0089101C">
        <w:rPr>
          <w:rFonts w:hint="eastAsia"/>
          <w:sz w:val="36"/>
          <w:szCs w:val="36"/>
        </w:rPr>
        <w:t>）</w:t>
      </w:r>
    </w:p>
    <w:p w:rsidR="00FF7046" w:rsidRPr="0089101C">
      <w:pPr>
        <w:spacing w:line="420" w:lineRule="auto"/>
        <w:rPr>
          <w:rFonts w:hint="eastAsia"/>
          <w:sz w:val="24"/>
          <w:szCs w:val="36"/>
        </w:rPr>
      </w:pPr>
      <w:r w:rsidRPr="0089101C">
        <w:rPr>
          <w:rFonts w:hint="eastAsia"/>
          <w:sz w:val="36"/>
          <w:szCs w:val="36"/>
        </w:rPr>
        <w:t xml:space="preserve">                     </w:t>
      </w:r>
      <w:r w:rsidRPr="0089101C" w:rsidR="008C2475">
        <w:rPr>
          <w:rFonts w:hint="eastAsia"/>
          <w:sz w:val="36"/>
          <w:szCs w:val="36"/>
        </w:rPr>
        <w:t xml:space="preserve">  </w:t>
      </w:r>
      <w:r w:rsidRPr="0089101C">
        <w:rPr>
          <w:rFonts w:hint="eastAsia"/>
          <w:sz w:val="36"/>
          <w:szCs w:val="36"/>
        </w:rPr>
        <w:t xml:space="preserve"> </w:t>
      </w:r>
      <w:smartTag w:uri="urn:schemas-microsoft-com:office:smarttags" w:element="chsdate">
        <w:smartTagPr>
          <w:attr w:name="Day" w:val="15"/>
          <w:attr w:name="IsLunarDate" w:val="False"/>
          <w:attr w:name="IsROCDate" w:val="False"/>
          <w:attr w:name="Month" w:val="9"/>
          <w:attr w:name="Year" w:val="2009"/>
        </w:smartTagPr>
        <w:r w:rsidRPr="0089101C" w:rsidR="005B5D47">
          <w:rPr>
            <w:rFonts w:hint="eastAsia"/>
            <w:sz w:val="24"/>
            <w:szCs w:val="36"/>
          </w:rPr>
          <w:t>2023-0</w:t>
        </w:r>
        <w:r w:rsidRPr="0089101C" w:rsidR="00895F5F">
          <w:rPr>
            <w:rFonts w:hint="eastAsia"/>
            <w:sz w:val="24"/>
            <w:szCs w:val="36"/>
          </w:rPr>
          <w:t>9</w:t>
        </w:r>
        <w:r w:rsidRPr="0089101C" w:rsidR="005B5D47">
          <w:rPr>
            <w:rFonts w:hint="eastAsia"/>
            <w:sz w:val="24"/>
            <w:szCs w:val="36"/>
          </w:rPr>
          <w:t>-</w:t>
        </w:r>
        <w:r w:rsidR="00713733">
          <w:rPr>
            <w:rFonts w:hint="eastAsia"/>
            <w:sz w:val="24"/>
            <w:szCs w:val="36"/>
          </w:rPr>
          <w:t>15</w:t>
        </w:r>
      </w:smartTag>
    </w:p>
    <w:p w:rsidR="00FF7046" w:rsidRPr="0089101C">
      <w:pPr>
        <w:spacing w:line="400" w:lineRule="exact"/>
        <w:rPr>
          <w:rFonts w:hint="eastAsia"/>
          <w:sz w:val="52"/>
        </w:rPr>
      </w:pPr>
    </w:p>
    <w:p w:rsidR="00FF7046" w:rsidRPr="0089101C">
      <w:pPr>
        <w:spacing w:line="400" w:lineRule="exact"/>
        <w:rPr>
          <w:rFonts w:hint="eastAsia"/>
        </w:rPr>
      </w:pPr>
    </w:p>
    <w:p w:rsidR="00FF7046" w:rsidRPr="0089101C">
      <w:pPr>
        <w:spacing w:line="400" w:lineRule="exact"/>
        <w:rPr>
          <w:rFonts w:hint="eastAsia"/>
        </w:rPr>
      </w:pPr>
    </w:p>
    <w:p w:rsidR="00FF7046" w:rsidRPr="0089101C">
      <w:pPr>
        <w:spacing w:line="400" w:lineRule="exact"/>
        <w:rPr>
          <w:rFonts w:hint="eastAsia"/>
        </w:rPr>
      </w:pPr>
    </w:p>
    <w:p w:rsidR="00FF7046" w:rsidRPr="0089101C">
      <w:pPr>
        <w:spacing w:line="400" w:lineRule="exact"/>
        <w:rPr>
          <w:rFonts w:hint="eastAsia"/>
        </w:rPr>
      </w:pPr>
    </w:p>
    <w:p w:rsidR="00FF7046" w:rsidRPr="0089101C">
      <w:pPr>
        <w:spacing w:line="400" w:lineRule="exact"/>
        <w:rPr>
          <w:rFonts w:hint="eastAsia"/>
        </w:rPr>
      </w:pPr>
    </w:p>
    <w:p w:rsidR="00FF7046" w:rsidRPr="0089101C">
      <w:pPr>
        <w:spacing w:line="420" w:lineRule="auto"/>
        <w:rPr>
          <w:rFonts w:ascii="黑体" w:eastAsia="黑体" w:hint="eastAsia"/>
          <w:b/>
          <w:bCs/>
          <w:sz w:val="28"/>
          <w:szCs w:val="20"/>
        </w:rPr>
        <w:sectPr w:rsidSect="0088305A">
          <w:pgSz w:w="11906" w:h="16838"/>
          <w:pgMar w:top="1246" w:right="1286" w:bottom="1246" w:left="1260" w:header="851" w:footer="992" w:gutter="0"/>
          <w:pgNumType w:fmt="upperRoman" w:start="1"/>
          <w:cols w:space="425"/>
          <w:titlePg/>
          <w:docGrid w:type="lines" w:linePitch="312"/>
        </w:sectPr>
      </w:pPr>
      <w:r w:rsidRPr="0089101C" w:rsidR="00B50564">
        <w:rPr>
          <w:rFonts w:ascii="黑体" w:eastAsia="黑体" w:hint="eastAsia"/>
          <w:b/>
          <w:bCs/>
          <w:sz w:val="28"/>
          <w:szCs w:val="20"/>
        </w:rPr>
        <w:t>2023</w:t>
      </w:r>
      <w:r w:rsidRPr="0089101C">
        <w:rPr>
          <w:rFonts w:ascii="黑体" w:eastAsia="黑体" w:hAnsi="宋体" w:hint="eastAsia"/>
          <w:b/>
          <w:bCs/>
          <w:sz w:val="28"/>
          <w:szCs w:val="20"/>
        </w:rPr>
        <w:t>-</w:t>
      </w:r>
      <w:r w:rsidRPr="0089101C">
        <w:rPr>
          <w:rFonts w:ascii="黑体" w:eastAsia="黑体" w:hAnsi="宋体" w:hint="eastAsia"/>
          <w:b/>
          <w:bCs/>
          <w:sz w:val="18"/>
          <w:szCs w:val="20"/>
        </w:rPr>
        <w:t>╳</w:t>
      </w:r>
      <w:r w:rsidRPr="0089101C">
        <w:rPr>
          <w:rFonts w:ascii="黑体" w:eastAsia="黑体" w:hAnsi="宋体" w:hint="eastAsia"/>
          <w:b/>
          <w:bCs/>
          <w:sz w:val="18"/>
          <w:szCs w:val="20"/>
        </w:rPr>
        <w:t xml:space="preserve"> </w:t>
      </w:r>
      <w:r w:rsidRPr="0089101C">
        <w:rPr>
          <w:rFonts w:ascii="黑体" w:eastAsia="黑体" w:hAnsi="宋体" w:hint="eastAsia"/>
          <w:b/>
          <w:bCs/>
          <w:sz w:val="18"/>
          <w:szCs w:val="20"/>
        </w:rPr>
        <w:t>╳</w:t>
      </w:r>
      <w:r w:rsidRPr="0089101C">
        <w:rPr>
          <w:rFonts w:ascii="黑体" w:eastAsia="黑体" w:hAnsi="宋体" w:hint="eastAsia"/>
          <w:b/>
          <w:bCs/>
          <w:sz w:val="28"/>
          <w:szCs w:val="20"/>
        </w:rPr>
        <w:t>-</w:t>
      </w:r>
      <w:r w:rsidRPr="0089101C">
        <w:rPr>
          <w:rFonts w:ascii="黑体" w:eastAsia="黑体" w:hAnsi="宋体" w:hint="eastAsia"/>
          <w:b/>
          <w:bCs/>
          <w:sz w:val="18"/>
          <w:szCs w:val="20"/>
        </w:rPr>
        <w:t>╳</w:t>
      </w:r>
      <w:r w:rsidRPr="0089101C">
        <w:rPr>
          <w:rFonts w:ascii="黑体" w:eastAsia="黑体" w:hAnsi="宋体" w:hint="eastAsia"/>
          <w:b/>
          <w:bCs/>
          <w:sz w:val="18"/>
          <w:szCs w:val="20"/>
        </w:rPr>
        <w:t xml:space="preserve"> </w:t>
      </w:r>
      <w:r w:rsidRPr="0089101C">
        <w:rPr>
          <w:rFonts w:ascii="黑体" w:eastAsia="黑体" w:hAnsi="宋体" w:hint="eastAsia"/>
          <w:b/>
          <w:bCs/>
          <w:sz w:val="18"/>
          <w:szCs w:val="20"/>
        </w:rPr>
        <w:t>╳</w:t>
      </w:r>
      <w:r w:rsidRPr="0089101C">
        <w:rPr>
          <w:rFonts w:ascii="黑体" w:eastAsia="黑体" w:hAnsi="宋体" w:hint="eastAsia"/>
          <w:b/>
          <w:bCs/>
          <w:sz w:val="18"/>
          <w:szCs w:val="20"/>
        </w:rPr>
        <w:t xml:space="preserve"> </w:t>
      </w:r>
      <w:r w:rsidRPr="0089101C">
        <w:rPr>
          <w:rFonts w:ascii="黑体" w:eastAsia="黑体" w:hAnsi="宋体" w:hint="eastAsia"/>
          <w:b/>
          <w:bCs/>
          <w:sz w:val="28"/>
          <w:szCs w:val="20"/>
        </w:rPr>
        <w:t xml:space="preserve">发布                               </w:t>
      </w:r>
      <w:r w:rsidRPr="0089101C">
        <w:rPr>
          <w:rFonts w:ascii="黑体" w:eastAsia="黑体" w:hint="eastAsia"/>
          <w:b/>
          <w:bCs/>
          <w:sz w:val="28"/>
          <w:szCs w:val="20"/>
        </w:rPr>
        <w:t>200</w:t>
      </w:r>
      <w:r w:rsidRPr="0089101C">
        <w:rPr>
          <w:rFonts w:ascii="黑体" w:eastAsia="黑体" w:hint="eastAsia"/>
          <w:b/>
          <w:bCs/>
          <w:sz w:val="28"/>
          <w:szCs w:val="20"/>
        </w:rPr>
        <w:t>×</w:t>
      </w:r>
      <w:r w:rsidRPr="0089101C">
        <w:rPr>
          <w:rFonts w:ascii="黑体" w:eastAsia="黑体" w:hAnsi="宋体" w:hint="eastAsia"/>
          <w:b/>
          <w:bCs/>
          <w:sz w:val="28"/>
          <w:szCs w:val="20"/>
        </w:rPr>
        <w:t>-</w:t>
      </w:r>
      <w:r w:rsidRPr="0089101C">
        <w:rPr>
          <w:rFonts w:ascii="黑体" w:eastAsia="黑体" w:hAnsi="宋体" w:hint="eastAsia"/>
          <w:b/>
          <w:bCs/>
          <w:sz w:val="18"/>
          <w:szCs w:val="20"/>
        </w:rPr>
        <w:t>╳</w:t>
      </w:r>
      <w:r w:rsidRPr="0089101C">
        <w:rPr>
          <w:rFonts w:ascii="黑体" w:eastAsia="黑体" w:hAnsi="宋体" w:hint="eastAsia"/>
          <w:b/>
          <w:bCs/>
          <w:sz w:val="18"/>
          <w:szCs w:val="20"/>
        </w:rPr>
        <w:t xml:space="preserve"> </w:t>
      </w:r>
      <w:r w:rsidRPr="0089101C">
        <w:rPr>
          <w:rFonts w:ascii="黑体" w:eastAsia="黑体" w:hAnsi="宋体" w:hint="eastAsia"/>
          <w:b/>
          <w:bCs/>
          <w:sz w:val="18"/>
          <w:szCs w:val="20"/>
        </w:rPr>
        <w:t>╳</w:t>
      </w:r>
      <w:r w:rsidRPr="0089101C">
        <w:rPr>
          <w:rFonts w:ascii="黑体" w:eastAsia="黑体" w:hAnsi="宋体" w:hint="eastAsia"/>
          <w:b/>
          <w:bCs/>
          <w:sz w:val="28"/>
          <w:szCs w:val="20"/>
        </w:rPr>
        <w:t>-</w:t>
      </w:r>
      <w:r w:rsidRPr="0089101C">
        <w:rPr>
          <w:rFonts w:ascii="黑体" w:eastAsia="黑体" w:hAnsi="宋体" w:hint="eastAsia"/>
          <w:b/>
          <w:bCs/>
          <w:sz w:val="18"/>
          <w:szCs w:val="20"/>
        </w:rPr>
        <w:t>╳</w:t>
      </w:r>
      <w:r w:rsidRPr="0089101C">
        <w:rPr>
          <w:rFonts w:ascii="黑体" w:eastAsia="黑体" w:hAnsi="宋体" w:hint="eastAsia"/>
          <w:b/>
          <w:bCs/>
          <w:sz w:val="18"/>
          <w:szCs w:val="20"/>
        </w:rPr>
        <w:t xml:space="preserve"> </w:t>
      </w:r>
      <w:r w:rsidRPr="0089101C">
        <w:rPr>
          <w:rFonts w:ascii="黑体" w:eastAsia="黑体" w:hAnsi="宋体" w:hint="eastAsia"/>
          <w:b/>
          <w:bCs/>
          <w:sz w:val="18"/>
          <w:szCs w:val="20"/>
        </w:rPr>
        <w:t>╳</w:t>
      </w:r>
      <w:r w:rsidRPr="0089101C">
        <w:rPr>
          <w:rFonts w:ascii="黑体" w:eastAsia="黑体" w:hAnsi="宋体" w:hint="eastAsia"/>
          <w:b/>
          <w:bCs/>
          <w:sz w:val="28"/>
          <w:szCs w:val="20"/>
        </w:rPr>
        <w:t>实行</w:t>
      </w:r>
    </w:p>
    <w:p w:rsidR="00FF7046" w:rsidRPr="0089101C">
      <w:pPr>
        <w:spacing w:line="280" w:lineRule="exact"/>
        <w:rPr>
          <w:rFonts w:ascii="黑体" w:eastAsia="黑体" w:hint="eastAsia"/>
          <w:sz w:val="28"/>
          <w:szCs w:val="20"/>
        </w:rPr>
      </w:pPr>
      <w:r>
        <w:rPr>
          <w:rFonts w:ascii="黑体" w:eastAsia="黑体"/>
          <w:noProof/>
          <w:sz w:val="20"/>
          <w:szCs w:val="20"/>
        </w:rPr>
        <w:pict>
          <v:line id="_x0000_s1027" style="position:absolute;z-index:251660288" from="0,4.4pt" to="468pt,4.4pt"/>
        </w:pict>
      </w:r>
    </w:p>
    <w:p w:rsidR="00FF7046" w:rsidRPr="0089101C">
      <w:pPr>
        <w:pStyle w:val="a0"/>
        <w:framePr w:w="0" w:h="0" w:hRule="auto" w:hSpace="0" w:vSpace="0" w:wrap="auto" w:vAnchor="margin" w:hAnchor="text" w:xAlign="left" w:yAlign="inline"/>
        <w:spacing w:line="420" w:lineRule="auto"/>
        <w:rPr>
          <w:rFonts w:hint="eastAsia"/>
        </w:rPr>
      </w:pPr>
      <w:r w:rsidRPr="0089101C">
        <w:rPr>
          <w:rFonts w:hint="eastAsia"/>
          <w:sz w:val="32"/>
        </w:rPr>
        <w:t>中华人民共和国国家质量监督检查检疫总局</w:t>
      </w:r>
    </w:p>
    <w:p w:rsidR="00FF7046" w:rsidRPr="0089101C">
      <w:pPr>
        <w:pStyle w:val="a0"/>
        <w:framePr w:w="0" w:h="0" w:hRule="auto" w:hSpace="0" w:vSpace="0" w:wrap="auto" w:vAnchor="margin" w:hAnchor="text" w:xAlign="left" w:yAlign="inline"/>
        <w:spacing w:line="420" w:lineRule="auto"/>
        <w:rPr>
          <w:rFonts w:hint="eastAsia"/>
        </w:rPr>
      </w:pPr>
      <w:r w:rsidRPr="0089101C">
        <w:rPr>
          <w:rFonts w:hint="eastAsia"/>
        </w:rPr>
        <w:t>中国国家标准化管理委员会 发布</w:t>
      </w:r>
    </w:p>
    <w:p w:rsidR="00FF7046" w:rsidRPr="0089101C">
      <w:pPr>
        <w:spacing w:line="320" w:lineRule="exact"/>
        <w:ind w:left="3080" w:right="210" w:hanging="1400" w:leftChars="800" w:rightChars="100" w:hangingChars="500"/>
        <w:rPr>
          <w:rFonts w:ascii="华文中宋" w:eastAsia="华文中宋" w:hAnsi="华文中宋"/>
          <w:b/>
          <w:bCs/>
          <w:spacing w:val="8"/>
          <w:sz w:val="28"/>
        </w:rPr>
        <w:sectPr w:rsidSect="0088305A">
          <w:type w:val="nextPage"/>
          <w:pgSz w:w="11906" w:h="16838"/>
          <w:pgMar w:top="1246" w:right="1286" w:bottom="1246" w:left="1260" w:header="851" w:footer="992" w:gutter="0"/>
          <w:pgNumType w:fmt="upperRoman" w:start="2"/>
          <w:cols w:space="425"/>
          <w:titlePg w:val="0"/>
          <w:docGrid w:type="lines" w:linePitch="312"/>
        </w:sectPr>
      </w:pPr>
    </w:p>
    <w:p w:rsidR="00FF7046" w:rsidRPr="0089101C">
      <w:pPr>
        <w:spacing w:line="320" w:lineRule="exact"/>
        <w:ind w:left="3080" w:right="210" w:hanging="1400" w:leftChars="800" w:rightChars="100" w:hangingChars="500"/>
        <w:rPr>
          <w:rFonts w:ascii="宋体" w:hAnsi="宋体"/>
          <w:b/>
          <w:bCs/>
          <w:spacing w:val="8"/>
          <w:sz w:val="28"/>
        </w:rPr>
        <w:sectPr>
          <w:type w:val="continuous"/>
          <w:pgSz w:w="11906" w:h="16838"/>
          <w:pgMar w:top="1246" w:right="1286" w:bottom="1246" w:left="1260" w:header="851" w:footer="992" w:gutter="0"/>
          <w:pgNumType w:fmt="lowerRoman" w:start="1"/>
          <w:cols w:space="425"/>
          <w:docGrid w:type="lines" w:linePitch="312"/>
        </w:sectPr>
      </w:pPr>
    </w:p>
    <w:p w:rsidR="001A68B1" w:rsidRPr="0089101C" w:rsidP="001A68B1">
      <w:pPr>
        <w:spacing w:line="420" w:lineRule="auto"/>
        <w:jc w:val="center"/>
        <w:rPr>
          <w:rFonts w:eastAsia="黑体" w:hint="eastAsia"/>
          <w:b/>
          <w:sz w:val="32"/>
        </w:rPr>
      </w:pPr>
      <w:r w:rsidRPr="0089101C">
        <w:rPr>
          <w:rFonts w:eastAsia="黑体" w:hint="eastAsia"/>
          <w:b/>
          <w:sz w:val="32"/>
        </w:rPr>
        <w:t>目次</w:t>
      </w:r>
    </w:p>
    <w:p w:rsidR="003C75D9">
      <w:pPr>
        <w:spacing w:line="400" w:lineRule="exact"/>
        <w:rPr>
          <w:rFonts w:hint="eastAsia"/>
          <w:noProof/>
        </w:rPr>
      </w:pPr>
    </w:p>
    <w:p w:rsidR="003C75D9">
      <w:pPr>
        <w:spacing w:line="400" w:lineRule="exact"/>
        <w:rPr>
          <w:rFonts w:hint="eastAsia"/>
          <w:noProof/>
        </w:rPr>
      </w:pPr>
    </w:p>
    <w:p w:rsidR="00253770">
      <w:pPr>
        <w:spacing w:line="400" w:lineRule="exact"/>
        <w:rPr>
          <w:rFonts w:ascii="宋体" w:hAnsi="宋体" w:hint="eastAsia"/>
          <w:szCs w:val="21"/>
        </w:rPr>
      </w:pPr>
    </w:p>
    <w:p w:rsidR="008F3EAE" w:rsidRPr="0089101C">
      <w:pPr>
        <w:spacing w:line="400" w:lineRule="exact"/>
        <w:rPr>
          <w:rFonts w:ascii="宋体" w:hAnsi="宋体" w:hint="eastAsia"/>
          <w:szCs w:val="21"/>
        </w:rPr>
        <w:sectPr w:rsidSect="0088305A">
          <w:type w:val="continuous"/>
          <w:pgSz w:w="11906" w:h="16838"/>
          <w:pgMar w:top="1246" w:right="1286" w:bottom="1402" w:left="1260" w:header="851" w:footer="992" w:gutter="0"/>
          <w:pgNumType w:fmt="upperRoman" w:start="1"/>
          <w:cols w:space="425"/>
          <w:docGrid w:type="lines" w:linePitch="312"/>
        </w:sectPr>
      </w:pPr>
    </w:p>
    <w:p w:rsidR="00FF7046" w:rsidRPr="0089101C" w:rsidP="00CB6CA0">
      <w:pPr>
        <w:spacing w:line="420" w:lineRule="auto"/>
        <w:jc w:val="center"/>
        <w:rPr>
          <w:rFonts w:ascii="黑体" w:eastAsia="黑体" w:hAnsi="宋体" w:hint="eastAsia"/>
          <w:b/>
          <w:sz w:val="32"/>
        </w:rPr>
      </w:pPr>
      <w:r w:rsidRPr="0089101C">
        <w:rPr>
          <w:rFonts w:ascii="黑体" w:eastAsia="黑体" w:hAnsi="宋体" w:hint="eastAsia"/>
          <w:b/>
          <w:sz w:val="32"/>
        </w:rPr>
        <w:t>前  言</w:t>
      </w:r>
    </w:p>
    <w:p w:rsidR="00FF7046" w:rsidRPr="0089101C">
      <w:pPr>
        <w:spacing w:line="400" w:lineRule="exact"/>
        <w:ind w:left="-178" w:leftChars="-85"/>
        <w:rPr>
          <w:rFonts w:ascii="宋体" w:hAnsi="宋体" w:hint="eastAsia"/>
          <w:b/>
          <w:sz w:val="24"/>
        </w:rPr>
      </w:pPr>
    </w:p>
    <w:p w:rsidR="00CB6CA0" w:rsidP="00CB6CA0">
      <w:pPr>
        <w:pStyle w:val="a1"/>
        <w:spacing w:line="420" w:lineRule="auto"/>
        <w:ind w:firstLine="420"/>
        <w:rPr>
          <w:rFonts w:ascii="Times New Roman" w:hint="eastAsia"/>
        </w:rPr>
      </w:pPr>
      <w:r w:rsidRPr="00017DDB">
        <w:rPr>
          <w:rFonts w:ascii="Times New Roman"/>
        </w:rPr>
        <w:t>本标准等同采用ISO/IEC 170</w:t>
      </w:r>
      <w:r>
        <w:rPr>
          <w:rFonts w:ascii="Times New Roman" w:hint="eastAsia"/>
        </w:rPr>
        <w:t>07</w:t>
      </w:r>
      <w:r w:rsidRPr="00017DDB">
        <w:rPr>
          <w:rFonts w:ascii="Times New Roman"/>
        </w:rPr>
        <w:t>:2023《</w:t>
      </w:r>
      <w:r w:rsidRPr="000B1B21">
        <w:rPr>
          <w:rFonts w:hAnsi="宋体" w:hint="eastAsia"/>
          <w:szCs w:val="21"/>
        </w:rPr>
        <w:t>合格评估</w:t>
      </w:r>
      <w:r w:rsidRPr="000B1B21">
        <w:rPr>
          <w:rFonts w:hAnsi="宋体" w:hint="eastAsia"/>
          <w:szCs w:val="21"/>
        </w:rPr>
        <w:t>——</w:t>
      </w:r>
      <w:r w:rsidRPr="000B1B21">
        <w:rPr>
          <w:rFonts w:hAnsi="宋体" w:hint="eastAsia"/>
          <w:szCs w:val="21"/>
        </w:rPr>
        <w:t>合格评估用规范性文献的编写指南</w:t>
      </w:r>
      <w:r w:rsidRPr="00017DDB">
        <w:rPr>
          <w:rFonts w:ascii="Times New Roman"/>
        </w:rPr>
        <w:t>》。</w:t>
      </w:r>
    </w:p>
    <w:p w:rsidR="00CB6CA0" w:rsidRPr="005F67D1" w:rsidP="00CB6CA0">
      <w:pPr>
        <w:spacing w:line="420" w:lineRule="auto"/>
        <w:ind w:firstLine="420" w:firstLineChars="200"/>
        <w:rPr>
          <w:rFonts w:hint="eastAsia"/>
          <w:szCs w:val="21"/>
          <w:highlight w:val="yellow"/>
        </w:rPr>
      </w:pPr>
      <w:r w:rsidRPr="00180DE1">
        <w:rPr>
          <w:szCs w:val="21"/>
        </w:rPr>
        <w:t>本</w:t>
      </w:r>
      <w:r>
        <w:rPr>
          <w:rFonts w:hint="eastAsia"/>
          <w:szCs w:val="21"/>
        </w:rPr>
        <w:t>标准</w:t>
      </w:r>
      <w:r w:rsidRPr="00180DE1">
        <w:rPr>
          <w:szCs w:val="21"/>
        </w:rPr>
        <w:t>是</w:t>
      </w:r>
      <w:r w:rsidRPr="00D32364">
        <w:rPr>
          <w:szCs w:val="21"/>
        </w:rPr>
        <w:t xml:space="preserve">ISO </w:t>
      </w:r>
      <w:r w:rsidRPr="00D32364">
        <w:rPr>
          <w:rFonts w:hint="eastAsia"/>
          <w:szCs w:val="21"/>
        </w:rPr>
        <w:t>CASCO</w:t>
      </w:r>
      <w:r w:rsidRPr="00D32364">
        <w:rPr>
          <w:szCs w:val="21"/>
        </w:rPr>
        <w:t>委员会</w:t>
      </w:r>
      <w:r w:rsidRPr="00D32364">
        <w:rPr>
          <w:rFonts w:hint="eastAsia"/>
          <w:szCs w:val="21"/>
        </w:rPr>
        <w:t>（合格评估委员会）</w:t>
      </w:r>
      <w:r>
        <w:rPr>
          <w:rFonts w:hAnsi="宋体"/>
          <w:szCs w:val="21"/>
        </w:rPr>
        <w:t>为了取代</w:t>
      </w:r>
      <w:r w:rsidRPr="00180DE1">
        <w:rPr>
          <w:rFonts w:hAnsi="宋体"/>
          <w:szCs w:val="21"/>
        </w:rPr>
        <w:t>第二版的</w:t>
      </w:r>
      <w:r w:rsidRPr="00180DE1">
        <w:rPr>
          <w:szCs w:val="21"/>
        </w:rPr>
        <w:t>ISO/IEC Guide</w:t>
      </w:r>
      <w:r>
        <w:rPr>
          <w:rFonts w:hint="eastAsia"/>
          <w:szCs w:val="21"/>
        </w:rPr>
        <w:t xml:space="preserve"> </w:t>
      </w:r>
      <w:r w:rsidRPr="00180DE1">
        <w:rPr>
          <w:szCs w:val="21"/>
        </w:rPr>
        <w:t xml:space="preserve">7：1994 </w:t>
      </w:r>
      <w:r w:rsidRPr="00180DE1">
        <w:rPr>
          <w:rFonts w:hAnsi="宋体"/>
          <w:szCs w:val="21"/>
        </w:rPr>
        <w:t>《合用于合格评估的标准的编写指南》而重新修订的标准</w:t>
      </w:r>
      <w:r w:rsidR="00D32364">
        <w:rPr>
          <w:rFonts w:hAnsi="宋体" w:hint="eastAsia"/>
          <w:szCs w:val="21"/>
        </w:rPr>
        <w:t>.</w:t>
      </w:r>
    </w:p>
    <w:p w:rsidR="00CB6CA0" w:rsidP="00CB6CA0">
      <w:pPr>
        <w:pStyle w:val="a1"/>
        <w:spacing w:line="420" w:lineRule="auto"/>
        <w:ind w:firstLine="420"/>
        <w:rPr>
          <w:rFonts w:ascii="Times New Roman" w:hint="eastAsia"/>
        </w:rPr>
      </w:pPr>
      <w:r>
        <w:rPr>
          <w:rFonts w:hint="eastAsia"/>
          <w:color w:val="000000"/>
        </w:rPr>
        <w:t>在</w:t>
      </w:r>
      <w:r w:rsidRPr="00180DE1">
        <w:rPr>
          <w:rFonts w:hint="eastAsia"/>
        </w:rPr>
        <w:t>完善</w:t>
      </w:r>
      <w:r>
        <w:rPr>
          <w:rFonts w:hint="eastAsia"/>
        </w:rPr>
        <w:t>标准内容的基础上，</w:t>
      </w:r>
      <w:r>
        <w:rPr>
          <w:rFonts w:ascii="Times New Roman" w:hint="eastAsia"/>
        </w:rPr>
        <w:t>为了符合我国的语言习惯，对ISO/IEC 17007:2023做了下列编辑性修改：</w:t>
      </w:r>
    </w:p>
    <w:p w:rsidR="00CB6CA0" w:rsidRPr="000812A9" w:rsidP="00CB6CA0">
      <w:pPr>
        <w:pStyle w:val="CharCharCharCharCharCharCharCharCharCharCharChar"/>
        <w:numPr>
          <w:ilvl w:val="0"/>
          <w:numId w:val="41"/>
        </w:numPr>
        <w:spacing w:line="420" w:lineRule="auto"/>
        <w:ind w:firstLineChars="0"/>
        <w:rPr>
          <w:rFonts w:ascii="Times New Roman" w:hint="eastAsia"/>
        </w:rPr>
      </w:pPr>
      <w:r w:rsidRPr="000812A9" w:rsidR="00916070">
        <w:rPr>
          <w:rFonts w:ascii="Times New Roman" w:hint="eastAsia"/>
        </w:rPr>
        <w:t>正文中凡是出现</w:t>
      </w:r>
      <w:r w:rsidRPr="000812A9" w:rsidR="00916070">
        <w:rPr>
          <w:rFonts w:ascii="Times New Roman" w:hint="eastAsia"/>
        </w:rPr>
        <w:t>“</w:t>
      </w:r>
      <w:r w:rsidRPr="000812A9" w:rsidR="00916070">
        <w:rPr>
          <w:rFonts w:ascii="Times New Roman" w:hint="eastAsia"/>
        </w:rPr>
        <w:t>本国际标准</w:t>
      </w:r>
      <w:r w:rsidRPr="000812A9" w:rsidR="00916070">
        <w:rPr>
          <w:rFonts w:ascii="Times New Roman" w:hint="eastAsia"/>
        </w:rPr>
        <w:t>”</w:t>
      </w:r>
      <w:r w:rsidRPr="000812A9" w:rsidR="00916070">
        <w:rPr>
          <w:rFonts w:ascii="Times New Roman" w:hint="eastAsia"/>
        </w:rPr>
        <w:t>的地方，一律以</w:t>
      </w:r>
      <w:r w:rsidRPr="000812A9" w:rsidR="00916070">
        <w:rPr>
          <w:rFonts w:ascii="Times New Roman" w:hint="eastAsia"/>
        </w:rPr>
        <w:t>“</w:t>
      </w:r>
      <w:r w:rsidRPr="000812A9" w:rsidR="00916070">
        <w:rPr>
          <w:rFonts w:ascii="Times New Roman" w:hint="eastAsia"/>
        </w:rPr>
        <w:t>本标准</w:t>
      </w:r>
      <w:r w:rsidRPr="000812A9" w:rsidR="00916070">
        <w:rPr>
          <w:rFonts w:ascii="Times New Roman" w:hint="eastAsia"/>
        </w:rPr>
        <w:t>”</w:t>
      </w:r>
      <w:r w:rsidRPr="000812A9" w:rsidR="00916070">
        <w:rPr>
          <w:rFonts w:ascii="Times New Roman" w:hint="eastAsia"/>
        </w:rPr>
        <w:t>替换</w:t>
      </w:r>
      <w:r w:rsidRPr="000812A9">
        <w:rPr>
          <w:rFonts w:ascii="Times New Roman" w:hint="eastAsia"/>
        </w:rPr>
        <w:t>；</w:t>
      </w:r>
    </w:p>
    <w:p w:rsidR="00CB6CA0" w:rsidRPr="000812A9" w:rsidP="00BE4A3F">
      <w:pPr>
        <w:pStyle w:val="CharCharCharCharCharCharCharCharCharCharCharChar"/>
        <w:numPr>
          <w:ilvl w:val="0"/>
          <w:numId w:val="41"/>
        </w:numPr>
        <w:spacing w:line="420" w:lineRule="auto"/>
        <w:ind w:firstLineChars="0"/>
        <w:rPr>
          <w:rFonts w:ascii="Times New Roman" w:hint="eastAsia"/>
        </w:rPr>
      </w:pPr>
      <w:r w:rsidRPr="000812A9" w:rsidR="00BE4A3F">
        <w:rPr>
          <w:rFonts w:hint="eastAsia"/>
        </w:rPr>
        <w:t>本标准中</w:t>
      </w:r>
      <w:r w:rsidRPr="000812A9" w:rsidR="00BE4A3F">
        <w:rPr>
          <w:rFonts w:hint="eastAsia"/>
        </w:rPr>
        <w:t>“</w:t>
      </w:r>
      <w:r w:rsidRPr="000812A9" w:rsidR="00BE4A3F">
        <w:rPr>
          <w:rFonts w:hint="eastAsia"/>
        </w:rPr>
        <w:t>规范性文献</w:t>
      </w:r>
      <w:r w:rsidRPr="000812A9" w:rsidR="00BE4A3F">
        <w:rPr>
          <w:rFonts w:hint="eastAsia"/>
        </w:rPr>
        <w:t>”</w:t>
      </w:r>
      <w:r w:rsidRPr="000812A9" w:rsidR="00BE4A3F">
        <w:rPr>
          <w:rFonts w:hint="eastAsia"/>
        </w:rPr>
        <w:t>是总称，涉及了标准、规定规定</w:t>
      </w:r>
      <w:r w:rsidR="000812A9">
        <w:rPr>
          <w:rFonts w:hint="eastAsia"/>
        </w:rPr>
        <w:t>[ISO/IEC Directives 2中</w:t>
      </w:r>
      <w:r w:rsidRPr="000812A9" w:rsidR="00BE4A3F">
        <w:rPr>
          <w:rFonts w:hint="eastAsia"/>
        </w:rPr>
        <w:t>3.1]</w:t>
      </w:r>
      <w:r w:rsidRPr="000812A9">
        <w:rPr>
          <w:rFonts w:ascii="Times New Roman" w:hint="eastAsia"/>
        </w:rPr>
        <w:t>；</w:t>
      </w:r>
    </w:p>
    <w:p w:rsidR="00CB6CA0" w:rsidRPr="000812A9" w:rsidP="00CB6CA0">
      <w:pPr>
        <w:pStyle w:val="CharCharCharCharCharCharCharCharCharCharCharChar"/>
        <w:numPr>
          <w:ilvl w:val="0"/>
          <w:numId w:val="41"/>
        </w:numPr>
        <w:spacing w:line="420" w:lineRule="auto"/>
        <w:ind w:firstLineChars="0"/>
        <w:rPr>
          <w:rFonts w:ascii="Times New Roman" w:hint="eastAsia"/>
        </w:rPr>
      </w:pPr>
      <w:r w:rsidRPr="000812A9" w:rsidR="000812A9">
        <w:rPr>
          <w:rFonts w:ascii="Times New Roman" w:hint="eastAsia"/>
        </w:rPr>
        <w:t>本标准新增术语</w:t>
      </w:r>
      <w:r w:rsidRPr="000812A9" w:rsidR="000812A9">
        <w:rPr>
          <w:rFonts w:ascii="Times New Roman" w:hint="eastAsia"/>
        </w:rPr>
        <w:t>“</w:t>
      </w:r>
      <w:r w:rsidRPr="000812A9" w:rsidR="000812A9">
        <w:rPr>
          <w:rFonts w:ascii="Times New Roman" w:hint="eastAsia"/>
        </w:rPr>
        <w:t>合格评估对象</w:t>
      </w:r>
      <w:r w:rsidRPr="000812A9" w:rsidR="000812A9">
        <w:rPr>
          <w:rFonts w:ascii="Times New Roman" w:hint="eastAsia"/>
        </w:rPr>
        <w:t>”</w:t>
      </w:r>
      <w:r w:rsidRPr="000812A9" w:rsidR="000812A9">
        <w:rPr>
          <w:rFonts w:ascii="Times New Roman" w:hint="eastAsia"/>
        </w:rPr>
        <w:t>，</w:t>
      </w:r>
      <w:r w:rsidRPr="000812A9" w:rsidR="000812A9">
        <w:rPr>
          <w:rFonts w:hint="eastAsia"/>
        </w:rPr>
        <w:t>根据</w:t>
      </w:r>
      <w:r w:rsidRPr="000812A9" w:rsidR="000812A9">
        <w:rPr>
          <w:rFonts w:ascii="Arial" w:hAnsi="Arial" w:cs="Arial"/>
        </w:rPr>
        <w:t xml:space="preserve">ISO/IEC 17000:2023, 2.1, </w:t>
      </w:r>
      <w:r w:rsidRPr="000812A9" w:rsidR="000812A9">
        <w:rPr>
          <w:rFonts w:ascii="Arial" w:hAnsi="Arial" w:cs="Arial" w:hint="eastAsia"/>
        </w:rPr>
        <w:t>注</w:t>
      </w:r>
      <w:r w:rsidRPr="000812A9" w:rsidR="000812A9">
        <w:rPr>
          <w:rFonts w:ascii="Arial" w:hAnsi="Arial" w:cs="Arial"/>
        </w:rPr>
        <w:t>2</w:t>
      </w:r>
      <w:r w:rsidRPr="000812A9" w:rsidR="000812A9">
        <w:rPr>
          <w:rFonts w:ascii="Arial" w:hAnsi="Arial" w:cs="Arial" w:hint="eastAsia"/>
        </w:rPr>
        <w:t>改写</w:t>
      </w:r>
      <w:r w:rsidRPr="000812A9">
        <w:rPr>
          <w:rFonts w:ascii="Times New Roman" w:hint="eastAsia"/>
        </w:rPr>
        <w:t>。</w:t>
      </w:r>
    </w:p>
    <w:p w:rsidR="00CB6CA0" w:rsidRPr="00017DDB" w:rsidP="00CB6CA0">
      <w:pPr>
        <w:pStyle w:val="a1"/>
        <w:spacing w:line="420" w:lineRule="auto"/>
        <w:ind w:firstLine="420"/>
        <w:rPr>
          <w:rFonts w:ascii="Times New Roman"/>
        </w:rPr>
      </w:pPr>
      <w:r w:rsidRPr="00017DDB">
        <w:rPr>
          <w:rFonts w:ascii="Times New Roman"/>
        </w:rPr>
        <w:t>本标准由全国认证认可标准化技术委员会（SAC/TC261）提出并归口。</w:t>
      </w:r>
    </w:p>
    <w:p w:rsidR="00CB6CA0" w:rsidRPr="00017DDB" w:rsidP="00CB6CA0">
      <w:pPr>
        <w:pStyle w:val="a1"/>
        <w:spacing w:line="420" w:lineRule="auto"/>
        <w:ind w:firstLine="420"/>
        <w:rPr>
          <w:rFonts w:ascii="Times New Roman" w:hint="eastAsia"/>
        </w:rPr>
      </w:pPr>
      <w:r w:rsidRPr="00017DDB">
        <w:rPr>
          <w:rFonts w:ascii="Times New Roman"/>
        </w:rPr>
        <w:t>本标准起草单位：</w:t>
      </w:r>
      <w:r>
        <w:rPr>
          <w:rFonts w:ascii="Times New Roman" w:hint="eastAsia"/>
        </w:rPr>
        <w:t>国家认证认可监督管理委员会、中国电子技术标准化研究所、中国合格评估国家认可中心、方圆标志认证集团有限公司、</w:t>
      </w:r>
      <w:r w:rsidRPr="00CF17E3">
        <w:rPr>
          <w:rFonts w:ascii="Times New Roman" w:hint="eastAsia"/>
        </w:rPr>
        <w:t>中国标准化研究院、中国质量认</w:t>
      </w:r>
      <w:r w:rsidRPr="00B31322">
        <w:rPr>
          <w:rFonts w:ascii="Times New Roman" w:hint="eastAsia"/>
        </w:rPr>
        <w:t>证中心。</w:t>
      </w:r>
    </w:p>
    <w:p w:rsidR="00CB6CA0" w:rsidP="00CB6CA0">
      <w:pPr>
        <w:autoSpaceDE w:val="0"/>
        <w:autoSpaceDN w:val="0"/>
        <w:adjustRightInd w:val="0"/>
        <w:spacing w:line="420" w:lineRule="auto"/>
        <w:ind w:firstLine="420" w:firstLineChars="200"/>
        <w:jc w:val="left"/>
        <w:rPr>
          <w:rFonts w:ascii="Arial,Bold" w:hAnsi="Arial,Bold" w:cs="Arial,Bold" w:hint="eastAsia"/>
          <w:b/>
          <w:bCs/>
          <w:kern w:val="0"/>
          <w:sz w:val="20"/>
          <w:szCs w:val="20"/>
        </w:rPr>
        <w:sectPr w:rsidSect="0088305A">
          <w:type w:val="nextPage"/>
          <w:pgSz w:w="11906" w:h="16838"/>
          <w:pgMar w:top="1246" w:right="1286" w:bottom="1402" w:left="1260" w:header="851" w:footer="992" w:gutter="0"/>
          <w:pgNumType w:fmt="upperRoman" w:start="2"/>
          <w:cols w:space="425"/>
          <w:titlePg w:val="0"/>
          <w:docGrid w:type="lines" w:linePitch="312"/>
        </w:sectPr>
      </w:pPr>
      <w:r w:rsidRPr="00017DDB">
        <w:t>本标准重要起草人：</w:t>
      </w:r>
      <w:r w:rsidRPr="0094692B" w:rsidR="00D32364">
        <w:rPr>
          <w:rFonts w:hint="eastAsia"/>
        </w:rPr>
        <w:t xml:space="preserve"> </w:t>
      </w:r>
    </w:p>
    <w:p w:rsidR="00253770" w:rsidRPr="00D32364" w:rsidP="00253770">
      <w:pPr>
        <w:spacing w:line="420" w:lineRule="auto"/>
        <w:jc w:val="center"/>
        <w:rPr>
          <w:rFonts w:eastAsia="黑体" w:hint="eastAsia"/>
          <w:b/>
          <w:sz w:val="32"/>
        </w:rPr>
      </w:pPr>
      <w:r w:rsidRPr="00D32364">
        <w:rPr>
          <w:rFonts w:eastAsia="黑体"/>
          <w:b/>
          <w:sz w:val="32"/>
        </w:rPr>
        <w:t xml:space="preserve">ISO  </w:t>
      </w:r>
      <w:r w:rsidRPr="00D32364">
        <w:rPr>
          <w:rFonts w:eastAsia="黑体" w:hint="eastAsia"/>
          <w:b/>
          <w:sz w:val="32"/>
        </w:rPr>
        <w:t>前言</w:t>
      </w:r>
    </w:p>
    <w:p w:rsidR="00253770" w:rsidRPr="00D32364" w:rsidP="00253770">
      <w:pPr>
        <w:spacing w:line="400" w:lineRule="exact"/>
        <w:rPr>
          <w:rFonts w:hint="eastAsia"/>
        </w:rPr>
      </w:pPr>
    </w:p>
    <w:p w:rsidR="00253770" w:rsidRPr="00D32364" w:rsidP="00253770">
      <w:pPr>
        <w:spacing w:line="420" w:lineRule="auto"/>
        <w:ind w:firstLine="420"/>
        <w:rPr>
          <w:rFonts w:hint="eastAsia"/>
        </w:rPr>
      </w:pPr>
      <w:r w:rsidRPr="00D32364">
        <w:rPr>
          <w:rFonts w:hint="eastAsia"/>
        </w:rPr>
        <w:t>国际标准化组织（ISO）</w:t>
      </w:r>
      <w:r w:rsidRPr="00D32364" w:rsidR="002C5C7F">
        <w:rPr>
          <w:rFonts w:ascii="宋体" w:hAnsi="宋体" w:hint="eastAsia"/>
          <w:szCs w:val="21"/>
        </w:rPr>
        <w:t>和国际电工委员会（IEC）</w:t>
      </w:r>
      <w:r w:rsidRPr="00D32364" w:rsidR="002C5C7F">
        <w:rPr>
          <w:rFonts w:ascii="宋体" w:hAnsi="宋体"/>
          <w:szCs w:val="21"/>
        </w:rPr>
        <w:t>是</w:t>
      </w:r>
      <w:r w:rsidRPr="00D32364" w:rsidR="002C5C7F">
        <w:rPr>
          <w:rFonts w:ascii="宋体" w:hAnsi="宋体" w:hint="eastAsia"/>
          <w:szCs w:val="21"/>
        </w:rPr>
        <w:t>世界</w:t>
      </w:r>
      <w:r w:rsidRPr="00D32364" w:rsidR="002C5C7F">
        <w:rPr>
          <w:rFonts w:ascii="宋体" w:hAnsi="宋体"/>
          <w:szCs w:val="21"/>
        </w:rPr>
        <w:t>标准</w:t>
      </w:r>
      <w:r w:rsidRPr="00D32364" w:rsidR="002C5C7F">
        <w:rPr>
          <w:rFonts w:ascii="宋体" w:hAnsi="宋体" w:hint="eastAsia"/>
          <w:szCs w:val="21"/>
        </w:rPr>
        <w:t>化的专门</w:t>
      </w:r>
      <w:r w:rsidRPr="00D32364" w:rsidR="002C5C7F">
        <w:rPr>
          <w:rFonts w:ascii="宋体" w:hAnsi="宋体"/>
          <w:szCs w:val="21"/>
        </w:rPr>
        <w:t>机构</w:t>
      </w:r>
      <w:r w:rsidRPr="00D32364" w:rsidR="002C5C7F">
        <w:rPr>
          <w:rFonts w:ascii="宋体" w:hAnsi="宋体" w:hint="eastAsia"/>
          <w:szCs w:val="21"/>
        </w:rPr>
        <w:t>，ISO或IEC的国家成员通过从事特定技术领域的各技术委员会参与国际标准的制定。ISO和IEC各技术委员会在共同感爱好的领域进行合作。</w:t>
      </w:r>
      <w:r w:rsidRPr="00D32364" w:rsidR="002C5C7F">
        <w:rPr>
          <w:rFonts w:ascii="宋体" w:hAnsi="宋体"/>
          <w:szCs w:val="21"/>
        </w:rPr>
        <w:t>与ISO</w:t>
      </w:r>
      <w:r w:rsidRPr="00D32364" w:rsidR="002C5C7F">
        <w:rPr>
          <w:rFonts w:ascii="宋体" w:hAnsi="宋体" w:hint="eastAsia"/>
          <w:szCs w:val="21"/>
        </w:rPr>
        <w:t>有联络关系</w:t>
      </w:r>
      <w:r w:rsidRPr="00D32364" w:rsidR="002C5C7F">
        <w:rPr>
          <w:rFonts w:ascii="宋体" w:hAnsi="宋体"/>
          <w:szCs w:val="21"/>
        </w:rPr>
        <w:t>的国际组织</w:t>
      </w:r>
      <w:r w:rsidRPr="00D32364" w:rsidR="002C5C7F">
        <w:rPr>
          <w:rFonts w:ascii="宋体" w:hAnsi="宋体" w:hint="eastAsia"/>
          <w:szCs w:val="21"/>
        </w:rPr>
        <w:t>（</w:t>
      </w:r>
      <w:r w:rsidRPr="00D32364" w:rsidR="002C5C7F">
        <w:rPr>
          <w:rFonts w:ascii="宋体" w:hAnsi="宋体"/>
          <w:szCs w:val="21"/>
        </w:rPr>
        <w:t>政府</w:t>
      </w:r>
      <w:r w:rsidRPr="00D32364" w:rsidR="002C5C7F">
        <w:rPr>
          <w:rFonts w:ascii="宋体" w:hAnsi="宋体" w:hint="eastAsia"/>
          <w:szCs w:val="21"/>
        </w:rPr>
        <w:t>的</w:t>
      </w:r>
      <w:r w:rsidRPr="00D32364" w:rsidR="002C5C7F">
        <w:rPr>
          <w:rFonts w:ascii="宋体" w:hAnsi="宋体"/>
          <w:szCs w:val="21"/>
        </w:rPr>
        <w:t>或非政府</w:t>
      </w:r>
      <w:r w:rsidRPr="00D32364" w:rsidR="002C5C7F">
        <w:rPr>
          <w:rFonts w:ascii="宋体" w:hAnsi="宋体" w:hint="eastAsia"/>
          <w:szCs w:val="21"/>
        </w:rPr>
        <w:t>的），</w:t>
      </w:r>
      <w:r w:rsidRPr="00D32364" w:rsidR="002C5C7F">
        <w:rPr>
          <w:rFonts w:ascii="宋体" w:hAnsi="宋体"/>
          <w:szCs w:val="21"/>
        </w:rPr>
        <w:t>也可以参</w:t>
      </w:r>
      <w:r w:rsidRPr="00D32364" w:rsidR="002C5C7F">
        <w:rPr>
          <w:rFonts w:ascii="宋体" w:hAnsi="宋体" w:hint="eastAsia"/>
          <w:szCs w:val="21"/>
        </w:rPr>
        <w:t>与</w:t>
      </w:r>
      <w:r w:rsidRPr="00D32364" w:rsidR="002C5C7F">
        <w:rPr>
          <w:rFonts w:ascii="宋体" w:hAnsi="宋体"/>
          <w:szCs w:val="21"/>
        </w:rPr>
        <w:t>这方面的工作。</w:t>
      </w:r>
      <w:r w:rsidRPr="00D32364" w:rsidR="00AA2CA8">
        <w:rPr>
          <w:rFonts w:ascii="宋体" w:hAnsi="宋体" w:hint="eastAsia"/>
          <w:szCs w:val="21"/>
        </w:rPr>
        <w:t>在合格评估领域，ISO合格评估委员会（CASCO）负责制定国际标准和指南。</w:t>
      </w:r>
    </w:p>
    <w:p w:rsidR="00253770" w:rsidRPr="0089101C" w:rsidP="00253770">
      <w:pPr>
        <w:spacing w:line="420" w:lineRule="auto"/>
        <w:ind w:firstLine="420"/>
        <w:rPr>
          <w:rFonts w:hint="eastAsia"/>
        </w:rPr>
      </w:pPr>
      <w:r w:rsidRPr="0089101C">
        <w:rPr>
          <w:rFonts w:hint="eastAsia"/>
        </w:rPr>
        <w:t>国际标准是根据ISO／IEC导则第2部分的规则起草。</w:t>
      </w:r>
    </w:p>
    <w:p w:rsidR="00253770" w:rsidRPr="0089101C" w:rsidP="00253770">
      <w:pPr>
        <w:spacing w:line="420" w:lineRule="auto"/>
        <w:ind w:firstLine="480"/>
        <w:rPr>
          <w:rFonts w:hint="eastAsia"/>
          <w:szCs w:val="21"/>
        </w:rPr>
      </w:pPr>
      <w:r w:rsidRPr="0089101C">
        <w:rPr>
          <w:rFonts w:hint="eastAsia"/>
          <w:szCs w:val="21"/>
        </w:rPr>
        <w:t>技术委员会的重要任务是制定国际标准。由技术委员会通过的国际标准草案提交各成员团队投票表决。国际标准草案需取得至少75%参与表决成员团队的批准，才干作为国际标准正式发布。</w:t>
      </w:r>
    </w:p>
    <w:p w:rsidR="00253770" w:rsidRPr="0089101C" w:rsidP="00253770">
      <w:pPr>
        <w:spacing w:line="420" w:lineRule="auto"/>
        <w:ind w:firstLine="420"/>
        <w:rPr>
          <w:rFonts w:hint="eastAsia"/>
        </w:rPr>
      </w:pPr>
      <w:r w:rsidRPr="0089101C">
        <w:rPr>
          <w:rFonts w:hint="eastAsia"/>
        </w:rPr>
        <w:t>本文献中的某些内容有也许涉及一些专利权问题，对此应引起注意，ISO不负责辨认任何这样的专利权问题。</w:t>
      </w:r>
    </w:p>
    <w:p w:rsidR="00253770" w:rsidRPr="0089101C" w:rsidP="00253770">
      <w:pPr>
        <w:spacing w:line="420" w:lineRule="auto"/>
        <w:ind w:firstLine="420"/>
        <w:rPr>
          <w:rFonts w:hint="eastAsia"/>
        </w:rPr>
      </w:pPr>
      <w:r w:rsidRPr="00397E4C" w:rsidR="00AA2CA8">
        <w:rPr>
          <w:szCs w:val="21"/>
        </w:rPr>
        <w:t>ISO/IEC 17007</w:t>
      </w:r>
      <w:r w:rsidRPr="00397E4C" w:rsidR="00AA2CA8">
        <w:rPr>
          <w:rFonts w:hAnsi="宋体"/>
          <w:szCs w:val="21"/>
        </w:rPr>
        <w:t>由</w:t>
      </w:r>
      <w:r w:rsidRPr="00397E4C" w:rsidR="00AA2CA8">
        <w:rPr>
          <w:szCs w:val="21"/>
        </w:rPr>
        <w:t>ISO</w:t>
      </w:r>
      <w:r w:rsidRPr="00397E4C" w:rsidR="00AA2CA8">
        <w:rPr>
          <w:rFonts w:hAnsi="宋体"/>
          <w:szCs w:val="21"/>
        </w:rPr>
        <w:t>合格评估委员会（</w:t>
      </w:r>
      <w:r w:rsidRPr="00397E4C" w:rsidR="00AA2CA8">
        <w:rPr>
          <w:szCs w:val="21"/>
        </w:rPr>
        <w:t>CASCO</w:t>
      </w:r>
      <w:r w:rsidRPr="00397E4C" w:rsidR="00AA2CA8">
        <w:rPr>
          <w:rFonts w:hAnsi="宋体"/>
          <w:szCs w:val="21"/>
        </w:rPr>
        <w:t>）制定。</w:t>
      </w:r>
    </w:p>
    <w:p w:rsidR="00253770" w:rsidRPr="0089101C" w:rsidP="00253770">
      <w:pPr>
        <w:spacing w:line="420" w:lineRule="auto"/>
        <w:ind w:firstLine="420"/>
        <w:rPr>
          <w:rFonts w:hint="eastAsia"/>
        </w:rPr>
      </w:pPr>
      <w:r w:rsidRPr="00507605" w:rsidR="00AA2CA8">
        <w:rPr>
          <w:szCs w:val="21"/>
        </w:rPr>
        <w:t>本标准已</w:t>
      </w:r>
      <w:r w:rsidR="00AA2CA8">
        <w:rPr>
          <w:rFonts w:hint="eastAsia"/>
          <w:szCs w:val="21"/>
        </w:rPr>
        <w:t>分发给</w:t>
      </w:r>
      <w:r w:rsidRPr="00507605" w:rsidR="00AA2CA8">
        <w:rPr>
          <w:szCs w:val="21"/>
        </w:rPr>
        <w:t>ISO和IEC国家成员</w:t>
      </w:r>
      <w:r w:rsidR="00AA2CA8">
        <w:rPr>
          <w:rFonts w:hint="eastAsia"/>
          <w:szCs w:val="21"/>
        </w:rPr>
        <w:t>体</w:t>
      </w:r>
      <w:r w:rsidRPr="00507605" w:rsidR="00AA2CA8">
        <w:rPr>
          <w:szCs w:val="21"/>
        </w:rPr>
        <w:t>进行投票，并</w:t>
      </w:r>
      <w:r w:rsidR="00AA2CA8">
        <w:rPr>
          <w:rFonts w:hint="eastAsia"/>
          <w:szCs w:val="21"/>
        </w:rPr>
        <w:t>已</w:t>
      </w:r>
      <w:r w:rsidRPr="00507605" w:rsidR="00AA2CA8">
        <w:rPr>
          <w:szCs w:val="21"/>
        </w:rPr>
        <w:t>被</w:t>
      </w:r>
      <w:r w:rsidR="00AA2CA8">
        <w:rPr>
          <w:rFonts w:hint="eastAsia"/>
          <w:szCs w:val="21"/>
        </w:rPr>
        <w:t>这</w:t>
      </w:r>
      <w:r w:rsidRPr="00507605" w:rsidR="00AA2CA8">
        <w:rPr>
          <w:szCs w:val="21"/>
        </w:rPr>
        <w:t>两个组织</w:t>
      </w:r>
      <w:r w:rsidR="00AA2CA8">
        <w:rPr>
          <w:rFonts w:hint="eastAsia"/>
          <w:szCs w:val="21"/>
        </w:rPr>
        <w:t>批准</w:t>
      </w:r>
      <w:r w:rsidRPr="00507605" w:rsidR="00AA2CA8">
        <w:rPr>
          <w:szCs w:val="21"/>
        </w:rPr>
        <w:t>。</w:t>
      </w:r>
    </w:p>
    <w:p w:rsidR="00253770" w:rsidRPr="0089101C" w:rsidP="00AA2CA8">
      <w:pPr>
        <w:spacing w:line="420" w:lineRule="auto"/>
        <w:ind w:firstLine="420" w:firstLineChars="200"/>
        <w:rPr>
          <w:rFonts w:hint="eastAsia"/>
        </w:rPr>
      </w:pPr>
      <w:r w:rsidRPr="00507605" w:rsidR="00AA2CA8">
        <w:rPr>
          <w:szCs w:val="21"/>
        </w:rPr>
        <w:t>ISO/IEC 17007</w:t>
      </w:r>
      <w:r w:rsidR="00AA2CA8">
        <w:rPr>
          <w:rFonts w:hint="eastAsia"/>
          <w:szCs w:val="21"/>
        </w:rPr>
        <w:t>第1版取消</w:t>
      </w:r>
      <w:r w:rsidR="00AA2CA8">
        <w:rPr>
          <w:szCs w:val="21"/>
        </w:rPr>
        <w:t>并</w:t>
      </w:r>
      <w:r w:rsidR="00AA2CA8">
        <w:rPr>
          <w:rFonts w:hint="eastAsia"/>
          <w:szCs w:val="21"/>
        </w:rPr>
        <w:t>替</w:t>
      </w:r>
      <w:r w:rsidRPr="00507605" w:rsidR="00AA2CA8">
        <w:rPr>
          <w:szCs w:val="21"/>
        </w:rPr>
        <w:t>代了ISO/IEC指南7：</w:t>
      </w:r>
      <w:r w:rsidR="00AA2CA8">
        <w:rPr>
          <w:szCs w:val="21"/>
        </w:rPr>
        <w:t>1994</w:t>
      </w:r>
      <w:r w:rsidR="00AA2CA8">
        <w:rPr>
          <w:rFonts w:hint="eastAsia"/>
          <w:szCs w:val="21"/>
        </w:rPr>
        <w:t>，形成技术修订版本</w:t>
      </w:r>
      <w:r w:rsidRPr="005B12C4" w:rsidR="00AA2CA8">
        <w:rPr>
          <w:szCs w:val="21"/>
        </w:rPr>
        <w:t>。</w:t>
      </w:r>
    </w:p>
    <w:p w:rsidR="00253770" w:rsidRPr="0089101C">
      <w:pPr>
        <w:spacing w:line="400" w:lineRule="exact"/>
        <w:ind w:left="-178" w:leftChars="-85"/>
        <w:rPr>
          <w:rFonts w:ascii="宋体" w:hAnsi="宋体" w:hint="eastAsia"/>
          <w:sz w:val="24"/>
        </w:rPr>
        <w:sectPr w:rsidSect="0088305A">
          <w:type w:val="nextPage"/>
          <w:pgSz w:w="11906" w:h="16838"/>
          <w:pgMar w:top="1246" w:right="1286" w:bottom="1402" w:left="1260" w:header="851" w:footer="992" w:gutter="0"/>
          <w:pgNumType w:fmt="upperRoman" w:start="3"/>
          <w:cols w:space="425"/>
          <w:titlePg w:val="0"/>
          <w:docGrid w:type="lines" w:linePitch="312"/>
        </w:sectPr>
      </w:pPr>
    </w:p>
    <w:p w:rsidR="00253770" w:rsidRPr="0089101C" w:rsidP="0014463F">
      <w:pPr>
        <w:spacing w:line="420" w:lineRule="auto"/>
        <w:jc w:val="center"/>
        <w:rPr>
          <w:rFonts w:eastAsia="黑体"/>
          <w:b/>
          <w:sz w:val="32"/>
          <w:szCs w:val="32"/>
        </w:rPr>
      </w:pPr>
      <w:r w:rsidRPr="0089101C">
        <w:rPr>
          <w:rFonts w:eastAsia="黑体" w:hint="eastAsia"/>
          <w:b/>
          <w:sz w:val="32"/>
          <w:szCs w:val="32"/>
        </w:rPr>
        <w:t>引言</w:t>
      </w:r>
    </w:p>
    <w:p w:rsidR="00C97A8A" w:rsidP="006028D9">
      <w:pPr>
        <w:autoSpaceDE w:val="0"/>
        <w:autoSpaceDN w:val="0"/>
        <w:adjustRightInd w:val="0"/>
        <w:ind w:firstLine="420" w:firstLineChars="200"/>
        <w:jc w:val="left"/>
        <w:rPr>
          <w:rFonts w:hAnsi="宋体" w:hint="eastAsia"/>
          <w:szCs w:val="21"/>
        </w:rPr>
      </w:pPr>
    </w:p>
    <w:p w:rsidR="006028D9" w:rsidRPr="00C97A8A" w:rsidP="006028D9">
      <w:pPr>
        <w:autoSpaceDE w:val="0"/>
        <w:autoSpaceDN w:val="0"/>
        <w:adjustRightInd w:val="0"/>
        <w:spacing w:line="420" w:lineRule="auto"/>
        <w:ind w:firstLine="420" w:firstLineChars="200"/>
        <w:jc w:val="left"/>
        <w:rPr>
          <w:szCs w:val="21"/>
        </w:rPr>
      </w:pPr>
      <w:r w:rsidR="00916070">
        <w:rPr>
          <w:rFonts w:hAnsi="宋体"/>
          <w:szCs w:val="21"/>
        </w:rPr>
        <w:t>本标准</w:t>
      </w:r>
      <w:r w:rsidRPr="00C97A8A">
        <w:rPr>
          <w:rFonts w:hAnsi="宋体"/>
          <w:szCs w:val="21"/>
        </w:rPr>
        <w:t>提供了编写规范性文献（例如标准、技术规范、规程和法规）的原则和指南，以使编写的文献简明清楚，特别是对于后续的合格评估活动。</w:t>
      </w:r>
    </w:p>
    <w:p w:rsidR="006028D9" w:rsidRPr="00C97A8A" w:rsidP="006028D9">
      <w:pPr>
        <w:autoSpaceDE w:val="0"/>
        <w:autoSpaceDN w:val="0"/>
        <w:adjustRightInd w:val="0"/>
        <w:spacing w:line="420" w:lineRule="auto"/>
        <w:ind w:firstLine="420" w:firstLineChars="200"/>
        <w:jc w:val="left"/>
        <w:rPr>
          <w:szCs w:val="21"/>
        </w:rPr>
      </w:pPr>
      <w:r w:rsidRPr="00C97A8A">
        <w:rPr>
          <w:rFonts w:hAnsi="宋体"/>
          <w:szCs w:val="21"/>
        </w:rPr>
        <w:t>合格评估活动涉及检测、检查和各种形式的认证，这些活动的结果以诸如声明、报告、证书、符合性标志或授权以及许可证（见</w:t>
      </w:r>
      <w:r w:rsidRPr="00C97A8A">
        <w:rPr>
          <w:szCs w:val="21"/>
        </w:rPr>
        <w:t>ISO/IEC 17000</w:t>
      </w:r>
      <w:r w:rsidRPr="00C97A8A">
        <w:rPr>
          <w:rFonts w:hAnsi="宋体"/>
          <w:szCs w:val="21"/>
        </w:rPr>
        <w:t>：</w:t>
      </w:r>
      <w:r w:rsidRPr="00C97A8A">
        <w:rPr>
          <w:szCs w:val="21"/>
        </w:rPr>
        <w:t>2023</w:t>
      </w:r>
      <w:r w:rsidRPr="00C97A8A">
        <w:rPr>
          <w:rFonts w:hAnsi="宋体"/>
          <w:szCs w:val="21"/>
        </w:rPr>
        <w:t>）等证明方式予以表达。</w:t>
      </w:r>
    </w:p>
    <w:p w:rsidR="006028D9" w:rsidRPr="00C97A8A" w:rsidP="006028D9">
      <w:pPr>
        <w:autoSpaceDE w:val="0"/>
        <w:autoSpaceDN w:val="0"/>
        <w:adjustRightInd w:val="0"/>
        <w:spacing w:line="420" w:lineRule="auto"/>
        <w:ind w:firstLine="420" w:firstLineChars="200"/>
        <w:jc w:val="left"/>
        <w:rPr>
          <w:kern w:val="0"/>
          <w:szCs w:val="21"/>
        </w:rPr>
      </w:pPr>
      <w:r w:rsidR="00916070">
        <w:rPr>
          <w:rFonts w:hAnsi="宋体"/>
          <w:szCs w:val="21"/>
        </w:rPr>
        <w:t>本标准</w:t>
      </w:r>
      <w:r w:rsidRPr="00C97A8A">
        <w:rPr>
          <w:rFonts w:hAnsi="宋体"/>
          <w:szCs w:val="21"/>
        </w:rPr>
        <w:t>供以下使用者使用：</w:t>
      </w:r>
    </w:p>
    <w:p w:rsidR="004D2804" w:rsidP="004D2804">
      <w:pPr>
        <w:autoSpaceDE w:val="0"/>
        <w:autoSpaceDN w:val="0"/>
        <w:adjustRightInd w:val="0"/>
        <w:spacing w:line="420" w:lineRule="auto"/>
        <w:ind w:firstLine="420" w:firstLineChars="200"/>
        <w:jc w:val="left"/>
        <w:rPr>
          <w:rFonts w:ascii="Arial" w:hAnsi="Arial" w:cs="Arial" w:hint="eastAsia"/>
          <w:kern w:val="0"/>
          <w:sz w:val="20"/>
          <w:szCs w:val="20"/>
        </w:rPr>
      </w:pPr>
      <w:r w:rsidRPr="00507605">
        <w:rPr>
          <w:rFonts w:ascii="宋体" w:hAnsi="宋体" w:hint="eastAsia"/>
          <w:szCs w:val="21"/>
        </w:rPr>
        <w:t>----</w:t>
      </w:r>
      <w:r>
        <w:rPr>
          <w:rFonts w:ascii="宋体" w:hAnsi="宋体" w:hint="eastAsia"/>
          <w:szCs w:val="21"/>
        </w:rPr>
        <w:t>不使用</w:t>
      </w:r>
      <w:r w:rsidRPr="00507605">
        <w:rPr>
          <w:rFonts w:ascii="宋体" w:hAnsi="宋体" w:hint="eastAsia"/>
          <w:szCs w:val="21"/>
        </w:rPr>
        <w:t>ISO</w:t>
      </w:r>
      <w:r>
        <w:rPr>
          <w:rFonts w:ascii="宋体" w:hAnsi="宋体" w:hint="eastAsia"/>
          <w:szCs w:val="21"/>
        </w:rPr>
        <w:t>/</w:t>
      </w:r>
      <w:r w:rsidRPr="00507605">
        <w:rPr>
          <w:rFonts w:ascii="宋体" w:hAnsi="宋体" w:hint="eastAsia"/>
          <w:szCs w:val="21"/>
        </w:rPr>
        <w:t>IEC</w:t>
      </w:r>
      <w:r>
        <w:rPr>
          <w:rFonts w:ascii="宋体" w:hAnsi="宋体" w:hint="eastAsia"/>
          <w:szCs w:val="21"/>
        </w:rPr>
        <w:t>导则的标准制定者</w:t>
      </w:r>
      <w:r w:rsidRPr="00507605">
        <w:rPr>
          <w:rFonts w:ascii="宋体" w:hAnsi="宋体" w:hint="eastAsia"/>
          <w:szCs w:val="21"/>
        </w:rPr>
        <w:t>；</w:t>
      </w:r>
    </w:p>
    <w:p w:rsidR="004D2804" w:rsidP="004D2804">
      <w:pPr>
        <w:autoSpaceDE w:val="0"/>
        <w:autoSpaceDN w:val="0"/>
        <w:adjustRightInd w:val="0"/>
        <w:spacing w:line="420" w:lineRule="auto"/>
        <w:ind w:firstLine="420" w:firstLineChars="200"/>
        <w:jc w:val="left"/>
        <w:rPr>
          <w:rFonts w:ascii="Arial" w:hAnsi="Arial" w:cs="Arial" w:hint="eastAsia"/>
          <w:kern w:val="0"/>
          <w:sz w:val="20"/>
          <w:szCs w:val="20"/>
        </w:rPr>
      </w:pPr>
      <w:r w:rsidRPr="00507605">
        <w:rPr>
          <w:rFonts w:ascii="宋体" w:hAnsi="宋体" w:hint="eastAsia"/>
          <w:szCs w:val="21"/>
        </w:rPr>
        <w:t>----行业协会和</w:t>
      </w:r>
      <w:r>
        <w:rPr>
          <w:rFonts w:ascii="宋体" w:hAnsi="宋体" w:hint="eastAsia"/>
          <w:szCs w:val="21"/>
        </w:rPr>
        <w:t>公会</w:t>
      </w:r>
      <w:r w:rsidRPr="00507605">
        <w:rPr>
          <w:rFonts w:ascii="宋体" w:hAnsi="宋体" w:hint="eastAsia"/>
          <w:szCs w:val="21"/>
        </w:rPr>
        <w:t>；</w:t>
      </w:r>
    </w:p>
    <w:p w:rsidR="004D2804" w:rsidP="004D2804">
      <w:pPr>
        <w:autoSpaceDE w:val="0"/>
        <w:autoSpaceDN w:val="0"/>
        <w:adjustRightInd w:val="0"/>
        <w:spacing w:line="420" w:lineRule="auto"/>
        <w:ind w:firstLine="420" w:firstLineChars="200"/>
        <w:jc w:val="left"/>
        <w:rPr>
          <w:rFonts w:ascii="Arial" w:hAnsi="Arial" w:cs="Arial" w:hint="eastAsia"/>
          <w:kern w:val="0"/>
          <w:sz w:val="20"/>
          <w:szCs w:val="20"/>
        </w:rPr>
      </w:pPr>
      <w:r w:rsidRPr="00507605">
        <w:rPr>
          <w:rFonts w:ascii="宋体" w:hAnsi="宋体" w:hint="eastAsia"/>
          <w:szCs w:val="21"/>
        </w:rPr>
        <w:t>----</w:t>
      </w:r>
      <w:r>
        <w:rPr>
          <w:rFonts w:ascii="宋体" w:hAnsi="宋体" w:hint="eastAsia"/>
          <w:szCs w:val="21"/>
        </w:rPr>
        <w:t>采购方</w:t>
      </w:r>
      <w:r w:rsidRPr="00507605">
        <w:rPr>
          <w:rFonts w:ascii="宋体" w:hAnsi="宋体" w:hint="eastAsia"/>
          <w:szCs w:val="21"/>
        </w:rPr>
        <w:t>；</w:t>
      </w:r>
    </w:p>
    <w:p w:rsidR="004D2804" w:rsidP="004D2804">
      <w:pPr>
        <w:autoSpaceDE w:val="0"/>
        <w:autoSpaceDN w:val="0"/>
        <w:adjustRightInd w:val="0"/>
        <w:spacing w:line="420" w:lineRule="auto"/>
        <w:ind w:firstLine="420" w:firstLineChars="200"/>
        <w:jc w:val="left"/>
        <w:rPr>
          <w:rFonts w:ascii="Arial" w:hAnsi="Arial" w:cs="Arial" w:hint="eastAsia"/>
          <w:kern w:val="0"/>
          <w:sz w:val="20"/>
          <w:szCs w:val="20"/>
        </w:rPr>
      </w:pPr>
      <w:r w:rsidRPr="00507605">
        <w:rPr>
          <w:rFonts w:ascii="宋体" w:hAnsi="宋体" w:hint="eastAsia"/>
          <w:szCs w:val="21"/>
        </w:rPr>
        <w:t>----</w:t>
      </w:r>
      <w:r>
        <w:rPr>
          <w:rFonts w:ascii="宋体" w:hAnsi="宋体" w:hint="eastAsia"/>
          <w:szCs w:val="21"/>
        </w:rPr>
        <w:t>监管</w:t>
      </w:r>
      <w:r w:rsidRPr="00FA7E45">
        <w:rPr>
          <w:rFonts w:ascii="宋体" w:hAnsi="宋体"/>
          <w:szCs w:val="21"/>
        </w:rPr>
        <w:t>机构</w:t>
      </w:r>
      <w:r w:rsidRPr="00507605">
        <w:rPr>
          <w:rFonts w:ascii="宋体" w:hAnsi="宋体" w:hint="eastAsia"/>
          <w:szCs w:val="21"/>
        </w:rPr>
        <w:t>；</w:t>
      </w:r>
    </w:p>
    <w:p w:rsidR="004D2804" w:rsidP="004D2804">
      <w:pPr>
        <w:autoSpaceDE w:val="0"/>
        <w:autoSpaceDN w:val="0"/>
        <w:adjustRightInd w:val="0"/>
        <w:spacing w:line="420" w:lineRule="auto"/>
        <w:ind w:firstLine="420" w:firstLineChars="200"/>
        <w:jc w:val="left"/>
        <w:rPr>
          <w:rFonts w:ascii="Arial" w:hAnsi="Arial" w:cs="Arial" w:hint="eastAsia"/>
          <w:kern w:val="0"/>
          <w:sz w:val="20"/>
          <w:szCs w:val="20"/>
        </w:rPr>
      </w:pPr>
      <w:r w:rsidRPr="00507605">
        <w:rPr>
          <w:rFonts w:ascii="宋体" w:hAnsi="宋体" w:hint="eastAsia"/>
          <w:szCs w:val="21"/>
        </w:rPr>
        <w:t>----消费者和非</w:t>
      </w:r>
      <w:r>
        <w:rPr>
          <w:rFonts w:ascii="宋体" w:hAnsi="宋体" w:hint="eastAsia"/>
          <w:szCs w:val="21"/>
        </w:rPr>
        <w:t>官方</w:t>
      </w:r>
      <w:r w:rsidRPr="00507605">
        <w:rPr>
          <w:rFonts w:ascii="宋体" w:hAnsi="宋体" w:hint="eastAsia"/>
          <w:szCs w:val="21"/>
        </w:rPr>
        <w:t>团队；</w:t>
      </w:r>
    </w:p>
    <w:p w:rsidR="004D2804" w:rsidP="004D2804">
      <w:pPr>
        <w:autoSpaceDE w:val="0"/>
        <w:autoSpaceDN w:val="0"/>
        <w:adjustRightInd w:val="0"/>
        <w:spacing w:line="420" w:lineRule="auto"/>
        <w:ind w:firstLine="420" w:firstLineChars="200"/>
        <w:jc w:val="left"/>
        <w:rPr>
          <w:rFonts w:ascii="Arial" w:hAnsi="Arial" w:cs="Arial" w:hint="eastAsia"/>
          <w:kern w:val="0"/>
          <w:sz w:val="20"/>
          <w:szCs w:val="20"/>
        </w:rPr>
      </w:pPr>
      <w:r w:rsidRPr="00507605">
        <w:rPr>
          <w:rFonts w:ascii="宋体" w:hAnsi="宋体" w:hint="eastAsia"/>
          <w:szCs w:val="21"/>
        </w:rPr>
        <w:t>----认可机构；</w:t>
      </w:r>
    </w:p>
    <w:p w:rsidR="004D2804" w:rsidP="004D2804">
      <w:pPr>
        <w:autoSpaceDE w:val="0"/>
        <w:autoSpaceDN w:val="0"/>
        <w:adjustRightInd w:val="0"/>
        <w:spacing w:line="420" w:lineRule="auto"/>
        <w:ind w:firstLine="420" w:firstLineChars="200"/>
        <w:jc w:val="left"/>
        <w:rPr>
          <w:rFonts w:ascii="Arial" w:hAnsi="Arial" w:cs="Arial" w:hint="eastAsia"/>
          <w:kern w:val="0"/>
          <w:sz w:val="20"/>
          <w:szCs w:val="20"/>
        </w:rPr>
      </w:pPr>
      <w:r w:rsidRPr="00507605">
        <w:rPr>
          <w:rFonts w:ascii="宋体" w:hAnsi="宋体" w:hint="eastAsia"/>
          <w:szCs w:val="21"/>
        </w:rPr>
        <w:t>----合格评估机构；</w:t>
      </w:r>
    </w:p>
    <w:p w:rsidR="004D2804" w:rsidP="004D2804">
      <w:pPr>
        <w:autoSpaceDE w:val="0"/>
        <w:autoSpaceDN w:val="0"/>
        <w:adjustRightInd w:val="0"/>
        <w:spacing w:line="420" w:lineRule="auto"/>
        <w:ind w:firstLine="420" w:firstLineChars="200"/>
        <w:jc w:val="left"/>
        <w:rPr>
          <w:rFonts w:ascii="Arial" w:hAnsi="Arial" w:cs="Arial" w:hint="eastAsia"/>
          <w:kern w:val="0"/>
          <w:sz w:val="20"/>
          <w:szCs w:val="20"/>
        </w:rPr>
      </w:pPr>
      <w:r w:rsidRPr="00507605">
        <w:rPr>
          <w:rFonts w:ascii="宋体" w:hAnsi="宋体" w:hint="eastAsia"/>
          <w:szCs w:val="21"/>
        </w:rPr>
        <w:t>----合格评估方案的</w:t>
      </w:r>
      <w:r>
        <w:rPr>
          <w:rFonts w:ascii="宋体" w:hAnsi="宋体" w:hint="eastAsia"/>
          <w:szCs w:val="21"/>
        </w:rPr>
        <w:t>拥有者，和</w:t>
      </w:r>
    </w:p>
    <w:p w:rsidR="004D2804" w:rsidP="004D2804">
      <w:pPr>
        <w:autoSpaceDE w:val="0"/>
        <w:autoSpaceDN w:val="0"/>
        <w:adjustRightInd w:val="0"/>
        <w:spacing w:line="420" w:lineRule="auto"/>
        <w:ind w:firstLine="420" w:firstLineChars="200"/>
        <w:jc w:val="left"/>
        <w:rPr>
          <w:rFonts w:ascii="宋体" w:hAnsi="宋体" w:hint="eastAsia"/>
          <w:szCs w:val="21"/>
        </w:rPr>
      </w:pPr>
      <w:r w:rsidRPr="00507605">
        <w:rPr>
          <w:rFonts w:ascii="宋体" w:hAnsi="宋体" w:hint="eastAsia"/>
          <w:szCs w:val="21"/>
        </w:rPr>
        <w:t>----其他相关方，例如保险业组织。</w:t>
      </w:r>
    </w:p>
    <w:p w:rsidR="006028D9" w:rsidRPr="00C97A8A" w:rsidP="004D2804">
      <w:pPr>
        <w:autoSpaceDE w:val="0"/>
        <w:autoSpaceDN w:val="0"/>
        <w:adjustRightInd w:val="0"/>
        <w:ind w:firstLine="420" w:firstLineChars="200"/>
        <w:jc w:val="left"/>
        <w:rPr>
          <w:kern w:val="0"/>
          <w:szCs w:val="21"/>
        </w:rPr>
      </w:pPr>
    </w:p>
    <w:p w:rsidR="006028D9" w:rsidRPr="00C97A8A" w:rsidP="006028D9">
      <w:pPr>
        <w:autoSpaceDE w:val="0"/>
        <w:autoSpaceDN w:val="0"/>
        <w:adjustRightInd w:val="0"/>
        <w:spacing w:line="420" w:lineRule="auto"/>
        <w:ind w:firstLine="420" w:firstLineChars="200"/>
        <w:jc w:val="left"/>
        <w:rPr>
          <w:szCs w:val="21"/>
        </w:rPr>
      </w:pPr>
      <w:r w:rsidR="00916070">
        <w:rPr>
          <w:rFonts w:hAnsi="宋体"/>
          <w:szCs w:val="21"/>
        </w:rPr>
        <w:t>本标准</w:t>
      </w:r>
      <w:r w:rsidRPr="00C97A8A">
        <w:rPr>
          <w:rFonts w:hAnsi="宋体"/>
          <w:szCs w:val="21"/>
        </w:rPr>
        <w:t>旨在帮助上述使用者在国家、区域或国际层面上制定特定的规范性文献，这些文献可以是强制的也可以是非强制的。</w:t>
      </w:r>
    </w:p>
    <w:p w:rsidR="006028D9" w:rsidRPr="00C97A8A" w:rsidP="006028D9">
      <w:pPr>
        <w:autoSpaceDE w:val="0"/>
        <w:autoSpaceDN w:val="0"/>
        <w:adjustRightInd w:val="0"/>
        <w:jc w:val="left"/>
        <w:rPr>
          <w:kern w:val="0"/>
          <w:szCs w:val="21"/>
        </w:rPr>
      </w:pPr>
    </w:p>
    <w:p w:rsidR="006028D9" w:rsidRPr="00C97A8A" w:rsidP="006028D9">
      <w:pPr>
        <w:autoSpaceDE w:val="0"/>
        <w:autoSpaceDN w:val="0"/>
        <w:adjustRightInd w:val="0"/>
        <w:spacing w:line="420" w:lineRule="auto"/>
        <w:ind w:firstLine="420" w:firstLineChars="200"/>
        <w:jc w:val="left"/>
        <w:rPr>
          <w:szCs w:val="21"/>
        </w:rPr>
      </w:pPr>
      <w:r w:rsidR="00916070">
        <w:rPr>
          <w:rFonts w:hAnsi="宋体"/>
          <w:szCs w:val="21"/>
        </w:rPr>
        <w:t>本标准</w:t>
      </w:r>
      <w:r w:rsidRPr="00C97A8A">
        <w:rPr>
          <w:rFonts w:hAnsi="宋体"/>
          <w:szCs w:val="21"/>
        </w:rPr>
        <w:t>的使用者也许还发现了</w:t>
      </w:r>
      <w:r w:rsidRPr="00C97A8A">
        <w:rPr>
          <w:szCs w:val="21"/>
        </w:rPr>
        <w:t>ISO/IEC</w:t>
      </w:r>
      <w:r w:rsidRPr="00C97A8A">
        <w:rPr>
          <w:rFonts w:hAnsi="宋体"/>
          <w:szCs w:val="21"/>
        </w:rPr>
        <w:t>导则界定的良好标准化实践（</w:t>
      </w:r>
      <w:r w:rsidRPr="00C97A8A">
        <w:rPr>
          <w:szCs w:val="21"/>
        </w:rPr>
        <w:t>ISO/IEC</w:t>
      </w:r>
      <w:r w:rsidRPr="00C97A8A">
        <w:rPr>
          <w:rFonts w:hAnsi="宋体"/>
          <w:szCs w:val="21"/>
        </w:rPr>
        <w:t>导则规定了对包含的规定规定的</w:t>
      </w:r>
      <w:r w:rsidRPr="00C97A8A">
        <w:rPr>
          <w:szCs w:val="21"/>
        </w:rPr>
        <w:t>ISO</w:t>
      </w:r>
      <w:r w:rsidRPr="00C97A8A">
        <w:rPr>
          <w:rFonts w:hAnsi="宋体"/>
          <w:szCs w:val="21"/>
        </w:rPr>
        <w:t>和</w:t>
      </w:r>
      <w:r w:rsidRPr="00C97A8A">
        <w:rPr>
          <w:szCs w:val="21"/>
        </w:rPr>
        <w:t>IEC</w:t>
      </w:r>
      <w:r w:rsidRPr="00C97A8A">
        <w:rPr>
          <w:rFonts w:hAnsi="宋体"/>
          <w:szCs w:val="21"/>
        </w:rPr>
        <w:t>规范性文献的规定）和</w:t>
      </w:r>
      <w:r w:rsidRPr="00C97A8A">
        <w:rPr>
          <w:szCs w:val="21"/>
        </w:rPr>
        <w:t>WTO</w:t>
      </w:r>
      <w:r w:rsidRPr="00C97A8A">
        <w:rPr>
          <w:rFonts w:hAnsi="宋体"/>
          <w:szCs w:val="21"/>
        </w:rPr>
        <w:t>技术贸易壁垒协议附录</w:t>
      </w:r>
      <w:r w:rsidRPr="00C97A8A">
        <w:rPr>
          <w:szCs w:val="21"/>
        </w:rPr>
        <w:t>3“</w:t>
      </w:r>
      <w:r w:rsidRPr="00C97A8A">
        <w:rPr>
          <w:rFonts w:hAnsi="宋体"/>
          <w:szCs w:val="21"/>
        </w:rPr>
        <w:t>关于制定、采用和实行标准的良好行为规范</w:t>
      </w:r>
      <w:r w:rsidRPr="00C97A8A">
        <w:rPr>
          <w:szCs w:val="21"/>
        </w:rPr>
        <w:t>”</w:t>
      </w:r>
      <w:r w:rsidRPr="00C97A8A">
        <w:rPr>
          <w:rFonts w:hAnsi="宋体"/>
          <w:szCs w:val="21"/>
        </w:rPr>
        <w:t>是有用的。</w:t>
      </w:r>
      <w:r w:rsidRPr="00C97A8A">
        <w:rPr>
          <w:szCs w:val="21"/>
        </w:rPr>
        <w:t>ISO/IEC</w:t>
      </w:r>
      <w:r w:rsidRPr="00C97A8A">
        <w:rPr>
          <w:rFonts w:hAnsi="宋体"/>
          <w:szCs w:val="21"/>
        </w:rPr>
        <w:t>导则第</w:t>
      </w:r>
      <w:r w:rsidRPr="00C97A8A">
        <w:rPr>
          <w:szCs w:val="21"/>
        </w:rPr>
        <w:t>2</w:t>
      </w:r>
      <w:r w:rsidRPr="00C97A8A">
        <w:rPr>
          <w:rFonts w:hAnsi="宋体"/>
          <w:szCs w:val="21"/>
        </w:rPr>
        <w:t>部分</w:t>
      </w:r>
      <w:r w:rsidRPr="00C97A8A">
        <w:rPr>
          <w:szCs w:val="21"/>
        </w:rPr>
        <w:t>2023</w:t>
      </w:r>
      <w:r w:rsidRPr="00C97A8A">
        <w:rPr>
          <w:rFonts w:hAnsi="宋体"/>
          <w:szCs w:val="21"/>
        </w:rPr>
        <w:t>版条款</w:t>
      </w:r>
      <w:r w:rsidRPr="00C97A8A">
        <w:rPr>
          <w:szCs w:val="21"/>
        </w:rPr>
        <w:t>6.7</w:t>
      </w:r>
      <w:r w:rsidRPr="00C97A8A">
        <w:rPr>
          <w:rFonts w:hAnsi="宋体"/>
          <w:szCs w:val="21"/>
        </w:rPr>
        <w:t>也覆盖了合格评估方面内容。</w:t>
      </w:r>
    </w:p>
    <w:p w:rsidR="006028D9" w:rsidRPr="00C97A8A" w:rsidP="006028D9">
      <w:pPr>
        <w:autoSpaceDE w:val="0"/>
        <w:autoSpaceDN w:val="0"/>
        <w:adjustRightInd w:val="0"/>
        <w:jc w:val="left"/>
        <w:rPr>
          <w:kern w:val="0"/>
          <w:szCs w:val="21"/>
        </w:rPr>
      </w:pPr>
    </w:p>
    <w:p w:rsidR="006028D9" w:rsidRPr="00C97A8A" w:rsidP="006028D9">
      <w:pPr>
        <w:spacing w:line="420" w:lineRule="auto"/>
        <w:ind w:firstLine="420" w:firstLineChars="200"/>
        <w:rPr>
          <w:szCs w:val="21"/>
        </w:rPr>
        <w:sectPr w:rsidSect="0088305A">
          <w:type w:val="nextPage"/>
          <w:pgSz w:w="11906" w:h="16838"/>
          <w:pgMar w:top="1246" w:right="1286" w:bottom="1402" w:left="1260" w:header="851" w:footer="992" w:gutter="0"/>
          <w:pgNumType w:fmt="upperRoman" w:start="4"/>
          <w:cols w:space="425"/>
          <w:titlePg w:val="0"/>
          <w:docGrid w:type="lines" w:linePitch="312"/>
        </w:sectPr>
      </w:pPr>
      <w:r w:rsidR="00916070">
        <w:rPr>
          <w:rFonts w:hAnsi="宋体"/>
          <w:szCs w:val="21"/>
        </w:rPr>
        <w:t>本标准</w:t>
      </w:r>
      <w:r w:rsidRPr="00C97A8A">
        <w:rPr>
          <w:rFonts w:hAnsi="宋体"/>
          <w:szCs w:val="21"/>
        </w:rPr>
        <w:t>还涉及合格评估领域特定的</w:t>
      </w:r>
      <w:r w:rsidRPr="00D32364">
        <w:rPr>
          <w:rFonts w:hAnsi="宋体"/>
          <w:szCs w:val="21"/>
        </w:rPr>
        <w:t>国际</w:t>
      </w:r>
      <w:r w:rsidRPr="00C97A8A">
        <w:rPr>
          <w:rFonts w:hAnsi="宋体"/>
          <w:szCs w:val="21"/>
        </w:rPr>
        <w:t>标准和指南的指导，称为合格评估工具箱。这些是</w:t>
      </w:r>
      <w:r w:rsidRPr="00C97A8A">
        <w:rPr>
          <w:szCs w:val="21"/>
        </w:rPr>
        <w:t>ISO</w:t>
      </w:r>
      <w:r w:rsidRPr="00C97A8A">
        <w:rPr>
          <w:rFonts w:hAnsi="宋体"/>
          <w:szCs w:val="21"/>
        </w:rPr>
        <w:t>合格评估委员会（</w:t>
      </w:r>
      <w:r w:rsidRPr="00C97A8A">
        <w:rPr>
          <w:szCs w:val="21"/>
        </w:rPr>
        <w:t>CASCO</w:t>
      </w:r>
      <w:r w:rsidRPr="00C97A8A">
        <w:rPr>
          <w:rFonts w:hAnsi="宋体"/>
          <w:szCs w:val="21"/>
        </w:rPr>
        <w:t>）和国际电工委员会（</w:t>
      </w:r>
      <w:r w:rsidRPr="00C97A8A">
        <w:rPr>
          <w:szCs w:val="21"/>
        </w:rPr>
        <w:t>IEC</w:t>
      </w:r>
    </w:p>
    <w:p w:rsidR="006028D9" w:rsidRPr="00C97A8A" w:rsidP="006028D9">
      <w:pPr>
        <w:spacing w:line="420" w:lineRule="auto"/>
        <w:ind w:firstLine="420" w:firstLineChars="200"/>
        <w:rPr>
          <w:szCs w:val="21"/>
        </w:rPr>
      </w:pPr>
      <w:r w:rsidRPr="00C97A8A">
        <w:rPr>
          <w:rFonts w:hAnsi="宋体"/>
          <w:szCs w:val="21"/>
        </w:rPr>
        <w:t>）合作的重要工作。在本标准中引用这些通用出版物是为了强调这些标准包含国际上协商一致的覆盖合格评估活动的规定，依据这些出版物促进了合格评估结果在全球范围内的再现性和互相认可性。</w:t>
      </w:r>
    </w:p>
    <w:p w:rsidR="006028D9" w:rsidRPr="00C97A8A" w:rsidP="006028D9">
      <w:pPr>
        <w:autoSpaceDE w:val="0"/>
        <w:autoSpaceDN w:val="0"/>
        <w:adjustRightInd w:val="0"/>
        <w:spacing w:line="420" w:lineRule="auto"/>
        <w:ind w:firstLine="420" w:firstLineChars="200"/>
        <w:jc w:val="left"/>
        <w:rPr>
          <w:szCs w:val="21"/>
        </w:rPr>
      </w:pPr>
      <w:r w:rsidRPr="00C97A8A">
        <w:rPr>
          <w:rFonts w:hAnsi="宋体"/>
          <w:szCs w:val="21"/>
        </w:rPr>
        <w:t>为了使</w:t>
      </w:r>
      <w:r w:rsidR="00916070">
        <w:rPr>
          <w:rFonts w:hAnsi="宋体"/>
          <w:szCs w:val="21"/>
        </w:rPr>
        <w:t>本标准</w:t>
      </w:r>
      <w:r w:rsidRPr="00C97A8A">
        <w:rPr>
          <w:rFonts w:hAnsi="宋体"/>
          <w:szCs w:val="21"/>
        </w:rPr>
        <w:t>易于理解，尽也许避免技术术语。可是，在一些情况下，技术术语的使用还是不可避免的。例如，规范性文献规定也许涉及许多不同领域，如具体材料、产品、服务、安装、过程、体系、人员或机构。在一个合格评估的文本中，这些是一个</w:t>
      </w:r>
      <w:r w:rsidRPr="00C97A8A">
        <w:rPr>
          <w:szCs w:val="21"/>
        </w:rPr>
        <w:t>“</w:t>
      </w:r>
      <w:r w:rsidRPr="00C97A8A">
        <w:rPr>
          <w:rFonts w:hAnsi="宋体"/>
          <w:szCs w:val="21"/>
        </w:rPr>
        <w:t>合格评估对象</w:t>
      </w:r>
      <w:r w:rsidRPr="00C97A8A">
        <w:rPr>
          <w:szCs w:val="21"/>
        </w:rPr>
        <w:t>”</w:t>
      </w:r>
      <w:r w:rsidRPr="00C97A8A">
        <w:rPr>
          <w:rFonts w:hAnsi="宋体"/>
          <w:szCs w:val="21"/>
        </w:rPr>
        <w:t>的所有例子。为了避免在全文中反复出现穷举的例子，均使用</w:t>
      </w:r>
      <w:r w:rsidRPr="00C97A8A">
        <w:rPr>
          <w:szCs w:val="21"/>
        </w:rPr>
        <w:t>“</w:t>
      </w:r>
      <w:r w:rsidRPr="00C97A8A">
        <w:rPr>
          <w:rFonts w:hAnsi="宋体"/>
          <w:szCs w:val="21"/>
        </w:rPr>
        <w:t>合格评估对象</w:t>
      </w:r>
      <w:r w:rsidRPr="00C97A8A">
        <w:rPr>
          <w:szCs w:val="21"/>
        </w:rPr>
        <w:t>”</w:t>
      </w:r>
      <w:r w:rsidRPr="00C97A8A">
        <w:rPr>
          <w:rFonts w:hAnsi="宋体"/>
          <w:szCs w:val="21"/>
        </w:rPr>
        <w:t>这个术语代替，在第</w:t>
      </w:r>
      <w:r w:rsidRPr="00C97A8A">
        <w:rPr>
          <w:szCs w:val="21"/>
        </w:rPr>
        <w:t>3</w:t>
      </w:r>
      <w:r w:rsidRPr="00C97A8A">
        <w:rPr>
          <w:rFonts w:hAnsi="宋体"/>
          <w:szCs w:val="21"/>
        </w:rPr>
        <w:t>章中给出了这一术语的定义。</w:t>
      </w:r>
    </w:p>
    <w:p w:rsidR="006028D9" w:rsidRPr="00C97A8A" w:rsidP="006028D9">
      <w:pPr>
        <w:autoSpaceDE w:val="0"/>
        <w:autoSpaceDN w:val="0"/>
        <w:adjustRightInd w:val="0"/>
        <w:spacing w:line="420" w:lineRule="auto"/>
        <w:ind w:firstLine="420" w:firstLineChars="200"/>
        <w:jc w:val="left"/>
        <w:rPr>
          <w:szCs w:val="21"/>
        </w:rPr>
      </w:pPr>
      <w:r w:rsidR="00916070">
        <w:rPr>
          <w:rFonts w:hAnsi="宋体"/>
          <w:szCs w:val="21"/>
        </w:rPr>
        <w:t>本标准</w:t>
      </w:r>
      <w:r w:rsidRPr="00C97A8A">
        <w:rPr>
          <w:rFonts w:hAnsi="宋体"/>
          <w:szCs w:val="21"/>
        </w:rPr>
        <w:t>的指南部分分为三章：</w:t>
      </w:r>
    </w:p>
    <w:p w:rsidR="006028D9" w:rsidRPr="00C97A8A" w:rsidP="006028D9">
      <w:pPr>
        <w:autoSpaceDE w:val="0"/>
        <w:autoSpaceDN w:val="0"/>
        <w:adjustRightInd w:val="0"/>
        <w:spacing w:line="420" w:lineRule="auto"/>
        <w:ind w:firstLine="420" w:firstLineChars="200"/>
        <w:jc w:val="left"/>
        <w:rPr>
          <w:kern w:val="0"/>
          <w:szCs w:val="21"/>
        </w:rPr>
      </w:pPr>
      <w:r w:rsidRPr="00C97A8A">
        <w:rPr>
          <w:szCs w:val="21"/>
        </w:rPr>
        <w:t>----</w:t>
      </w:r>
      <w:r w:rsidRPr="00C97A8A">
        <w:rPr>
          <w:rFonts w:hAnsi="宋体"/>
          <w:szCs w:val="21"/>
        </w:rPr>
        <w:t>第</w:t>
      </w:r>
      <w:r w:rsidRPr="00C97A8A">
        <w:rPr>
          <w:szCs w:val="21"/>
        </w:rPr>
        <w:t>4</w:t>
      </w:r>
      <w:r w:rsidRPr="00C97A8A">
        <w:rPr>
          <w:rFonts w:hAnsi="宋体"/>
          <w:szCs w:val="21"/>
        </w:rPr>
        <w:t>章中规定五个原则作为后续指南的基础；</w:t>
      </w:r>
    </w:p>
    <w:p w:rsidR="006028D9" w:rsidRPr="00C97A8A" w:rsidP="006028D9">
      <w:pPr>
        <w:autoSpaceDE w:val="0"/>
        <w:autoSpaceDN w:val="0"/>
        <w:adjustRightInd w:val="0"/>
        <w:spacing w:line="420" w:lineRule="auto"/>
        <w:ind w:firstLine="420" w:firstLineChars="200"/>
        <w:jc w:val="left"/>
        <w:rPr>
          <w:kern w:val="0"/>
          <w:szCs w:val="21"/>
        </w:rPr>
      </w:pPr>
      <w:r w:rsidRPr="00C97A8A">
        <w:rPr>
          <w:szCs w:val="21"/>
        </w:rPr>
        <w:t>----</w:t>
      </w:r>
      <w:r w:rsidRPr="00C97A8A">
        <w:rPr>
          <w:rFonts w:hAnsi="宋体"/>
          <w:szCs w:val="21"/>
        </w:rPr>
        <w:t>第</w:t>
      </w:r>
      <w:r w:rsidRPr="00C97A8A">
        <w:rPr>
          <w:szCs w:val="21"/>
        </w:rPr>
        <w:t>5</w:t>
      </w:r>
      <w:r w:rsidRPr="00C97A8A">
        <w:rPr>
          <w:rFonts w:hAnsi="宋体"/>
          <w:szCs w:val="21"/>
        </w:rPr>
        <w:t>章中提供了规定合格评估对象特性的规定的规范性文献编制指南；</w:t>
      </w:r>
    </w:p>
    <w:p w:rsidR="00EB5251" w:rsidRPr="00C97A8A" w:rsidP="00402839">
      <w:pPr>
        <w:spacing w:line="420" w:lineRule="auto"/>
        <w:ind w:firstLine="420" w:firstLineChars="200"/>
        <w:rPr>
          <w:szCs w:val="21"/>
        </w:rPr>
      </w:pPr>
      <w:r w:rsidRPr="00C97A8A" w:rsidR="006028D9">
        <w:rPr>
          <w:szCs w:val="21"/>
        </w:rPr>
        <w:t>----</w:t>
      </w:r>
      <w:r w:rsidRPr="00C97A8A" w:rsidR="006028D9">
        <w:rPr>
          <w:rFonts w:hAnsi="宋体"/>
          <w:szCs w:val="21"/>
        </w:rPr>
        <w:t>第</w:t>
      </w:r>
      <w:r w:rsidRPr="00C97A8A" w:rsidR="006028D9">
        <w:rPr>
          <w:szCs w:val="21"/>
        </w:rPr>
        <w:t>6</w:t>
      </w:r>
      <w:r w:rsidRPr="00C97A8A" w:rsidR="006028D9">
        <w:rPr>
          <w:rFonts w:hAnsi="宋体"/>
          <w:szCs w:val="21"/>
        </w:rPr>
        <w:t>章中提供了规定合格评估制度规定的规范性文献的编制指南。</w:t>
      </w:r>
    </w:p>
    <w:p w:rsidR="00AA2CA8" w:rsidRPr="00C97A8A" w:rsidP="00AA2CA8">
      <w:pPr>
        <w:spacing w:line="400" w:lineRule="exact"/>
        <w:rPr>
          <w:szCs w:val="21"/>
        </w:rPr>
      </w:pPr>
    </w:p>
    <w:p w:rsidR="00AA2CA8" w:rsidRPr="0089101C" w:rsidP="00AA2CA8">
      <w:pPr>
        <w:spacing w:line="400" w:lineRule="exact"/>
        <w:sectPr w:rsidSect="0088305A">
          <w:type w:val="nextPage"/>
          <w:pgSz w:w="11906" w:h="16838"/>
          <w:pgMar w:top="1246" w:right="1286" w:bottom="1402" w:left="1260" w:header="851" w:footer="992" w:gutter="0"/>
          <w:pgNumType w:fmt="upperRoman" w:start="5"/>
          <w:cols w:space="425"/>
          <w:titlePg w:val="0"/>
          <w:docGrid w:type="lines" w:linePitch="312"/>
        </w:sectPr>
      </w:pPr>
    </w:p>
    <w:p w:rsidR="00EB5251" w:rsidRPr="0089101C" w:rsidP="00966F55">
      <w:pPr>
        <w:spacing w:line="420" w:lineRule="auto"/>
        <w:ind w:firstLine="549" w:firstLineChars="196"/>
        <w:rPr>
          <w:rFonts w:eastAsia="黑体" w:hint="eastAsia"/>
          <w:b/>
          <w:spacing w:val="32"/>
          <w:sz w:val="28"/>
        </w:rPr>
      </w:pPr>
      <w:r w:rsidRPr="0089101C">
        <w:rPr>
          <w:rFonts w:eastAsia="黑体" w:hint="eastAsia"/>
          <w:b/>
          <w:spacing w:val="32"/>
          <w:sz w:val="28"/>
        </w:rPr>
        <w:t>中华人民共和国国家标准</w:t>
      </w:r>
    </w:p>
    <w:p w:rsidR="00EB5251" w:rsidRPr="0089101C" w:rsidP="00966F55">
      <w:pPr>
        <w:spacing w:line="420" w:lineRule="auto"/>
        <w:ind w:right="210"/>
        <w:jc w:val="right"/>
        <w:rPr>
          <w:rFonts w:eastAsia="黑体" w:hint="eastAsia"/>
          <w:b/>
        </w:rPr>
      </w:pPr>
      <w:r w:rsidRPr="0089101C">
        <w:rPr>
          <w:rFonts w:eastAsia="黑体" w:hint="eastAsia"/>
          <w:b/>
        </w:rPr>
        <w:t>GB/T</w:t>
      </w:r>
      <w:r w:rsidRPr="004D2804">
        <w:rPr>
          <w:rFonts w:eastAsia="黑体" w:hint="eastAsia"/>
          <w:b/>
          <w:color w:val="FF0000"/>
        </w:rPr>
        <w:t xml:space="preserve"> </w:t>
      </w:r>
      <w:r w:rsidRPr="004D2804" w:rsidR="004D2804">
        <w:rPr>
          <w:rFonts w:eastAsia="黑体" w:hint="eastAsia"/>
          <w:b/>
          <w:color w:val="FF0000"/>
        </w:rPr>
        <w:t>*****</w:t>
      </w:r>
      <w:r w:rsidRPr="004D2804">
        <w:rPr>
          <w:rFonts w:eastAsia="黑体"/>
          <w:b/>
        </w:rPr>
        <w:t>-</w:t>
      </w:r>
      <w:r w:rsidRPr="0089101C" w:rsidR="004D2804">
        <w:rPr>
          <w:rFonts w:eastAsia="黑体" w:hint="eastAsia"/>
          <w:b/>
        </w:rPr>
        <w:t>2023</w:t>
      </w:r>
    </w:p>
    <w:p w:rsidR="00EB5251" w:rsidRPr="0089101C" w:rsidP="00966F55">
      <w:pPr>
        <w:spacing w:line="420" w:lineRule="auto"/>
        <w:rPr>
          <w:rFonts w:eastAsia="黑体" w:hint="eastAsia"/>
          <w:b/>
        </w:rPr>
      </w:pPr>
      <w:r w:rsidRPr="0089101C">
        <w:rPr>
          <w:rFonts w:eastAsia="黑体" w:hint="eastAsia"/>
          <w:b/>
        </w:rPr>
        <w:t xml:space="preserve"> </w:t>
      </w:r>
      <w:r w:rsidRPr="004D2804" w:rsidR="004D2804">
        <w:rPr>
          <w:rFonts w:ascii="黑体" w:eastAsia="黑体" w:hAnsi="宋体" w:hint="eastAsia"/>
          <w:b/>
          <w:sz w:val="32"/>
          <w:szCs w:val="32"/>
        </w:rPr>
        <w:t>合格评估</w:t>
      </w:r>
      <w:r w:rsidRPr="004D2804" w:rsidR="004D2804">
        <w:rPr>
          <w:rFonts w:ascii="黑体" w:eastAsia="黑体" w:hAnsi="宋体" w:hint="eastAsia"/>
          <w:b/>
          <w:sz w:val="32"/>
          <w:szCs w:val="32"/>
        </w:rPr>
        <w:t>——</w:t>
      </w:r>
      <w:r w:rsidRPr="004D2804" w:rsidR="004D2804">
        <w:rPr>
          <w:rFonts w:ascii="黑体" w:eastAsia="黑体" w:hAnsi="宋体" w:hint="eastAsia"/>
          <w:b/>
          <w:sz w:val="32"/>
          <w:szCs w:val="32"/>
        </w:rPr>
        <w:t>合格评估用规范性文献的编写指南</w:t>
      </w:r>
      <w:r w:rsidRPr="0089101C">
        <w:rPr>
          <w:rFonts w:eastAsia="黑体"/>
          <w:b/>
        </w:rPr>
        <w:t xml:space="preserve"> </w:t>
      </w:r>
      <w:r w:rsidRPr="0089101C">
        <w:rPr>
          <w:rFonts w:eastAsia="黑体" w:hint="eastAsia"/>
          <w:b/>
        </w:rPr>
        <w:t xml:space="preserve">Idt </w:t>
      </w:r>
      <w:r w:rsidRPr="0089101C">
        <w:rPr>
          <w:rFonts w:eastAsia="黑体"/>
          <w:b/>
        </w:rPr>
        <w:t>ISO</w:t>
      </w:r>
      <w:r w:rsidR="004D2804">
        <w:rPr>
          <w:rFonts w:eastAsia="黑体" w:hint="eastAsia"/>
          <w:b/>
        </w:rPr>
        <w:t>/IEC</w:t>
      </w:r>
      <w:r w:rsidRPr="0089101C">
        <w:rPr>
          <w:rFonts w:eastAsia="黑体"/>
          <w:b/>
        </w:rPr>
        <w:t xml:space="preserve"> </w:t>
      </w:r>
      <w:r w:rsidR="004D2804">
        <w:rPr>
          <w:rFonts w:eastAsia="黑体" w:hint="eastAsia"/>
          <w:b/>
        </w:rPr>
        <w:t>17007</w:t>
      </w:r>
      <w:r w:rsidRPr="0089101C">
        <w:rPr>
          <w:rFonts w:eastAsia="黑体"/>
          <w:b/>
        </w:rPr>
        <w:t>:</w:t>
      </w:r>
      <w:r w:rsidRPr="0089101C" w:rsidR="004D2804">
        <w:rPr>
          <w:rFonts w:eastAsia="黑体"/>
          <w:b/>
        </w:rPr>
        <w:t>2023</w:t>
      </w:r>
    </w:p>
    <w:p w:rsidR="004D2804" w:rsidP="00966F55">
      <w:pPr>
        <w:spacing w:line="420" w:lineRule="auto"/>
        <w:jc w:val="center"/>
        <w:rPr>
          <w:rFonts w:hint="eastAsia"/>
          <w:bCs/>
          <w:kern w:val="0"/>
          <w:szCs w:val="21"/>
        </w:rPr>
      </w:pPr>
      <w:r w:rsidRPr="00CB2A5D">
        <w:rPr>
          <w:bCs/>
          <w:kern w:val="0"/>
          <w:szCs w:val="21"/>
        </w:rPr>
        <w:t xml:space="preserve">Conformity assessment — </w:t>
      </w:r>
      <w:r w:rsidRPr="000B4B5D">
        <w:rPr>
          <w:bCs/>
          <w:kern w:val="0"/>
          <w:szCs w:val="21"/>
        </w:rPr>
        <w:t>Guidance</w:t>
      </w:r>
      <w:r w:rsidRPr="00CB2A5D">
        <w:rPr>
          <w:bCs/>
          <w:kern w:val="0"/>
          <w:szCs w:val="21"/>
        </w:rPr>
        <w:t xml:space="preserve"> for drafting normative</w:t>
      </w:r>
      <w:r>
        <w:rPr>
          <w:rFonts w:hint="eastAsia"/>
          <w:bCs/>
          <w:kern w:val="0"/>
          <w:szCs w:val="21"/>
        </w:rPr>
        <w:t xml:space="preserve"> </w:t>
      </w:r>
      <w:r w:rsidRPr="00CB2A5D">
        <w:rPr>
          <w:bCs/>
          <w:kern w:val="0"/>
          <w:szCs w:val="21"/>
        </w:rPr>
        <w:t>documents suitable</w:t>
      </w:r>
    </w:p>
    <w:p w:rsidR="00EB5251" w:rsidRPr="0089101C" w:rsidP="00966F55">
      <w:pPr>
        <w:spacing w:line="420" w:lineRule="auto"/>
        <w:jc w:val="center"/>
        <w:rPr>
          <w:rFonts w:eastAsia="黑体"/>
          <w:sz w:val="18"/>
        </w:rPr>
      </w:pPr>
      <w:r w:rsidRPr="00CB2A5D" w:rsidR="004D2804">
        <w:rPr>
          <w:bCs/>
          <w:kern w:val="0"/>
          <w:szCs w:val="21"/>
        </w:rPr>
        <w:t>for use for conformity assessment</w:t>
      </w:r>
      <w:r w:rsidRPr="0089101C">
        <w:rPr>
          <w:rFonts w:eastAsia="(使用中文字体)"/>
          <w:lang w:eastAsia="zh-TW"/>
        </w:rPr>
        <w:t xml:space="preserve"> </w:t>
      </w:r>
    </w:p>
    <w:p w:rsidR="00EB5251" w:rsidRPr="0089101C" w:rsidP="00966F55">
      <w:pPr>
        <w:spacing w:line="420" w:lineRule="auto"/>
        <w:rPr>
          <w:rFonts w:ascii="黑体" w:eastAsia="黑体" w:hint="eastAsia"/>
          <w:b/>
        </w:rPr>
      </w:pPr>
      <w:r>
        <w:rPr>
          <w:rFonts w:eastAsia="黑体"/>
          <w:noProof/>
        </w:rPr>
        <w:pict>
          <v:line id="_x0000_s1028" style="position:absolute;z-index:251661312" from="-5.25pt,0.4pt" to="425.25pt,0.4pt" o:allowincell="f"/>
        </w:pict>
      </w:r>
      <w:r w:rsidR="00654894">
        <w:rPr>
          <w:rFonts w:ascii="黑体" w:eastAsia="黑体" w:hint="eastAsia"/>
          <w:b/>
        </w:rPr>
        <w:t xml:space="preserve">1  </w:t>
      </w:r>
      <w:r w:rsidRPr="0089101C">
        <w:rPr>
          <w:rFonts w:ascii="黑体" w:eastAsia="黑体" w:hint="eastAsia"/>
          <w:b/>
        </w:rPr>
        <w:t>范围</w:t>
      </w:r>
    </w:p>
    <w:p w:rsidR="00BD6B1B" w:rsidP="00966F55">
      <w:pPr>
        <w:autoSpaceDE w:val="0"/>
        <w:autoSpaceDN w:val="0"/>
        <w:adjustRightInd w:val="0"/>
        <w:spacing w:line="420" w:lineRule="auto"/>
        <w:ind w:firstLine="420" w:firstLineChars="200"/>
        <w:jc w:val="left"/>
        <w:rPr>
          <w:rFonts w:ascii="Arial" w:hAnsi="Arial" w:cs="Arial" w:hint="eastAsia"/>
          <w:kern w:val="0"/>
          <w:sz w:val="20"/>
          <w:szCs w:val="20"/>
        </w:rPr>
      </w:pPr>
      <w:r w:rsidR="00916070">
        <w:rPr>
          <w:rFonts w:hAnsi="宋体"/>
          <w:szCs w:val="21"/>
        </w:rPr>
        <w:t>本标准</w:t>
      </w:r>
      <w:r w:rsidRPr="00D4574B">
        <w:rPr>
          <w:rFonts w:hAnsi="宋体"/>
          <w:szCs w:val="21"/>
        </w:rPr>
        <w:t>提供了包含下述内容的规范性文献的编写原则和指南：</w:t>
      </w:r>
    </w:p>
    <w:p w:rsidR="00BD6B1B" w:rsidP="00966F55">
      <w:pPr>
        <w:autoSpaceDE w:val="0"/>
        <w:autoSpaceDN w:val="0"/>
        <w:adjustRightInd w:val="0"/>
        <w:spacing w:line="420" w:lineRule="auto"/>
        <w:ind w:firstLine="420" w:firstLineChars="200"/>
        <w:jc w:val="left"/>
        <w:rPr>
          <w:rFonts w:ascii="Arial" w:hAnsi="Arial" w:cs="Arial" w:hint="eastAsia"/>
          <w:kern w:val="0"/>
          <w:sz w:val="20"/>
          <w:szCs w:val="20"/>
        </w:rPr>
      </w:pPr>
      <w:r>
        <w:rPr>
          <w:rFonts w:hAnsi="宋体" w:hint="eastAsia"/>
          <w:szCs w:val="21"/>
        </w:rPr>
        <w:t>——</w:t>
      </w:r>
      <w:r w:rsidRPr="00D4574B">
        <w:rPr>
          <w:rFonts w:hAnsi="宋体"/>
          <w:szCs w:val="21"/>
        </w:rPr>
        <w:t>合格评估对象</w:t>
      </w:r>
      <w:r>
        <w:rPr>
          <w:rFonts w:hAnsi="宋体" w:hint="eastAsia"/>
          <w:szCs w:val="21"/>
        </w:rPr>
        <w:t>需满足</w:t>
      </w:r>
      <w:r w:rsidRPr="00D4574B">
        <w:rPr>
          <w:rFonts w:hAnsi="宋体"/>
          <w:szCs w:val="21"/>
        </w:rPr>
        <w:t>的规定规定；</w:t>
      </w:r>
    </w:p>
    <w:p w:rsidR="00D002C1" w:rsidP="00D002C1">
      <w:pPr>
        <w:autoSpaceDE w:val="0"/>
        <w:autoSpaceDN w:val="0"/>
        <w:adjustRightInd w:val="0"/>
        <w:spacing w:line="420" w:lineRule="auto"/>
        <w:ind w:firstLine="420" w:firstLineChars="200"/>
        <w:jc w:val="left"/>
        <w:rPr>
          <w:rFonts w:ascii="Arial" w:hAnsi="Arial" w:cs="Arial" w:hint="eastAsia"/>
          <w:kern w:val="0"/>
          <w:sz w:val="20"/>
          <w:szCs w:val="20"/>
        </w:rPr>
      </w:pPr>
      <w:r w:rsidR="00BD6B1B">
        <w:rPr>
          <w:rFonts w:hAnsi="宋体" w:hint="eastAsia"/>
          <w:szCs w:val="21"/>
        </w:rPr>
        <w:t>——</w:t>
      </w:r>
      <w:r w:rsidR="00BD6B1B">
        <w:rPr>
          <w:rFonts w:hAnsi="宋体" w:hint="eastAsia"/>
          <w:szCs w:val="21"/>
        </w:rPr>
        <w:t>证实</w:t>
      </w:r>
      <w:r w:rsidRPr="00D4574B" w:rsidR="00BD6B1B">
        <w:rPr>
          <w:rFonts w:hAnsi="宋体"/>
          <w:szCs w:val="21"/>
        </w:rPr>
        <w:t>合格评估对象是否</w:t>
      </w:r>
      <w:r w:rsidR="00BD6B1B">
        <w:rPr>
          <w:rFonts w:hAnsi="宋体" w:hint="eastAsia"/>
          <w:szCs w:val="21"/>
        </w:rPr>
        <w:t>满足</w:t>
      </w:r>
      <w:r w:rsidRPr="00D4574B" w:rsidR="00BD6B1B">
        <w:rPr>
          <w:rFonts w:hAnsi="宋体"/>
          <w:szCs w:val="21"/>
        </w:rPr>
        <w:t>规定规定期</w:t>
      </w:r>
      <w:r w:rsidR="00BD6B1B">
        <w:rPr>
          <w:rFonts w:hAnsi="宋体" w:hint="eastAsia"/>
          <w:szCs w:val="21"/>
        </w:rPr>
        <w:t>也许采用的</w:t>
      </w:r>
      <w:r w:rsidRPr="00D4574B" w:rsidR="00BD6B1B">
        <w:rPr>
          <w:rFonts w:hAnsi="宋体"/>
          <w:szCs w:val="21"/>
        </w:rPr>
        <w:t>合格评估制度的规定规定。</w:t>
      </w:r>
    </w:p>
    <w:p w:rsidR="00EB5251" w:rsidRPr="00D002C1" w:rsidP="00D002C1">
      <w:pPr>
        <w:autoSpaceDE w:val="0"/>
        <w:autoSpaceDN w:val="0"/>
        <w:adjustRightInd w:val="0"/>
        <w:spacing w:line="420" w:lineRule="auto"/>
        <w:ind w:firstLine="420" w:firstLineChars="200"/>
        <w:jc w:val="left"/>
        <w:rPr>
          <w:rFonts w:ascii="Arial" w:hAnsi="Arial" w:cs="Arial" w:hint="eastAsia"/>
          <w:kern w:val="0"/>
          <w:sz w:val="20"/>
          <w:szCs w:val="20"/>
        </w:rPr>
      </w:pPr>
      <w:r w:rsidR="00916070">
        <w:rPr>
          <w:rFonts w:ascii="宋体" w:hAnsi="宋体" w:cs="宋体" w:hint="eastAsia"/>
          <w:szCs w:val="21"/>
        </w:rPr>
        <w:t>本标准</w:t>
      </w:r>
      <w:r w:rsidR="00BD6B1B">
        <w:rPr>
          <w:rFonts w:hAnsi="宋体" w:hint="eastAsia"/>
          <w:szCs w:val="21"/>
        </w:rPr>
        <w:t>拟为下列使用者使用：不使用</w:t>
      </w:r>
      <w:r w:rsidRPr="00507605" w:rsidR="00BD6B1B">
        <w:rPr>
          <w:rFonts w:ascii="宋体" w:hAnsi="宋体" w:hint="eastAsia"/>
          <w:szCs w:val="21"/>
        </w:rPr>
        <w:t>ISO</w:t>
      </w:r>
      <w:r w:rsidR="00BD6B1B">
        <w:rPr>
          <w:rFonts w:ascii="宋体" w:hAnsi="宋体" w:hint="eastAsia"/>
          <w:szCs w:val="21"/>
        </w:rPr>
        <w:t>/</w:t>
      </w:r>
      <w:r w:rsidRPr="00507605" w:rsidR="00BD6B1B">
        <w:rPr>
          <w:rFonts w:ascii="宋体" w:hAnsi="宋体" w:hint="eastAsia"/>
          <w:szCs w:val="21"/>
        </w:rPr>
        <w:t>IEC</w:t>
      </w:r>
      <w:r w:rsidR="00BD6B1B">
        <w:rPr>
          <w:rFonts w:ascii="宋体" w:hAnsi="宋体" w:hint="eastAsia"/>
          <w:szCs w:val="21"/>
        </w:rPr>
        <w:t>导则的</w:t>
      </w:r>
      <w:r w:rsidR="00BD6B1B">
        <w:rPr>
          <w:rFonts w:hAnsi="宋体" w:hint="eastAsia"/>
          <w:szCs w:val="21"/>
        </w:rPr>
        <w:t>标准制定者</w:t>
      </w:r>
      <w:r w:rsidR="00BD6B1B">
        <w:rPr>
          <w:rFonts w:ascii="宋体" w:hAnsi="宋体" w:hint="eastAsia"/>
          <w:szCs w:val="21"/>
        </w:rPr>
        <w:t>、</w:t>
      </w:r>
      <w:r w:rsidRPr="00507605" w:rsidR="00BD6B1B">
        <w:rPr>
          <w:rFonts w:ascii="宋体" w:hAnsi="宋体" w:hint="eastAsia"/>
          <w:szCs w:val="21"/>
        </w:rPr>
        <w:t>行业协会和</w:t>
      </w:r>
      <w:r w:rsidR="00BD6B1B">
        <w:rPr>
          <w:rFonts w:ascii="宋体" w:hAnsi="宋体" w:hint="eastAsia"/>
          <w:szCs w:val="21"/>
        </w:rPr>
        <w:t>联盟、采</w:t>
      </w:r>
      <w:r w:rsidRPr="00507605" w:rsidR="00BD6B1B">
        <w:rPr>
          <w:rFonts w:ascii="宋体" w:hAnsi="宋体" w:hint="eastAsia"/>
          <w:szCs w:val="21"/>
        </w:rPr>
        <w:t>购</w:t>
      </w:r>
      <w:r w:rsidR="00BD6B1B">
        <w:rPr>
          <w:rFonts w:ascii="宋体" w:hAnsi="宋体" w:hint="eastAsia"/>
          <w:szCs w:val="21"/>
        </w:rPr>
        <w:t>方、监管</w:t>
      </w:r>
      <w:r w:rsidRPr="00FA7E45" w:rsidR="00BD6B1B">
        <w:rPr>
          <w:rFonts w:ascii="宋体" w:hAnsi="宋体"/>
          <w:szCs w:val="21"/>
        </w:rPr>
        <w:t>机构</w:t>
      </w:r>
      <w:r w:rsidR="00BD6B1B">
        <w:rPr>
          <w:rFonts w:ascii="宋体" w:hAnsi="宋体" w:hint="eastAsia"/>
          <w:szCs w:val="21"/>
        </w:rPr>
        <w:t>、</w:t>
      </w:r>
      <w:r w:rsidRPr="00507605" w:rsidR="00BD6B1B">
        <w:rPr>
          <w:rFonts w:ascii="宋体" w:hAnsi="宋体" w:hint="eastAsia"/>
          <w:szCs w:val="21"/>
        </w:rPr>
        <w:t>消费者和非</w:t>
      </w:r>
      <w:r w:rsidR="00BD6B1B">
        <w:rPr>
          <w:rFonts w:ascii="宋体" w:hAnsi="宋体" w:hint="eastAsia"/>
          <w:szCs w:val="21"/>
        </w:rPr>
        <w:t>官方</w:t>
      </w:r>
      <w:r w:rsidRPr="00507605" w:rsidR="00BD6B1B">
        <w:rPr>
          <w:rFonts w:ascii="宋体" w:hAnsi="宋体" w:hint="eastAsia"/>
          <w:szCs w:val="21"/>
        </w:rPr>
        <w:t>团队</w:t>
      </w:r>
      <w:r w:rsidR="00BD6B1B">
        <w:rPr>
          <w:rFonts w:ascii="宋体" w:hAnsi="宋体" w:hint="eastAsia"/>
          <w:szCs w:val="21"/>
        </w:rPr>
        <w:t>、</w:t>
      </w:r>
      <w:r w:rsidRPr="00507605" w:rsidR="00BD6B1B">
        <w:rPr>
          <w:rFonts w:ascii="宋体" w:hAnsi="宋体" w:hint="eastAsia"/>
          <w:szCs w:val="21"/>
        </w:rPr>
        <w:t>认可机构</w:t>
      </w:r>
      <w:r w:rsidR="00BD6B1B">
        <w:rPr>
          <w:rFonts w:ascii="宋体" w:hAnsi="宋体" w:hint="eastAsia"/>
          <w:szCs w:val="21"/>
        </w:rPr>
        <w:t>、</w:t>
      </w:r>
      <w:r w:rsidRPr="00507605" w:rsidR="00BD6B1B">
        <w:rPr>
          <w:rFonts w:ascii="宋体" w:hAnsi="宋体" w:hint="eastAsia"/>
          <w:szCs w:val="21"/>
        </w:rPr>
        <w:t>合格评估机构</w:t>
      </w:r>
      <w:r w:rsidR="00BD6B1B">
        <w:rPr>
          <w:rFonts w:ascii="宋体" w:hAnsi="宋体" w:hint="eastAsia"/>
          <w:szCs w:val="21"/>
        </w:rPr>
        <w:t>、</w:t>
      </w:r>
      <w:r w:rsidRPr="00507605" w:rsidR="00BD6B1B">
        <w:rPr>
          <w:rFonts w:ascii="宋体" w:hAnsi="宋体" w:hint="eastAsia"/>
          <w:szCs w:val="21"/>
        </w:rPr>
        <w:t>合格评估方案的</w:t>
      </w:r>
      <w:r w:rsidR="00BD6B1B">
        <w:rPr>
          <w:rFonts w:ascii="宋体" w:hAnsi="宋体" w:hint="eastAsia"/>
          <w:szCs w:val="21"/>
        </w:rPr>
        <w:t>拥有者和</w:t>
      </w:r>
      <w:r w:rsidRPr="00507605" w:rsidR="00BD6B1B">
        <w:rPr>
          <w:rFonts w:ascii="宋体" w:hAnsi="宋体" w:hint="eastAsia"/>
          <w:szCs w:val="21"/>
        </w:rPr>
        <w:t>其他相关方，如保险业组织。</w:t>
      </w:r>
    </w:p>
    <w:p w:rsidR="00EB5251" w:rsidRPr="0089101C" w:rsidP="00966F55">
      <w:pPr>
        <w:spacing w:line="420" w:lineRule="auto"/>
        <w:rPr>
          <w:rFonts w:hint="eastAsia"/>
          <w:b/>
        </w:rPr>
      </w:pPr>
      <w:r w:rsidRPr="0089101C">
        <w:rPr>
          <w:rFonts w:ascii="黑体" w:eastAsia="黑体" w:hint="eastAsia"/>
          <w:b/>
        </w:rPr>
        <w:t xml:space="preserve">2 </w:t>
      </w:r>
      <w:r w:rsidRPr="0089101C">
        <w:rPr>
          <w:rFonts w:eastAsia="黑体" w:hint="eastAsia"/>
          <w:b/>
        </w:rPr>
        <w:t xml:space="preserve"> 规范性引用文献</w:t>
      </w:r>
    </w:p>
    <w:p w:rsidR="00654894" w:rsidRPr="00E56A49" w:rsidP="00966F55">
      <w:pPr>
        <w:spacing w:line="420" w:lineRule="auto"/>
        <w:ind w:firstLine="420" w:firstLineChars="200"/>
        <w:rPr>
          <w:rFonts w:ascii="宋体" w:hAnsi="宋体" w:hint="eastAsia"/>
          <w:szCs w:val="21"/>
        </w:rPr>
      </w:pPr>
      <w:r w:rsidRPr="00E56A49">
        <w:rPr>
          <w:szCs w:val="21"/>
        </w:rPr>
        <w:t>下列</w:t>
      </w:r>
      <w:r>
        <w:rPr>
          <w:rFonts w:hint="eastAsia"/>
          <w:szCs w:val="21"/>
        </w:rPr>
        <w:t>引用的</w:t>
      </w:r>
      <w:r w:rsidRPr="00E56A49">
        <w:rPr>
          <w:szCs w:val="21"/>
        </w:rPr>
        <w:t>文献</w:t>
      </w:r>
      <w:r>
        <w:rPr>
          <w:rFonts w:hint="eastAsia"/>
          <w:szCs w:val="21"/>
        </w:rPr>
        <w:t>对于本文献的应用是必不可少的</w:t>
      </w:r>
      <w:r w:rsidRPr="00E56A49">
        <w:rPr>
          <w:szCs w:val="21"/>
        </w:rPr>
        <w:t>。</w:t>
      </w:r>
      <w:r>
        <w:rPr>
          <w:rFonts w:hint="eastAsia"/>
          <w:szCs w:val="21"/>
        </w:rPr>
        <w:t>对于标</w:t>
      </w:r>
      <w:r w:rsidRPr="00E56A49">
        <w:rPr>
          <w:szCs w:val="21"/>
        </w:rPr>
        <w:t>注日期的引用，</w:t>
      </w:r>
      <w:r>
        <w:rPr>
          <w:rFonts w:hint="eastAsia"/>
          <w:szCs w:val="21"/>
        </w:rPr>
        <w:t>只有引用的版本合用。对于非标注日期的引用，所引用的</w:t>
      </w:r>
      <w:r w:rsidRPr="00E56A49">
        <w:rPr>
          <w:szCs w:val="21"/>
        </w:rPr>
        <w:t>文献的最新版本</w:t>
      </w:r>
      <w:r>
        <w:rPr>
          <w:rFonts w:hint="eastAsia"/>
          <w:szCs w:val="21"/>
        </w:rPr>
        <w:t>（</w:t>
      </w:r>
      <w:r w:rsidRPr="00E56A49">
        <w:rPr>
          <w:szCs w:val="21"/>
        </w:rPr>
        <w:t>涉及所有修改单</w:t>
      </w:r>
      <w:r>
        <w:rPr>
          <w:rFonts w:hint="eastAsia"/>
          <w:szCs w:val="21"/>
        </w:rPr>
        <w:t>）合用</w:t>
      </w:r>
      <w:r w:rsidRPr="00E56A49">
        <w:rPr>
          <w:szCs w:val="21"/>
        </w:rPr>
        <w:t>。</w:t>
      </w:r>
    </w:p>
    <w:p w:rsidR="00EB5251" w:rsidRPr="0089101C" w:rsidP="00966F55">
      <w:pPr>
        <w:pStyle w:val="BodyTextIndent3"/>
        <w:spacing w:line="420" w:lineRule="auto"/>
        <w:rPr>
          <w:rFonts w:hint="eastAsia"/>
        </w:rPr>
      </w:pPr>
      <w:r w:rsidRPr="00E56A49" w:rsidR="00654894">
        <w:rPr>
          <w:rFonts w:hint="eastAsia"/>
          <w:szCs w:val="21"/>
        </w:rPr>
        <w:t>ISO/IEC 17000:2023,合格评估--词汇和通用原则</w:t>
      </w:r>
    </w:p>
    <w:p w:rsidR="00EB5251" w:rsidRPr="0089101C" w:rsidP="00966F55">
      <w:pPr>
        <w:spacing w:line="420" w:lineRule="auto"/>
        <w:rPr>
          <w:rFonts w:eastAsia="黑体" w:hint="eastAsia"/>
          <w:b/>
        </w:rPr>
      </w:pPr>
      <w:r w:rsidRPr="0089101C">
        <w:rPr>
          <w:rFonts w:ascii="黑体" w:eastAsia="黑体" w:hint="eastAsia"/>
          <w:b/>
        </w:rPr>
        <w:t xml:space="preserve">3 </w:t>
      </w:r>
      <w:r w:rsidRPr="0089101C">
        <w:rPr>
          <w:rFonts w:eastAsia="黑体" w:hint="eastAsia"/>
          <w:b/>
        </w:rPr>
        <w:t xml:space="preserve"> 术语和定义</w:t>
      </w:r>
    </w:p>
    <w:p w:rsidR="000C6718" w:rsidP="00966F55">
      <w:pPr>
        <w:autoSpaceDE w:val="0"/>
        <w:autoSpaceDN w:val="0"/>
        <w:adjustRightInd w:val="0"/>
        <w:spacing w:line="420" w:lineRule="auto"/>
        <w:ind w:firstLine="420" w:firstLineChars="200"/>
        <w:jc w:val="left"/>
        <w:rPr>
          <w:rFonts w:ascii="Arial" w:hAnsi="Arial" w:cs="Arial" w:hint="eastAsia"/>
          <w:kern w:val="0"/>
          <w:sz w:val="20"/>
          <w:szCs w:val="20"/>
        </w:rPr>
      </w:pPr>
      <w:r w:rsidRPr="00E56A49">
        <w:rPr>
          <w:szCs w:val="21"/>
        </w:rPr>
        <w:t>对于本标准，ISO/IEC 17000中的以及</w:t>
      </w:r>
      <w:r w:rsidRPr="00E56A49">
        <w:rPr>
          <w:rFonts w:hint="eastAsia"/>
          <w:szCs w:val="21"/>
        </w:rPr>
        <w:t>下</w:t>
      </w:r>
      <w:r>
        <w:rPr>
          <w:rFonts w:hint="eastAsia"/>
          <w:szCs w:val="21"/>
        </w:rPr>
        <w:t>列</w:t>
      </w:r>
      <w:r w:rsidRPr="00E56A49">
        <w:rPr>
          <w:rFonts w:hint="eastAsia"/>
          <w:szCs w:val="21"/>
        </w:rPr>
        <w:t>的</w:t>
      </w:r>
      <w:r w:rsidRPr="00E56A49">
        <w:rPr>
          <w:szCs w:val="21"/>
        </w:rPr>
        <w:t>术语和定义</w:t>
      </w:r>
      <w:r>
        <w:rPr>
          <w:rFonts w:hint="eastAsia"/>
          <w:szCs w:val="21"/>
        </w:rPr>
        <w:t>均</w:t>
      </w:r>
      <w:r w:rsidRPr="00E56A49">
        <w:rPr>
          <w:szCs w:val="21"/>
        </w:rPr>
        <w:t>是合用的。</w:t>
      </w:r>
      <w:r>
        <w:rPr>
          <w:rFonts w:hint="eastAsia"/>
          <w:szCs w:val="21"/>
        </w:rPr>
        <w:t>为了便于使用，再次给出下述定义：</w:t>
      </w:r>
    </w:p>
    <w:p w:rsidR="000C6718" w:rsidP="00966F55">
      <w:pPr>
        <w:autoSpaceDE w:val="0"/>
        <w:autoSpaceDN w:val="0"/>
        <w:adjustRightInd w:val="0"/>
        <w:spacing w:line="420" w:lineRule="auto"/>
        <w:jc w:val="left"/>
        <w:rPr>
          <w:rFonts w:ascii="Arial,Bold" w:hAnsi="Arial,Bold" w:cs="Arial,Bold"/>
          <w:b/>
          <w:bCs/>
          <w:kern w:val="0"/>
          <w:sz w:val="20"/>
          <w:szCs w:val="20"/>
        </w:rPr>
      </w:pPr>
      <w:r>
        <w:rPr>
          <w:rFonts w:ascii="Arial,Bold" w:hAnsi="Arial,Bold" w:cs="Arial,Bold"/>
          <w:b/>
          <w:bCs/>
          <w:kern w:val="0"/>
          <w:sz w:val="20"/>
          <w:szCs w:val="20"/>
        </w:rPr>
        <w:t>3.1</w:t>
      </w:r>
    </w:p>
    <w:p w:rsidR="000C6718" w:rsidP="00966F55">
      <w:pPr>
        <w:autoSpaceDE w:val="0"/>
        <w:autoSpaceDN w:val="0"/>
        <w:adjustRightInd w:val="0"/>
        <w:spacing w:line="420" w:lineRule="auto"/>
        <w:ind w:firstLine="412" w:firstLineChars="196"/>
        <w:jc w:val="left"/>
        <w:rPr>
          <w:rFonts w:ascii="Arial,Bold" w:hAnsi="Arial,Bold" w:cs="Arial,Bold"/>
          <w:b/>
          <w:bCs/>
          <w:kern w:val="0"/>
          <w:sz w:val="20"/>
          <w:szCs w:val="20"/>
        </w:rPr>
      </w:pPr>
      <w:r w:rsidRPr="004D0334">
        <w:rPr>
          <w:rFonts w:ascii="宋体" w:hAnsi="宋体" w:hint="eastAsia"/>
          <w:b/>
          <w:szCs w:val="21"/>
        </w:rPr>
        <w:t>合格评估制度</w:t>
      </w:r>
      <w:r>
        <w:rPr>
          <w:rFonts w:ascii="Arial,Bold" w:hAnsi="Arial,Bold" w:cs="Arial,Bold"/>
          <w:b/>
          <w:bCs/>
          <w:kern w:val="0"/>
          <w:sz w:val="20"/>
          <w:szCs w:val="20"/>
        </w:rPr>
        <w:t>conformity assessment system</w:t>
      </w:r>
    </w:p>
    <w:p w:rsidR="000C6718" w:rsidRPr="004D0334" w:rsidP="00966F55">
      <w:pPr>
        <w:spacing w:line="420" w:lineRule="auto"/>
        <w:ind w:firstLine="400"/>
        <w:rPr>
          <w:rFonts w:hint="eastAsia"/>
          <w:szCs w:val="21"/>
        </w:rPr>
      </w:pPr>
      <w:r w:rsidRPr="004D0334">
        <w:rPr>
          <w:rFonts w:hint="eastAsia"/>
          <w:szCs w:val="21"/>
        </w:rPr>
        <w:t>实行</w:t>
      </w:r>
      <w:r w:rsidRPr="004D0334">
        <w:rPr>
          <w:rFonts w:cs="黑体" w:hint="eastAsia"/>
          <w:szCs w:val="21"/>
        </w:rPr>
        <w:t>合格评估</w:t>
      </w:r>
      <w:r w:rsidRPr="004D0334">
        <w:rPr>
          <w:rFonts w:hint="eastAsia"/>
          <w:szCs w:val="21"/>
        </w:rPr>
        <w:t>的规则、</w:t>
      </w:r>
      <w:r w:rsidRPr="004D0334">
        <w:rPr>
          <w:rFonts w:cs="黑体" w:hint="eastAsia"/>
          <w:szCs w:val="21"/>
        </w:rPr>
        <w:t>程序</w:t>
      </w:r>
      <w:r w:rsidRPr="004D0334">
        <w:rPr>
          <w:rFonts w:hint="eastAsia"/>
          <w:szCs w:val="21"/>
        </w:rPr>
        <w:t>和</w:t>
      </w:r>
      <w:r>
        <w:rPr>
          <w:rFonts w:hint="eastAsia"/>
          <w:szCs w:val="21"/>
        </w:rPr>
        <w:t>对实行合格评估的</w:t>
      </w:r>
      <w:r w:rsidRPr="004D0334">
        <w:rPr>
          <w:rFonts w:hint="eastAsia"/>
          <w:szCs w:val="21"/>
        </w:rPr>
        <w:t>管理。</w:t>
      </w:r>
    </w:p>
    <w:p w:rsidR="000C6718" w:rsidRPr="000C6718" w:rsidP="00966F55">
      <w:pPr>
        <w:spacing w:line="420" w:lineRule="auto"/>
        <w:ind w:firstLine="450" w:firstLineChars="300"/>
        <w:rPr>
          <w:rFonts w:hint="eastAsia"/>
          <w:sz w:val="15"/>
          <w:szCs w:val="15"/>
        </w:rPr>
      </w:pPr>
      <w:r w:rsidRPr="000C6718">
        <w:rPr>
          <w:rFonts w:hint="eastAsia"/>
          <w:sz w:val="15"/>
          <w:szCs w:val="15"/>
        </w:rPr>
        <w:t>注：合格评估制度可以在国际、区域、国家或国家之下的层面上运作。[ISO/IEC 17000:2023,2.7]</w:t>
      </w:r>
    </w:p>
    <w:p w:rsidR="000C6718" w:rsidP="00966F55">
      <w:pPr>
        <w:autoSpaceDE w:val="0"/>
        <w:autoSpaceDN w:val="0"/>
        <w:adjustRightInd w:val="0"/>
        <w:spacing w:line="420" w:lineRule="auto"/>
        <w:jc w:val="left"/>
        <w:rPr>
          <w:rFonts w:ascii="Arial,Bold" w:hAnsi="Arial,Bold" w:cs="Arial,Bold"/>
          <w:b/>
          <w:bCs/>
          <w:kern w:val="0"/>
          <w:sz w:val="20"/>
          <w:szCs w:val="20"/>
        </w:rPr>
      </w:pPr>
      <w:r>
        <w:rPr>
          <w:rFonts w:ascii="Arial,Bold" w:hAnsi="Arial,Bold" w:cs="Arial,Bold"/>
          <w:b/>
          <w:bCs/>
          <w:kern w:val="0"/>
          <w:sz w:val="20"/>
          <w:szCs w:val="20"/>
        </w:rPr>
        <w:t>3.2</w:t>
      </w:r>
    </w:p>
    <w:p w:rsidR="000C6718" w:rsidRPr="00257BC6" w:rsidP="00966F55">
      <w:pPr>
        <w:spacing w:line="420" w:lineRule="auto"/>
        <w:ind w:firstLine="412" w:firstLineChars="196"/>
        <w:rPr>
          <w:rFonts w:ascii="Arial,Bold" w:hAnsi="Arial,Bold" w:cs="Arial,Bold"/>
          <w:b/>
          <w:bCs/>
          <w:color w:val="0000FF"/>
          <w:kern w:val="0"/>
          <w:sz w:val="20"/>
          <w:szCs w:val="20"/>
        </w:rPr>
        <w:sectPr w:rsidSect="00EB5251">
          <w:pgSz w:w="11906" w:h="16838"/>
          <w:pgMar w:top="1246" w:right="1286" w:bottom="1402" w:left="1260" w:header="851" w:footer="992" w:gutter="0"/>
          <w:pgNumType w:start="1"/>
          <w:cols w:space="425"/>
          <w:docGrid w:type="lines" w:linePitch="312"/>
        </w:sectPr>
      </w:pPr>
      <w:r w:rsidRPr="004D0334">
        <w:rPr>
          <w:rFonts w:ascii="宋体" w:hAnsi="宋体" w:hint="eastAsia"/>
          <w:b/>
          <w:szCs w:val="21"/>
        </w:rPr>
        <w:t>合格评估方案</w:t>
      </w:r>
      <w:r>
        <w:rPr>
          <w:rFonts w:ascii="Arial,Bold" w:hAnsi="Arial,Bold" w:cs="Arial,Bold"/>
          <w:b/>
          <w:bCs/>
          <w:kern w:val="0"/>
          <w:sz w:val="20"/>
          <w:szCs w:val="20"/>
        </w:rPr>
        <w:t>conformity assessment scheme</w:t>
      </w:r>
      <w:r>
        <w:rPr>
          <w:rFonts w:ascii="Arial,Bold" w:hAnsi="Arial,Bold" w:cs="Arial,Bold" w:hint="eastAsia"/>
          <w:b/>
          <w:bCs/>
          <w:kern w:val="0"/>
          <w:sz w:val="20"/>
          <w:szCs w:val="20"/>
        </w:rPr>
        <w:t>；</w:t>
      </w:r>
      <w:r>
        <w:rPr>
          <w:rFonts w:ascii="Arial,Bold" w:hAnsi="Arial,Bold" w:cs="Arial,Bold"/>
          <w:b/>
          <w:bCs/>
          <w:kern w:val="0"/>
          <w:sz w:val="20"/>
          <w:szCs w:val="20"/>
        </w:rPr>
        <w:t xml:space="preserve">conformity assessment </w:t>
      </w:r>
      <w:r w:rsidRPr="000B4B5D">
        <w:rPr>
          <w:rFonts w:ascii="Arial,Bold" w:hAnsi="Arial,Bold" w:cs="Arial,Bold"/>
          <w:b/>
          <w:bCs/>
          <w:kern w:val="0"/>
          <w:sz w:val="20"/>
          <w:szCs w:val="20"/>
        </w:rPr>
        <w:t>programme</w:t>
      </w:r>
    </w:p>
    <w:p w:rsidR="000C6718" w:rsidRPr="004D0334" w:rsidP="00966F55">
      <w:pPr>
        <w:pStyle w:val="CharCharCharCharCharCharCharCharCharCharCharChar"/>
        <w:spacing w:line="420" w:lineRule="auto"/>
        <w:ind w:firstLine="422"/>
        <w:rPr>
          <w:rFonts w:hAnsi="宋体"/>
        </w:rPr>
      </w:pPr>
      <w:r>
        <w:rPr>
          <w:rFonts w:hAnsi="宋体" w:hint="eastAsia"/>
          <w:b/>
        </w:rPr>
        <w:t>与合用</w:t>
      </w:r>
      <w:r w:rsidRPr="004D0334">
        <w:rPr>
          <w:rFonts w:hAnsi="宋体" w:hint="eastAsia"/>
        </w:rPr>
        <w:t>相同</w:t>
      </w:r>
      <w:r>
        <w:rPr>
          <w:rFonts w:hAnsi="宋体" w:hint="eastAsia"/>
        </w:rPr>
        <w:t>的</w:t>
      </w:r>
      <w:r w:rsidRPr="004D0334">
        <w:rPr>
          <w:rFonts w:hAnsi="宋体" w:cs="黑体" w:hint="eastAsia"/>
        </w:rPr>
        <w:t>规定规定</w:t>
      </w:r>
      <w:r w:rsidRPr="004D0334">
        <w:rPr>
          <w:rFonts w:hAnsi="宋体" w:hint="eastAsia"/>
        </w:rPr>
        <w:t>、</w:t>
      </w:r>
      <w:r>
        <w:rPr>
          <w:rFonts w:hAnsi="宋体" w:hint="eastAsia"/>
        </w:rPr>
        <w:t>具体</w:t>
      </w:r>
      <w:r w:rsidRPr="004D0334">
        <w:rPr>
          <w:rFonts w:hAnsi="宋体" w:hint="eastAsia"/>
        </w:rPr>
        <w:t>规则</w:t>
      </w:r>
      <w:r>
        <w:rPr>
          <w:rFonts w:hAnsi="宋体" w:hint="eastAsia"/>
        </w:rPr>
        <w:t>与</w:t>
      </w:r>
      <w:r w:rsidRPr="004D0334">
        <w:rPr>
          <w:rFonts w:hAnsi="宋体" w:cs="黑体" w:hint="eastAsia"/>
        </w:rPr>
        <w:t>程序</w:t>
      </w:r>
      <w:r>
        <w:rPr>
          <w:rFonts w:hAnsi="宋体" w:cs="黑体" w:hint="eastAsia"/>
        </w:rPr>
        <w:t>的特定</w:t>
      </w:r>
      <w:r w:rsidRPr="004D0334">
        <w:rPr>
          <w:rFonts w:hAnsi="宋体" w:hint="eastAsia"/>
        </w:rPr>
        <w:t>合格评估对象</w:t>
      </w:r>
      <w:r>
        <w:rPr>
          <w:rFonts w:hAnsi="宋体" w:hint="eastAsia"/>
        </w:rPr>
        <w:t>相关的的合格评估制度。</w:t>
      </w:r>
    </w:p>
    <w:p w:rsidR="000C6718" w:rsidRPr="000C6718" w:rsidP="00966F55">
      <w:pPr>
        <w:spacing w:line="420" w:lineRule="auto"/>
        <w:ind w:firstLine="450" w:firstLineChars="300"/>
        <w:rPr>
          <w:rFonts w:hAnsi="宋体" w:hint="eastAsia"/>
          <w:sz w:val="15"/>
          <w:szCs w:val="15"/>
        </w:rPr>
      </w:pPr>
      <w:r w:rsidRPr="000C6718">
        <w:rPr>
          <w:rFonts w:ascii="宋体" w:hAnsi="宋体" w:hint="eastAsia"/>
          <w:sz w:val="15"/>
          <w:szCs w:val="15"/>
        </w:rPr>
        <w:t>注：合格评估方案可以在国际、区域、国家或国家之下的层面上运作。</w:t>
      </w:r>
      <w:r w:rsidRPr="000C6718">
        <w:rPr>
          <w:rFonts w:hAnsi="宋体" w:hint="eastAsia"/>
          <w:sz w:val="15"/>
          <w:szCs w:val="15"/>
        </w:rPr>
        <w:t>[ISO/IEC 17000:2023,2.8]</w:t>
      </w:r>
    </w:p>
    <w:p w:rsidR="000C6718" w:rsidP="00966F55">
      <w:pPr>
        <w:autoSpaceDE w:val="0"/>
        <w:autoSpaceDN w:val="0"/>
        <w:adjustRightInd w:val="0"/>
        <w:spacing w:line="420" w:lineRule="auto"/>
        <w:jc w:val="left"/>
        <w:rPr>
          <w:rFonts w:ascii="Arial,Bold" w:hAnsi="Arial,Bold" w:cs="Arial,Bold"/>
          <w:b/>
          <w:bCs/>
          <w:kern w:val="0"/>
          <w:sz w:val="20"/>
          <w:szCs w:val="20"/>
        </w:rPr>
      </w:pPr>
      <w:r>
        <w:rPr>
          <w:rFonts w:ascii="Arial,Bold" w:hAnsi="Arial,Bold" w:cs="Arial,Bold"/>
          <w:b/>
          <w:bCs/>
          <w:kern w:val="0"/>
          <w:sz w:val="20"/>
          <w:szCs w:val="20"/>
        </w:rPr>
        <w:t>3.3</w:t>
      </w:r>
    </w:p>
    <w:p w:rsidR="000C6718" w:rsidP="00966F55">
      <w:pPr>
        <w:autoSpaceDE w:val="0"/>
        <w:autoSpaceDN w:val="0"/>
        <w:adjustRightInd w:val="0"/>
        <w:spacing w:line="420" w:lineRule="auto"/>
        <w:ind w:firstLine="412" w:firstLineChars="196"/>
        <w:jc w:val="left"/>
        <w:rPr>
          <w:rFonts w:ascii="Arial,Bold" w:hAnsi="Arial,Bold" w:cs="Arial,Bold"/>
          <w:b/>
          <w:bCs/>
          <w:kern w:val="0"/>
          <w:sz w:val="20"/>
          <w:szCs w:val="20"/>
        </w:rPr>
      </w:pPr>
      <w:r w:rsidRPr="004D0334">
        <w:rPr>
          <w:rFonts w:ascii="宋体" w:hAnsi="宋体" w:hint="eastAsia"/>
          <w:b/>
          <w:szCs w:val="21"/>
        </w:rPr>
        <w:t>合格评估对象</w:t>
      </w:r>
      <w:r>
        <w:rPr>
          <w:rFonts w:ascii="Arial,Bold" w:hAnsi="Arial,Bold" w:cs="Arial,Bold"/>
          <w:b/>
          <w:bCs/>
          <w:kern w:val="0"/>
          <w:sz w:val="20"/>
          <w:szCs w:val="20"/>
        </w:rPr>
        <w:t>object of conformity assessment</w:t>
      </w:r>
    </w:p>
    <w:p w:rsidR="000C6718" w:rsidP="00966F55">
      <w:pPr>
        <w:spacing w:line="420" w:lineRule="auto"/>
        <w:ind w:firstLine="412" w:firstLineChars="196"/>
        <w:rPr>
          <w:rFonts w:hint="eastAsia"/>
          <w:szCs w:val="21"/>
        </w:rPr>
      </w:pPr>
      <w:r>
        <w:rPr>
          <w:rFonts w:ascii="宋体" w:hAnsi="宋体" w:hint="eastAsia"/>
          <w:b/>
          <w:szCs w:val="21"/>
        </w:rPr>
        <w:t>对其进行</w:t>
      </w:r>
      <w:r w:rsidRPr="004D0334">
        <w:rPr>
          <w:rFonts w:hint="eastAsia"/>
          <w:szCs w:val="21"/>
        </w:rPr>
        <w:t>合格评估的特定材料、产品（涉及服务）、安装、过程、体系、人员或机构。</w:t>
      </w:r>
    </w:p>
    <w:p w:rsidR="000C6718" w:rsidRPr="000C6718" w:rsidP="00966F55">
      <w:pPr>
        <w:autoSpaceDE w:val="0"/>
        <w:autoSpaceDN w:val="0"/>
        <w:adjustRightInd w:val="0"/>
        <w:spacing w:line="420" w:lineRule="auto"/>
        <w:ind w:firstLine="375" w:firstLineChars="250"/>
        <w:jc w:val="left"/>
        <w:rPr>
          <w:rFonts w:ascii="Arial" w:hAnsi="Arial" w:cs="Arial" w:hint="eastAsia"/>
          <w:kern w:val="0"/>
          <w:sz w:val="15"/>
          <w:szCs w:val="15"/>
        </w:rPr>
      </w:pPr>
      <w:r w:rsidRPr="000C6718">
        <w:rPr>
          <w:rFonts w:hint="eastAsia"/>
          <w:sz w:val="15"/>
          <w:szCs w:val="15"/>
        </w:rPr>
        <w:t>注：根据</w:t>
      </w:r>
      <w:r w:rsidRPr="000C6718">
        <w:rPr>
          <w:rFonts w:ascii="Arial" w:hAnsi="Arial" w:cs="Arial"/>
          <w:kern w:val="0"/>
          <w:sz w:val="15"/>
          <w:szCs w:val="15"/>
        </w:rPr>
        <w:t xml:space="preserve">ISO/IEC 17000:2023, 2.1, </w:t>
      </w:r>
      <w:r w:rsidRPr="000C6718">
        <w:rPr>
          <w:rFonts w:ascii="Arial" w:hAnsi="Arial" w:cs="Arial" w:hint="eastAsia"/>
          <w:kern w:val="0"/>
          <w:sz w:val="15"/>
          <w:szCs w:val="15"/>
        </w:rPr>
        <w:t>注</w:t>
      </w:r>
      <w:r w:rsidRPr="000C6718">
        <w:rPr>
          <w:rFonts w:ascii="Arial" w:hAnsi="Arial" w:cs="Arial"/>
          <w:kern w:val="0"/>
          <w:sz w:val="15"/>
          <w:szCs w:val="15"/>
        </w:rPr>
        <w:t>2</w:t>
      </w:r>
      <w:r w:rsidRPr="000C6718">
        <w:rPr>
          <w:rFonts w:ascii="Arial" w:hAnsi="Arial" w:cs="Arial" w:hint="eastAsia"/>
          <w:kern w:val="0"/>
          <w:sz w:val="15"/>
          <w:szCs w:val="15"/>
        </w:rPr>
        <w:t>改写。</w:t>
      </w:r>
    </w:p>
    <w:p w:rsidR="000C6718" w:rsidP="00966F55">
      <w:pPr>
        <w:autoSpaceDE w:val="0"/>
        <w:autoSpaceDN w:val="0"/>
        <w:adjustRightInd w:val="0"/>
        <w:spacing w:line="420" w:lineRule="auto"/>
        <w:jc w:val="left"/>
        <w:rPr>
          <w:rFonts w:ascii="Arial,Bold" w:hAnsi="Arial,Bold" w:cs="Arial,Bold"/>
          <w:b/>
          <w:bCs/>
          <w:kern w:val="0"/>
          <w:sz w:val="20"/>
          <w:szCs w:val="20"/>
        </w:rPr>
      </w:pPr>
      <w:r>
        <w:rPr>
          <w:rFonts w:ascii="Arial,Bold" w:hAnsi="Arial,Bold" w:cs="Arial,Bold"/>
          <w:b/>
          <w:bCs/>
          <w:kern w:val="0"/>
          <w:sz w:val="20"/>
          <w:szCs w:val="20"/>
        </w:rPr>
        <w:t>3.4</w:t>
      </w:r>
    </w:p>
    <w:p w:rsidR="000C6718" w:rsidP="00966F55">
      <w:pPr>
        <w:autoSpaceDE w:val="0"/>
        <w:autoSpaceDN w:val="0"/>
        <w:adjustRightInd w:val="0"/>
        <w:spacing w:line="420" w:lineRule="auto"/>
        <w:ind w:firstLine="412" w:firstLineChars="196"/>
        <w:jc w:val="left"/>
        <w:rPr>
          <w:rFonts w:ascii="Arial,Bold" w:hAnsi="Arial,Bold" w:cs="Arial,Bold"/>
          <w:b/>
          <w:bCs/>
          <w:kern w:val="0"/>
          <w:sz w:val="20"/>
          <w:szCs w:val="20"/>
        </w:rPr>
      </w:pPr>
      <w:r>
        <w:rPr>
          <w:rFonts w:hint="eastAsia"/>
          <w:b/>
        </w:rPr>
        <w:t>规定</w:t>
      </w:r>
      <w:r w:rsidRPr="006908D4">
        <w:rPr>
          <w:rFonts w:hint="eastAsia"/>
          <w:b/>
        </w:rPr>
        <w:t>规定</w:t>
      </w:r>
      <w:r>
        <w:rPr>
          <w:rFonts w:ascii="Arial,Bold" w:hAnsi="Arial,Bold" w:cs="Arial,Bold"/>
          <w:b/>
          <w:bCs/>
          <w:kern w:val="0"/>
          <w:sz w:val="20"/>
          <w:szCs w:val="20"/>
        </w:rPr>
        <w:t>specified requirement</w:t>
      </w:r>
    </w:p>
    <w:p w:rsidR="000C6718" w:rsidRPr="006908D4" w:rsidP="00966F55">
      <w:pPr>
        <w:spacing w:line="420" w:lineRule="auto"/>
        <w:ind w:firstLine="420" w:firstLineChars="200"/>
        <w:rPr>
          <w:rFonts w:hint="eastAsia"/>
        </w:rPr>
      </w:pPr>
      <w:r>
        <w:rPr>
          <w:rFonts w:hint="eastAsia"/>
        </w:rPr>
        <w:t>明示的需求</w:t>
      </w:r>
      <w:r w:rsidRPr="006908D4">
        <w:rPr>
          <w:rFonts w:hint="eastAsia"/>
        </w:rPr>
        <w:t>或盼望。</w:t>
      </w:r>
    </w:p>
    <w:p w:rsidR="000C6718" w:rsidRPr="000C6718" w:rsidP="00966F55">
      <w:pPr>
        <w:spacing w:line="420" w:lineRule="auto"/>
        <w:ind w:firstLine="450" w:firstLineChars="300"/>
        <w:rPr>
          <w:rFonts w:ascii="Arial" w:hAnsi="Arial" w:cs="Arial" w:hint="eastAsia"/>
          <w:kern w:val="0"/>
          <w:sz w:val="15"/>
          <w:szCs w:val="15"/>
        </w:rPr>
      </w:pPr>
      <w:r w:rsidRPr="000C6718">
        <w:rPr>
          <w:rFonts w:hint="eastAsia"/>
          <w:sz w:val="15"/>
          <w:szCs w:val="15"/>
        </w:rPr>
        <w:t>注：可在诸如法规、标准和技术规范这样的规范性文献中对规定规定做出明确说明。</w:t>
      </w:r>
      <w:r w:rsidRPr="000C6718">
        <w:rPr>
          <w:rFonts w:ascii="Arial" w:hAnsi="Arial" w:cs="Arial"/>
          <w:kern w:val="0"/>
          <w:sz w:val="15"/>
          <w:szCs w:val="15"/>
        </w:rPr>
        <w:t>[ISO/IEC 17000:2023, 3.1]</w:t>
      </w:r>
    </w:p>
    <w:p w:rsidR="000C6718" w:rsidP="00966F55">
      <w:pPr>
        <w:autoSpaceDE w:val="0"/>
        <w:autoSpaceDN w:val="0"/>
        <w:adjustRightInd w:val="0"/>
        <w:spacing w:line="420" w:lineRule="auto"/>
        <w:jc w:val="left"/>
        <w:rPr>
          <w:rFonts w:ascii="Arial,Bold" w:hAnsi="Arial,Bold" w:cs="Arial,Bold"/>
          <w:b/>
          <w:bCs/>
          <w:kern w:val="0"/>
          <w:sz w:val="20"/>
          <w:szCs w:val="20"/>
        </w:rPr>
      </w:pPr>
      <w:r>
        <w:rPr>
          <w:rFonts w:ascii="Arial,Bold" w:hAnsi="Arial,Bold" w:cs="Arial,Bold"/>
          <w:b/>
          <w:bCs/>
          <w:kern w:val="0"/>
          <w:sz w:val="20"/>
          <w:szCs w:val="20"/>
        </w:rPr>
        <w:t>3.5</w:t>
      </w:r>
    </w:p>
    <w:p w:rsidR="000C6718" w:rsidP="00966F55">
      <w:pPr>
        <w:autoSpaceDE w:val="0"/>
        <w:autoSpaceDN w:val="0"/>
        <w:adjustRightInd w:val="0"/>
        <w:spacing w:line="420" w:lineRule="auto"/>
        <w:ind w:firstLine="412" w:firstLineChars="196"/>
        <w:jc w:val="left"/>
        <w:rPr>
          <w:rFonts w:ascii="Arial,Bold" w:hAnsi="Arial,Bold" w:cs="Arial,Bold"/>
          <w:b/>
          <w:bCs/>
          <w:kern w:val="0"/>
          <w:sz w:val="20"/>
          <w:szCs w:val="20"/>
        </w:rPr>
      </w:pPr>
      <w:r w:rsidRPr="006908D4">
        <w:rPr>
          <w:rFonts w:hint="eastAsia"/>
          <w:b/>
        </w:rPr>
        <w:t>监督</w:t>
      </w:r>
      <w:r>
        <w:rPr>
          <w:rFonts w:ascii="Arial,Bold" w:hAnsi="Arial,Bold" w:cs="Arial,Bold"/>
          <w:b/>
          <w:bCs/>
          <w:kern w:val="0"/>
          <w:sz w:val="20"/>
          <w:szCs w:val="20"/>
        </w:rPr>
        <w:t>surveillance</w:t>
      </w:r>
    </w:p>
    <w:p w:rsidR="000C6718" w:rsidRPr="0089101C" w:rsidP="00966F55">
      <w:pPr>
        <w:spacing w:line="420" w:lineRule="auto"/>
        <w:ind w:firstLine="420" w:firstLineChars="200"/>
      </w:pPr>
      <w:r w:rsidRPr="006908D4">
        <w:rPr>
          <w:rFonts w:ascii="Arial" w:hAnsi="Arial" w:cs="Arial" w:hint="eastAsia"/>
          <w:kern w:val="0"/>
          <w:szCs w:val="21"/>
        </w:rPr>
        <w:t>合格评估活动</w:t>
      </w:r>
      <w:r>
        <w:rPr>
          <w:rFonts w:ascii="Arial" w:hAnsi="Arial" w:cs="Arial" w:hint="eastAsia"/>
          <w:kern w:val="0"/>
          <w:szCs w:val="21"/>
        </w:rPr>
        <w:t>的</w:t>
      </w:r>
      <w:r w:rsidRPr="006908D4">
        <w:rPr>
          <w:rFonts w:ascii="Arial" w:hAnsi="Arial" w:cs="Arial" w:hint="eastAsia"/>
          <w:kern w:val="0"/>
          <w:szCs w:val="21"/>
        </w:rPr>
        <w:t>系统</w:t>
      </w:r>
      <w:r>
        <w:rPr>
          <w:rFonts w:ascii="Arial" w:hAnsi="Arial" w:cs="Arial" w:hint="eastAsia"/>
          <w:kern w:val="0"/>
          <w:szCs w:val="21"/>
        </w:rPr>
        <w:t>性反复</w:t>
      </w:r>
      <w:r w:rsidRPr="006908D4">
        <w:rPr>
          <w:rFonts w:ascii="Arial" w:hAnsi="Arial" w:cs="Arial" w:hint="eastAsia"/>
          <w:kern w:val="0"/>
          <w:szCs w:val="21"/>
        </w:rPr>
        <w:t>，</w:t>
      </w:r>
      <w:r>
        <w:rPr>
          <w:rFonts w:ascii="Arial" w:hAnsi="Arial" w:cs="Arial" w:hint="eastAsia"/>
          <w:kern w:val="0"/>
          <w:szCs w:val="21"/>
        </w:rPr>
        <w:t>是保持</w:t>
      </w:r>
      <w:r w:rsidRPr="006908D4">
        <w:rPr>
          <w:rFonts w:ascii="Arial" w:hAnsi="Arial" w:cs="Arial" w:hint="eastAsia"/>
          <w:kern w:val="0"/>
          <w:szCs w:val="21"/>
        </w:rPr>
        <w:t>符合性声明</w:t>
      </w:r>
      <w:r>
        <w:rPr>
          <w:rFonts w:ascii="Arial" w:hAnsi="Arial" w:cs="Arial" w:hint="eastAsia"/>
          <w:kern w:val="0"/>
          <w:szCs w:val="21"/>
        </w:rPr>
        <w:t>连续有效</w:t>
      </w:r>
      <w:r w:rsidRPr="006908D4">
        <w:rPr>
          <w:rFonts w:ascii="Arial" w:hAnsi="Arial" w:cs="Arial" w:hint="eastAsia"/>
          <w:kern w:val="0"/>
          <w:szCs w:val="21"/>
        </w:rPr>
        <w:t>的基础。</w:t>
      </w:r>
      <w:r w:rsidRPr="006908D4">
        <w:rPr>
          <w:rFonts w:ascii="Arial" w:hAnsi="Arial" w:cs="Arial"/>
          <w:kern w:val="0"/>
          <w:sz w:val="20"/>
          <w:szCs w:val="20"/>
        </w:rPr>
        <w:t>[ISO/IEC 17000:2023, 6.1]</w:t>
      </w:r>
    </w:p>
    <w:p w:rsidR="00A143EA" w:rsidRPr="00203EFD" w:rsidP="00A143EA">
      <w:pPr>
        <w:autoSpaceDE w:val="0"/>
        <w:autoSpaceDN w:val="0"/>
        <w:adjustRightInd w:val="0"/>
        <w:spacing w:line="420" w:lineRule="auto"/>
        <w:jc w:val="left"/>
        <w:rPr>
          <w:rFonts w:ascii="Arial,Bold" w:hAnsi="Arial,Bold" w:cs="Arial,Bold" w:hint="eastAsia"/>
          <w:b/>
          <w:bCs/>
          <w:kern w:val="0"/>
          <w:szCs w:val="21"/>
        </w:rPr>
      </w:pPr>
      <w:r w:rsidRPr="00203EFD">
        <w:rPr>
          <w:rFonts w:ascii="Arial,Bold" w:hAnsi="Arial,Bold" w:cs="Arial,Bold"/>
          <w:b/>
          <w:bCs/>
          <w:kern w:val="0"/>
          <w:szCs w:val="21"/>
        </w:rPr>
        <w:t xml:space="preserve">4 </w:t>
      </w:r>
      <w:r w:rsidR="00941611">
        <w:rPr>
          <w:rFonts w:ascii="Arial,Bold" w:hAnsi="Arial,Bold" w:cs="Arial,Bold" w:hint="eastAsia"/>
          <w:b/>
          <w:bCs/>
          <w:kern w:val="0"/>
          <w:szCs w:val="21"/>
        </w:rPr>
        <w:t xml:space="preserve"> </w:t>
      </w:r>
      <w:r w:rsidRPr="00203EFD">
        <w:rPr>
          <w:rFonts w:hint="eastAsia"/>
          <w:b/>
          <w:szCs w:val="21"/>
        </w:rPr>
        <w:t>原则</w:t>
      </w:r>
    </w:p>
    <w:p w:rsidR="00A143EA" w:rsidRPr="00203EFD" w:rsidP="00A143EA">
      <w:pPr>
        <w:autoSpaceDE w:val="0"/>
        <w:autoSpaceDN w:val="0"/>
        <w:adjustRightInd w:val="0"/>
        <w:spacing w:line="420" w:lineRule="auto"/>
        <w:jc w:val="left"/>
        <w:rPr>
          <w:rFonts w:ascii="Arial,Bold" w:hAnsi="Arial,Bold" w:cs="Arial,Bold" w:hint="eastAsia"/>
          <w:b/>
          <w:bCs/>
          <w:kern w:val="0"/>
          <w:szCs w:val="21"/>
        </w:rPr>
      </w:pPr>
      <w:r w:rsidRPr="00203EFD">
        <w:rPr>
          <w:rFonts w:ascii="Arial,Bold" w:hAnsi="Arial,Bold" w:cs="Arial,Bold"/>
          <w:b/>
          <w:bCs/>
          <w:kern w:val="0"/>
          <w:szCs w:val="21"/>
        </w:rPr>
        <w:t>4.1</w:t>
      </w:r>
      <w:r w:rsidRPr="00203EFD">
        <w:rPr>
          <w:rFonts w:ascii="Arial,Bold" w:hAnsi="Arial,Bold" w:cs="Arial,Bold" w:hint="eastAsia"/>
          <w:b/>
          <w:bCs/>
          <w:kern w:val="0"/>
          <w:szCs w:val="21"/>
        </w:rPr>
        <w:t xml:space="preserve">  总则</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szCs w:val="21"/>
        </w:rPr>
        <w:t>下</w:t>
      </w:r>
      <w:r w:rsidRPr="00203EFD">
        <w:rPr>
          <w:rFonts w:hint="eastAsia"/>
          <w:szCs w:val="21"/>
        </w:rPr>
        <w:t>列</w:t>
      </w:r>
      <w:r w:rsidRPr="00203EFD">
        <w:rPr>
          <w:szCs w:val="21"/>
        </w:rPr>
        <w:t>原则是</w:t>
      </w:r>
      <w:r w:rsidR="00916070">
        <w:rPr>
          <w:szCs w:val="21"/>
        </w:rPr>
        <w:t>本标准</w:t>
      </w:r>
      <w:r w:rsidRPr="00203EFD">
        <w:rPr>
          <w:rFonts w:hint="eastAsia"/>
          <w:szCs w:val="21"/>
        </w:rPr>
        <w:t>中后面指南</w:t>
      </w:r>
      <w:r w:rsidRPr="00203EFD">
        <w:rPr>
          <w:szCs w:val="21"/>
        </w:rPr>
        <w:t>的基础。</w:t>
      </w:r>
      <w:r w:rsidR="00916070">
        <w:rPr>
          <w:szCs w:val="21"/>
        </w:rPr>
        <w:t>本标准</w:t>
      </w:r>
      <w:r w:rsidRPr="00203EFD">
        <w:rPr>
          <w:szCs w:val="21"/>
        </w:rPr>
        <w:t>并</w:t>
      </w:r>
      <w:r w:rsidRPr="00203EFD">
        <w:rPr>
          <w:rFonts w:hint="eastAsia"/>
          <w:szCs w:val="21"/>
        </w:rPr>
        <w:t>未</w:t>
      </w:r>
      <w:r w:rsidRPr="00203EFD">
        <w:rPr>
          <w:szCs w:val="21"/>
        </w:rPr>
        <w:t>给出</w:t>
      </w:r>
      <w:r w:rsidRPr="00203EFD">
        <w:rPr>
          <w:rFonts w:hint="eastAsia"/>
          <w:szCs w:val="21"/>
        </w:rPr>
        <w:t>合用</w:t>
      </w:r>
      <w:r w:rsidRPr="00203EFD">
        <w:rPr>
          <w:szCs w:val="21"/>
        </w:rPr>
        <w:t>所有也许出现</w:t>
      </w:r>
      <w:r w:rsidRPr="00203EFD">
        <w:rPr>
          <w:rFonts w:hint="eastAsia"/>
          <w:szCs w:val="21"/>
        </w:rPr>
        <w:t>的</w:t>
      </w:r>
      <w:r w:rsidRPr="00203EFD">
        <w:rPr>
          <w:szCs w:val="21"/>
        </w:rPr>
        <w:t>情况的具体</w:t>
      </w:r>
      <w:r w:rsidRPr="00203EFD">
        <w:rPr>
          <w:rFonts w:hint="eastAsia"/>
          <w:szCs w:val="21"/>
        </w:rPr>
        <w:t>指南</w:t>
      </w:r>
      <w:r w:rsidRPr="00203EFD">
        <w:rPr>
          <w:szCs w:val="21"/>
        </w:rPr>
        <w:t>。</w:t>
      </w:r>
      <w:r w:rsidRPr="00203EFD">
        <w:rPr>
          <w:rFonts w:hint="eastAsia"/>
          <w:szCs w:val="21"/>
        </w:rPr>
        <w:t>因此，下述原则可以提供合用这些情况的指南：</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rFonts w:hint="eastAsia"/>
          <w:szCs w:val="21"/>
        </w:rPr>
        <w:t>——</w:t>
      </w:r>
      <w:r w:rsidRPr="00203EFD">
        <w:rPr>
          <w:rFonts w:hint="eastAsia"/>
          <w:szCs w:val="21"/>
        </w:rPr>
        <w:t>原则1：合格评估对象的规定</w:t>
      </w:r>
      <w:r w:rsidRPr="00203EFD">
        <w:rPr>
          <w:szCs w:val="21"/>
        </w:rPr>
        <w:t>规定与合格评估</w:t>
      </w:r>
      <w:r w:rsidRPr="00203EFD">
        <w:rPr>
          <w:rFonts w:hint="eastAsia"/>
          <w:szCs w:val="21"/>
        </w:rPr>
        <w:t>活动的规定规定</w:t>
      </w:r>
      <w:r w:rsidRPr="00203EFD">
        <w:rPr>
          <w:szCs w:val="21"/>
        </w:rPr>
        <w:t>相分离</w:t>
      </w:r>
      <w:r w:rsidRPr="00203EFD">
        <w:rPr>
          <w:rFonts w:hint="eastAsia"/>
          <w:szCs w:val="21"/>
        </w:rPr>
        <w:t>（见4.2）；</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rFonts w:hint="eastAsia"/>
          <w:szCs w:val="21"/>
        </w:rPr>
        <w:t>——</w:t>
      </w:r>
      <w:r w:rsidRPr="00203EFD">
        <w:rPr>
          <w:rFonts w:hint="eastAsia"/>
          <w:szCs w:val="21"/>
        </w:rPr>
        <w:t>原则2：有助于</w:t>
      </w:r>
      <w:r w:rsidRPr="00203EFD">
        <w:rPr>
          <w:rFonts w:ascii="宋体" w:hAnsi="宋体" w:hint="eastAsia"/>
          <w:szCs w:val="21"/>
        </w:rPr>
        <w:t>实行</w:t>
      </w:r>
      <w:r w:rsidRPr="00203EFD">
        <w:rPr>
          <w:rFonts w:ascii="宋体" w:hAnsi="宋体"/>
          <w:szCs w:val="21"/>
        </w:rPr>
        <w:t>合格评估活动</w:t>
      </w:r>
      <w:r w:rsidRPr="00203EFD">
        <w:rPr>
          <w:rFonts w:ascii="宋体" w:hAnsi="宋体" w:hint="eastAsia"/>
          <w:szCs w:val="21"/>
        </w:rPr>
        <w:t>各方</w:t>
      </w:r>
      <w:r w:rsidRPr="00203EFD">
        <w:rPr>
          <w:rFonts w:ascii="宋体" w:hAnsi="宋体"/>
          <w:szCs w:val="21"/>
        </w:rPr>
        <w:t>的</w:t>
      </w:r>
      <w:r w:rsidRPr="000B4B5D">
        <w:rPr>
          <w:rFonts w:ascii="宋体" w:hAnsi="宋体" w:hint="eastAsia"/>
          <w:szCs w:val="21"/>
        </w:rPr>
        <w:t>中立性</w:t>
      </w:r>
      <w:bookmarkStart w:id="0" w:name="OLE_LINK1"/>
      <w:r w:rsidRPr="000B4B5D">
        <w:rPr>
          <w:rFonts w:ascii="宋体" w:hAnsi="宋体" w:hint="eastAsia"/>
          <w:szCs w:val="21"/>
        </w:rPr>
        <w:t>（</w:t>
      </w:r>
      <w:r w:rsidRPr="00203EFD">
        <w:rPr>
          <w:rFonts w:ascii="宋体" w:hAnsi="宋体" w:hint="eastAsia"/>
          <w:szCs w:val="21"/>
        </w:rPr>
        <w:t>见4.3）；</w:t>
      </w:r>
      <w:bookmarkEnd w:id="0"/>
    </w:p>
    <w:p w:rsidR="00A143EA" w:rsidRPr="00203EFD" w:rsidP="00A143EA">
      <w:pPr>
        <w:autoSpaceDE w:val="0"/>
        <w:autoSpaceDN w:val="0"/>
        <w:adjustRightInd w:val="0"/>
        <w:spacing w:line="420" w:lineRule="auto"/>
        <w:ind w:firstLine="412" w:firstLineChars="196"/>
        <w:jc w:val="left"/>
        <w:rPr>
          <w:rFonts w:ascii="Arial" w:hAnsi="Arial" w:cs="Arial" w:hint="eastAsia"/>
          <w:kern w:val="0"/>
          <w:szCs w:val="21"/>
        </w:rPr>
      </w:pPr>
      <w:r w:rsidRPr="00203EFD">
        <w:rPr>
          <w:rFonts w:ascii="宋体" w:hAnsi="宋体" w:hint="eastAsia"/>
          <w:b/>
          <w:szCs w:val="21"/>
        </w:rPr>
        <w:t>——</w:t>
      </w:r>
      <w:r w:rsidRPr="00203EFD">
        <w:rPr>
          <w:rFonts w:ascii="宋体" w:hAnsi="宋体" w:hint="eastAsia"/>
          <w:szCs w:val="21"/>
        </w:rPr>
        <w:t>原则3：合格评估功能法（见4.4）；</w:t>
      </w:r>
    </w:p>
    <w:p w:rsidR="00A143EA" w:rsidRPr="00203EFD" w:rsidP="00A143EA">
      <w:pPr>
        <w:autoSpaceDE w:val="0"/>
        <w:autoSpaceDN w:val="0"/>
        <w:adjustRightInd w:val="0"/>
        <w:spacing w:line="420" w:lineRule="auto"/>
        <w:ind w:firstLine="412" w:firstLineChars="196"/>
        <w:jc w:val="left"/>
        <w:rPr>
          <w:rFonts w:ascii="Arial" w:hAnsi="Arial" w:cs="Arial" w:hint="eastAsia"/>
          <w:kern w:val="0"/>
          <w:szCs w:val="21"/>
        </w:rPr>
      </w:pPr>
      <w:r w:rsidRPr="00203EFD">
        <w:rPr>
          <w:rFonts w:ascii="宋体" w:hAnsi="宋体" w:hint="eastAsia"/>
          <w:b/>
          <w:szCs w:val="21"/>
        </w:rPr>
        <w:t>——</w:t>
      </w:r>
      <w:r w:rsidRPr="00203EFD">
        <w:rPr>
          <w:rFonts w:ascii="宋体" w:hAnsi="宋体" w:hint="eastAsia"/>
          <w:szCs w:val="21"/>
        </w:rPr>
        <w:t>原则4：合格评估结果的可比性（见4.5）；</w:t>
      </w:r>
    </w:p>
    <w:p w:rsidR="00A143EA" w:rsidRPr="00203EFD" w:rsidP="00A143EA">
      <w:pPr>
        <w:autoSpaceDE w:val="0"/>
        <w:autoSpaceDN w:val="0"/>
        <w:adjustRightInd w:val="0"/>
        <w:spacing w:line="420" w:lineRule="auto"/>
        <w:ind w:firstLine="412" w:firstLineChars="196"/>
        <w:jc w:val="left"/>
        <w:rPr>
          <w:rFonts w:ascii="宋体" w:hAnsi="宋体" w:hint="eastAsia"/>
          <w:szCs w:val="21"/>
        </w:rPr>
      </w:pPr>
      <w:r w:rsidRPr="00203EFD">
        <w:rPr>
          <w:rFonts w:ascii="宋体" w:hAnsi="宋体" w:hint="eastAsia"/>
          <w:b/>
          <w:szCs w:val="21"/>
        </w:rPr>
        <w:t>——</w:t>
      </w:r>
      <w:r w:rsidRPr="00203EFD">
        <w:rPr>
          <w:rFonts w:ascii="宋体" w:hAnsi="宋体" w:hint="eastAsia"/>
          <w:szCs w:val="21"/>
        </w:rPr>
        <w:t>原则5：合格评估的</w:t>
      </w:r>
      <w:r w:rsidRPr="000B4B5D">
        <w:rPr>
          <w:rFonts w:ascii="宋体" w:hAnsi="宋体" w:hint="eastAsia"/>
          <w:szCs w:val="21"/>
        </w:rPr>
        <w:t>良好实</w:t>
      </w:r>
      <w:r w:rsidRPr="00203EFD">
        <w:rPr>
          <w:rFonts w:ascii="宋体" w:hAnsi="宋体" w:hint="eastAsia"/>
          <w:szCs w:val="21"/>
        </w:rPr>
        <w:t>践（见4.6）；</w:t>
      </w:r>
    </w:p>
    <w:p w:rsidR="00A143EA" w:rsidRPr="00203EFD" w:rsidP="00A143EA">
      <w:pPr>
        <w:autoSpaceDE w:val="0"/>
        <w:autoSpaceDN w:val="0"/>
        <w:adjustRightInd w:val="0"/>
        <w:spacing w:line="420" w:lineRule="auto"/>
        <w:ind w:firstLine="420" w:firstLineChars="200"/>
        <w:jc w:val="left"/>
        <w:rPr>
          <w:rFonts w:ascii="宋体" w:hAnsi="宋体" w:hint="eastAsia"/>
          <w:szCs w:val="21"/>
        </w:rPr>
      </w:pPr>
      <w:r w:rsidRPr="00203EFD">
        <w:rPr>
          <w:rFonts w:hint="eastAsia"/>
          <w:szCs w:val="21"/>
        </w:rPr>
        <w:t>原则1和原则2重要针对编写包含合格评估对象的规定规定的规范性文献（更多信息在第5章中）；原则3重要针对编写包含建立和实行合格评估制度用规定规定的单独的规范性文献。然而，</w:t>
      </w:r>
      <w:r w:rsidRPr="00203EFD">
        <w:rPr>
          <w:rFonts w:ascii="宋体" w:hAnsi="宋体" w:hint="eastAsia"/>
          <w:szCs w:val="21"/>
        </w:rPr>
        <w:t>功能法可以帮助与合格评估对象特性有关的规范性文献的制定者，预先考虑并规定可用于后续合格评估活动的规定。</w:t>
      </w:r>
    </w:p>
    <w:p w:rsidR="00A143EA" w:rsidRPr="00203EFD" w:rsidP="00941611">
      <w:pPr>
        <w:autoSpaceDE w:val="0"/>
        <w:autoSpaceDN w:val="0"/>
        <w:adjustRightInd w:val="0"/>
        <w:spacing w:line="420" w:lineRule="auto"/>
        <w:jc w:val="left"/>
        <w:rPr>
          <w:rFonts w:ascii="Arial,Bold" w:hAnsi="Arial,Bold" w:cs="Arial,Bold" w:hint="eastAsia"/>
          <w:b/>
          <w:bCs/>
          <w:kern w:val="0"/>
          <w:szCs w:val="21"/>
        </w:rPr>
        <w:sectPr w:rsidSect="00EB5251">
          <w:type w:val="nextPage"/>
          <w:pgSz w:w="11906" w:h="16838"/>
          <w:pgMar w:top="1246" w:right="1286" w:bottom="1402" w:left="1260" w:header="851" w:footer="992" w:gutter="0"/>
          <w:pgNumType w:start="2"/>
          <w:cols w:space="425"/>
          <w:titlePg w:val="0"/>
          <w:docGrid w:type="lines" w:linePitch="312"/>
        </w:sectPr>
      </w:pPr>
      <w:r w:rsidRPr="00203EFD">
        <w:rPr>
          <w:rFonts w:ascii="Arial,Bold" w:hAnsi="Arial,Bold" w:cs="Arial,Bold"/>
          <w:b/>
          <w:bCs/>
          <w:kern w:val="0"/>
          <w:szCs w:val="21"/>
        </w:rPr>
        <w:t xml:space="preserve">4.2 </w:t>
      </w:r>
      <w:r w:rsidR="00941611">
        <w:rPr>
          <w:rFonts w:ascii="Arial,Bold" w:hAnsi="Arial,Bold" w:cs="Arial,Bold" w:hint="eastAsia"/>
          <w:b/>
          <w:bCs/>
          <w:kern w:val="0"/>
          <w:szCs w:val="21"/>
        </w:rPr>
        <w:t xml:space="preserve"> </w:t>
      </w:r>
      <w:r w:rsidRPr="00203EFD">
        <w:rPr>
          <w:rFonts w:hint="eastAsia"/>
          <w:b/>
          <w:szCs w:val="21"/>
        </w:rPr>
        <w:t>原则1：</w:t>
      </w:r>
      <w:r w:rsidRPr="00203EFD">
        <w:rPr>
          <w:rFonts w:ascii="宋体" w:hAnsi="宋体" w:hint="eastAsia"/>
          <w:b/>
          <w:szCs w:val="21"/>
        </w:rPr>
        <w:t>合格评估对象的规定</w:t>
      </w:r>
      <w:r w:rsidRPr="00203EFD">
        <w:rPr>
          <w:rFonts w:ascii="宋体" w:hAnsi="宋体"/>
          <w:b/>
          <w:szCs w:val="21"/>
        </w:rPr>
        <w:t>规定与合格评估</w:t>
      </w:r>
      <w:r w:rsidRPr="00203EFD">
        <w:rPr>
          <w:rFonts w:ascii="宋体" w:hAnsi="宋体" w:hint="eastAsia"/>
          <w:b/>
          <w:szCs w:val="21"/>
        </w:rPr>
        <w:t>活动的规定规定</w:t>
      </w:r>
      <w:r w:rsidRPr="00203EFD">
        <w:rPr>
          <w:rFonts w:ascii="宋体" w:hAnsi="宋体"/>
          <w:b/>
          <w:szCs w:val="21"/>
        </w:rPr>
        <w:t>相分离</w:t>
      </w:r>
    </w:p>
    <w:p w:rsidR="00A143EA" w:rsidRPr="00203EFD" w:rsidP="00A143EA">
      <w:pPr>
        <w:autoSpaceDE w:val="0"/>
        <w:autoSpaceDN w:val="0"/>
        <w:adjustRightInd w:val="0"/>
        <w:spacing w:line="420" w:lineRule="auto"/>
        <w:ind w:firstLine="420" w:firstLineChars="200"/>
        <w:jc w:val="left"/>
        <w:rPr>
          <w:rFonts w:ascii="宋体" w:hAnsi="宋体" w:hint="eastAsia"/>
          <w:szCs w:val="21"/>
        </w:rPr>
      </w:pPr>
      <w:r w:rsidRPr="00203EFD">
        <w:rPr>
          <w:rFonts w:ascii="宋体" w:hAnsi="宋体" w:hint="eastAsia"/>
          <w:szCs w:val="21"/>
        </w:rPr>
        <w:t>涉及合格评估对象规定规定（也就是合格评估对象的特性）的规范性文献，除了与规定特性有关的抽样和检测方法之外，不宜涉及与合格评估活动有关的规定。规定合格评估活动规定的规范性文献宜单独制定。</w:t>
      </w:r>
    </w:p>
    <w:p w:rsidR="00A143EA" w:rsidRPr="00203EFD" w:rsidP="00A143EA">
      <w:pPr>
        <w:autoSpaceDE w:val="0"/>
        <w:autoSpaceDN w:val="0"/>
        <w:adjustRightInd w:val="0"/>
        <w:spacing w:line="420" w:lineRule="auto"/>
        <w:ind w:firstLine="420" w:firstLineChars="200"/>
        <w:jc w:val="left"/>
        <w:rPr>
          <w:rFonts w:ascii="Arial" w:hAnsi="Arial" w:cs="Arial" w:hint="eastAsia"/>
          <w:color w:val="0000FF"/>
          <w:kern w:val="0"/>
          <w:szCs w:val="21"/>
        </w:rPr>
      </w:pPr>
      <w:r w:rsidRPr="00203EFD">
        <w:rPr>
          <w:rFonts w:ascii="宋体" w:hAnsi="宋体" w:hint="eastAsia"/>
          <w:szCs w:val="21"/>
        </w:rPr>
        <w:t>在合格评估对象的规范性文献中不宜有以下方面的规定或者建议，如：</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rFonts w:ascii="宋体" w:hAnsi="宋体" w:hint="eastAsia"/>
          <w:szCs w:val="21"/>
        </w:rPr>
        <w:t>----拟采用的特定合格评估制度或方案；</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rFonts w:ascii="宋体" w:hAnsi="宋体" w:hint="eastAsia"/>
          <w:szCs w:val="21"/>
        </w:rPr>
        <w:t>----</w:t>
      </w:r>
      <w:r w:rsidRPr="00203EFD">
        <w:rPr>
          <w:rFonts w:ascii="宋体" w:hAnsi="宋体" w:cs="宋体" w:hint="eastAsia"/>
          <w:szCs w:val="21"/>
        </w:rPr>
        <w:t>谁宜</w:t>
      </w:r>
      <w:r w:rsidRPr="00203EFD">
        <w:rPr>
          <w:rFonts w:ascii="宋体" w:hAnsi="宋体" w:hint="eastAsia"/>
          <w:szCs w:val="21"/>
        </w:rPr>
        <w:t>承担</w:t>
      </w:r>
      <w:r w:rsidRPr="00203EFD">
        <w:rPr>
          <w:rFonts w:ascii="宋体" w:hAnsi="宋体" w:cs="宋体" w:hint="eastAsia"/>
          <w:szCs w:val="21"/>
        </w:rPr>
        <w:t>合格评估活动，如第一方、第二方、第三方</w:t>
      </w:r>
      <w:r w:rsidRPr="00203EFD">
        <w:rPr>
          <w:rFonts w:ascii="宋体" w:hAnsi="宋体" w:hint="eastAsia"/>
          <w:szCs w:val="21"/>
        </w:rPr>
        <w:t>；</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rFonts w:ascii="宋体" w:hAnsi="宋体" w:hint="eastAsia"/>
          <w:szCs w:val="21"/>
        </w:rPr>
        <w:t>----相关的合格评估机构的类型（例如，检测实验室，检查机构）；或</w:t>
      </w:r>
    </w:p>
    <w:p w:rsidR="00A143EA" w:rsidRPr="00203EFD" w:rsidP="00A143EA">
      <w:pPr>
        <w:autoSpaceDE w:val="0"/>
        <w:autoSpaceDN w:val="0"/>
        <w:adjustRightInd w:val="0"/>
        <w:spacing w:line="420" w:lineRule="auto"/>
        <w:ind w:firstLine="420" w:firstLineChars="200"/>
        <w:jc w:val="left"/>
        <w:rPr>
          <w:rFonts w:ascii="宋体" w:hAnsi="宋体" w:hint="eastAsia"/>
          <w:szCs w:val="21"/>
        </w:rPr>
      </w:pPr>
      <w:r w:rsidRPr="00203EFD">
        <w:rPr>
          <w:rFonts w:ascii="宋体" w:hAnsi="宋体" w:hint="eastAsia"/>
          <w:szCs w:val="21"/>
        </w:rPr>
        <w:t>----特定的符合性标记，例如符合性标志。</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rFonts w:ascii="宋体" w:hAnsi="宋体" w:hint="eastAsia"/>
          <w:szCs w:val="21"/>
        </w:rPr>
        <w:t>分开编写合格评估对象的规定规定</w:t>
      </w:r>
      <w:r w:rsidRPr="00203EFD">
        <w:rPr>
          <w:rFonts w:ascii="宋体" w:hAnsi="宋体"/>
          <w:szCs w:val="21"/>
        </w:rPr>
        <w:t>和合格评估</w:t>
      </w:r>
      <w:r w:rsidRPr="00203EFD">
        <w:rPr>
          <w:rFonts w:ascii="宋体" w:hAnsi="宋体" w:hint="eastAsia"/>
          <w:szCs w:val="21"/>
        </w:rPr>
        <w:t>活动相关的规定规定，有如下益处：</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rFonts w:ascii="宋体" w:hAnsi="宋体" w:hint="eastAsia"/>
          <w:szCs w:val="21"/>
        </w:rPr>
        <w:t>a)</w:t>
      </w:r>
      <w:r w:rsidRPr="00203EFD">
        <w:rPr>
          <w:rFonts w:ascii="宋体" w:hAnsi="宋体"/>
          <w:szCs w:val="21"/>
        </w:rPr>
        <w:t xml:space="preserve"> 在</w:t>
      </w:r>
      <w:r w:rsidRPr="00203EFD">
        <w:rPr>
          <w:rFonts w:ascii="宋体" w:hAnsi="宋体" w:hint="eastAsia"/>
          <w:szCs w:val="21"/>
        </w:rPr>
        <w:t>合用范围内更</w:t>
      </w:r>
      <w:r w:rsidRPr="00203EFD">
        <w:rPr>
          <w:rFonts w:ascii="宋体" w:hAnsi="宋体"/>
          <w:szCs w:val="21"/>
        </w:rPr>
        <w:t>严谨</w:t>
      </w:r>
      <w:r w:rsidRPr="00203EFD">
        <w:rPr>
          <w:rFonts w:ascii="宋体" w:hAnsi="宋体" w:hint="eastAsia"/>
          <w:szCs w:val="21"/>
        </w:rPr>
        <w:t>地考虑对象的特性</w:t>
      </w:r>
      <w:r w:rsidRPr="00203EFD">
        <w:rPr>
          <w:rFonts w:ascii="宋体" w:hAnsi="宋体"/>
          <w:szCs w:val="21"/>
        </w:rPr>
        <w:t>和合格评估</w:t>
      </w:r>
      <w:r w:rsidRPr="00203EFD">
        <w:rPr>
          <w:rFonts w:ascii="宋体" w:hAnsi="宋体" w:hint="eastAsia"/>
          <w:szCs w:val="21"/>
        </w:rPr>
        <w:t>方面</w:t>
      </w:r>
      <w:r w:rsidRPr="00203EFD">
        <w:rPr>
          <w:rFonts w:ascii="宋体" w:hAnsi="宋体"/>
          <w:szCs w:val="21"/>
        </w:rPr>
        <w:t>；</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rFonts w:ascii="宋体" w:hAnsi="宋体" w:hint="eastAsia"/>
          <w:szCs w:val="21"/>
        </w:rPr>
        <w:t>b)</w:t>
      </w:r>
      <w:r w:rsidRPr="00203EFD">
        <w:rPr>
          <w:rFonts w:ascii="宋体" w:hAnsi="宋体"/>
          <w:szCs w:val="21"/>
        </w:rPr>
        <w:t>不从事合格评估的</w:t>
      </w:r>
      <w:r w:rsidRPr="00203EFD">
        <w:rPr>
          <w:rFonts w:ascii="宋体" w:hAnsi="宋体" w:hint="eastAsia"/>
          <w:szCs w:val="21"/>
        </w:rPr>
        <w:t>各利益方可以</w:t>
      </w:r>
      <w:r w:rsidRPr="00203EFD">
        <w:rPr>
          <w:rFonts w:ascii="宋体" w:hAnsi="宋体"/>
          <w:szCs w:val="21"/>
        </w:rPr>
        <w:t>更广泛的</w:t>
      </w:r>
      <w:r w:rsidRPr="00203EFD">
        <w:rPr>
          <w:rFonts w:ascii="宋体" w:hAnsi="宋体" w:hint="eastAsia"/>
          <w:szCs w:val="21"/>
        </w:rPr>
        <w:t>使用对象的规范性文献</w:t>
      </w:r>
      <w:r w:rsidRPr="00203EFD">
        <w:rPr>
          <w:rFonts w:ascii="宋体" w:hAnsi="宋体"/>
          <w:szCs w:val="21"/>
        </w:rPr>
        <w:t>；</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rFonts w:ascii="宋体" w:hAnsi="宋体" w:hint="eastAsia"/>
          <w:szCs w:val="21"/>
        </w:rPr>
        <w:t>c)对象的规定特性</w:t>
      </w:r>
      <w:r w:rsidRPr="00203EFD">
        <w:rPr>
          <w:rFonts w:ascii="宋体" w:hAnsi="宋体"/>
          <w:szCs w:val="21"/>
        </w:rPr>
        <w:t>和/或合格评估规定更容易被</w:t>
      </w:r>
      <w:r w:rsidRPr="00203EFD">
        <w:rPr>
          <w:rFonts w:ascii="宋体" w:hAnsi="宋体" w:hint="eastAsia"/>
          <w:szCs w:val="21"/>
        </w:rPr>
        <w:t>权力机构</w:t>
      </w:r>
      <w:r w:rsidRPr="00203EFD">
        <w:rPr>
          <w:rFonts w:ascii="宋体" w:hAnsi="宋体"/>
          <w:szCs w:val="21"/>
        </w:rPr>
        <w:t>引用</w:t>
      </w:r>
      <w:r w:rsidRPr="00203EFD">
        <w:rPr>
          <w:rFonts w:ascii="宋体" w:hAnsi="宋体" w:hint="eastAsia"/>
          <w:szCs w:val="21"/>
        </w:rPr>
        <w:t>，</w:t>
      </w:r>
      <w:r w:rsidRPr="00203EFD">
        <w:rPr>
          <w:rFonts w:ascii="宋体" w:hAnsi="宋体"/>
          <w:szCs w:val="21"/>
        </w:rPr>
        <w:t>如</w:t>
      </w:r>
      <w:r w:rsidRPr="00203EFD">
        <w:rPr>
          <w:rFonts w:ascii="宋体" w:hAnsi="宋体" w:hint="eastAsia"/>
          <w:szCs w:val="21"/>
        </w:rPr>
        <w:t>监管</w:t>
      </w:r>
      <w:r w:rsidRPr="00203EFD">
        <w:rPr>
          <w:rFonts w:ascii="宋体" w:hAnsi="宋体"/>
          <w:szCs w:val="21"/>
        </w:rPr>
        <w:t>机构</w:t>
      </w:r>
      <w:r w:rsidRPr="00203EFD">
        <w:rPr>
          <w:rFonts w:ascii="宋体" w:hAnsi="宋体" w:hint="eastAsia"/>
          <w:szCs w:val="21"/>
        </w:rPr>
        <w:t>。</w:t>
      </w:r>
    </w:p>
    <w:p w:rsidR="00A143EA" w:rsidRPr="00203EFD" w:rsidP="00941611">
      <w:pPr>
        <w:autoSpaceDE w:val="0"/>
        <w:autoSpaceDN w:val="0"/>
        <w:adjustRightInd w:val="0"/>
        <w:spacing w:line="420" w:lineRule="auto"/>
        <w:jc w:val="left"/>
        <w:rPr>
          <w:rFonts w:ascii="Arial,Bold" w:hAnsi="Arial,Bold" w:cs="Arial,Bold" w:hint="eastAsia"/>
          <w:b/>
          <w:bCs/>
          <w:kern w:val="0"/>
          <w:szCs w:val="21"/>
        </w:rPr>
      </w:pPr>
      <w:r w:rsidRPr="00203EFD">
        <w:rPr>
          <w:rFonts w:ascii="Arial,Bold" w:hAnsi="Arial,Bold" w:cs="Arial,Bold"/>
          <w:b/>
          <w:bCs/>
          <w:kern w:val="0"/>
          <w:szCs w:val="21"/>
        </w:rPr>
        <w:t xml:space="preserve">4.3 </w:t>
      </w:r>
      <w:r w:rsidR="00941611">
        <w:rPr>
          <w:rFonts w:ascii="Arial,Bold" w:hAnsi="Arial,Bold" w:cs="Arial,Bold" w:hint="eastAsia"/>
          <w:b/>
          <w:bCs/>
          <w:kern w:val="0"/>
          <w:szCs w:val="21"/>
        </w:rPr>
        <w:t xml:space="preserve"> </w:t>
      </w:r>
      <w:r w:rsidRPr="00203EFD">
        <w:rPr>
          <w:rFonts w:hint="eastAsia"/>
          <w:b/>
          <w:szCs w:val="21"/>
        </w:rPr>
        <w:t>原则2：有助于各方</w:t>
      </w:r>
      <w:r w:rsidRPr="00203EFD">
        <w:rPr>
          <w:rFonts w:ascii="宋体" w:hAnsi="宋体" w:hint="eastAsia"/>
          <w:b/>
          <w:szCs w:val="21"/>
        </w:rPr>
        <w:t>实行</w:t>
      </w:r>
      <w:r w:rsidRPr="00203EFD">
        <w:rPr>
          <w:rFonts w:ascii="宋体" w:hAnsi="宋体"/>
          <w:b/>
          <w:szCs w:val="21"/>
        </w:rPr>
        <w:t>合格评估活动的</w:t>
      </w:r>
      <w:r w:rsidRPr="00203EFD">
        <w:rPr>
          <w:rFonts w:ascii="宋体" w:hAnsi="宋体" w:hint="eastAsia"/>
          <w:b/>
          <w:szCs w:val="21"/>
        </w:rPr>
        <w:t>中立</w:t>
      </w:r>
      <w:r w:rsidRPr="00203EFD">
        <w:rPr>
          <w:rFonts w:ascii="宋体" w:hAnsi="宋体"/>
          <w:b/>
          <w:szCs w:val="21"/>
        </w:rPr>
        <w:t>性</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rFonts w:ascii="宋体" w:hAnsi="宋体" w:hint="eastAsia"/>
          <w:szCs w:val="21"/>
        </w:rPr>
        <w:t>应编写合格评估对象的规范性文献，以便对象的符合性规范可以被任何相关方评估，相关方可以是：</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rFonts w:ascii="宋体" w:hAnsi="宋体" w:hint="eastAsia"/>
          <w:szCs w:val="21"/>
        </w:rPr>
        <w:t>----对象的制造商</w:t>
      </w:r>
      <w:r w:rsidRPr="00203EFD">
        <w:rPr>
          <w:rFonts w:ascii="宋体" w:hAnsi="宋体"/>
          <w:szCs w:val="21"/>
        </w:rPr>
        <w:t>或供</w:t>
      </w:r>
      <w:r w:rsidRPr="00203EFD">
        <w:rPr>
          <w:rFonts w:ascii="宋体" w:hAnsi="宋体" w:hint="eastAsia"/>
          <w:szCs w:val="21"/>
        </w:rPr>
        <w:t>方</w:t>
      </w:r>
      <w:r w:rsidRPr="00203EFD">
        <w:rPr>
          <w:rFonts w:ascii="宋体" w:hAnsi="宋体"/>
          <w:szCs w:val="21"/>
        </w:rPr>
        <w:t>（第一方）</w:t>
      </w:r>
      <w:r w:rsidRPr="00203EFD">
        <w:rPr>
          <w:rFonts w:ascii="宋体" w:hAnsi="宋体" w:hint="eastAsia"/>
          <w:szCs w:val="21"/>
        </w:rPr>
        <w:t>；</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rFonts w:ascii="宋体" w:hAnsi="宋体" w:hint="eastAsia"/>
          <w:szCs w:val="21"/>
        </w:rPr>
        <w:t>----对象的使用者或采购方（第二方）；</w:t>
      </w:r>
    </w:p>
    <w:p w:rsidR="00A143EA" w:rsidRPr="00203EFD" w:rsidP="00A143EA">
      <w:pPr>
        <w:autoSpaceDE w:val="0"/>
        <w:autoSpaceDN w:val="0"/>
        <w:adjustRightInd w:val="0"/>
        <w:spacing w:line="420" w:lineRule="auto"/>
        <w:ind w:firstLine="420" w:firstLineChars="200"/>
        <w:jc w:val="left"/>
        <w:rPr>
          <w:rFonts w:ascii="Arial" w:hAnsi="Arial" w:cs="Arial" w:hint="eastAsia"/>
          <w:kern w:val="0"/>
          <w:szCs w:val="21"/>
        </w:rPr>
      </w:pPr>
      <w:r w:rsidRPr="00203EFD">
        <w:rPr>
          <w:rFonts w:ascii="宋体" w:hAnsi="宋体" w:hint="eastAsia"/>
          <w:szCs w:val="21"/>
        </w:rPr>
        <w:t>----独立机构（第三方）。</w:t>
      </w:r>
    </w:p>
    <w:p w:rsidR="00A143EA" w:rsidRPr="00FE6BD6" w:rsidP="00A143EA">
      <w:pPr>
        <w:autoSpaceDE w:val="0"/>
        <w:autoSpaceDN w:val="0"/>
        <w:adjustRightInd w:val="0"/>
        <w:spacing w:line="420" w:lineRule="auto"/>
        <w:rPr>
          <w:rFonts w:ascii="宋体" w:hAnsi="宋体" w:hint="eastAsia"/>
          <w:sz w:val="15"/>
          <w:szCs w:val="15"/>
        </w:rPr>
      </w:pPr>
      <w:r w:rsidRPr="00FE6BD6">
        <w:rPr>
          <w:rFonts w:ascii="宋体" w:hAnsi="宋体" w:hint="eastAsia"/>
          <w:sz w:val="15"/>
          <w:szCs w:val="15"/>
        </w:rPr>
        <w:t>注：</w:t>
      </w:r>
      <w:r w:rsidRPr="00FE6BD6">
        <w:rPr>
          <w:rFonts w:ascii="宋体" w:hAnsi="宋体" w:cs="Arial" w:hint="eastAsia"/>
          <w:sz w:val="15"/>
          <w:szCs w:val="15"/>
        </w:rPr>
        <w:t>包含</w:t>
      </w:r>
      <w:r w:rsidRPr="00FE6BD6">
        <w:rPr>
          <w:rFonts w:ascii="宋体" w:hAnsi="宋体" w:hint="eastAsia"/>
          <w:sz w:val="15"/>
          <w:szCs w:val="15"/>
        </w:rPr>
        <w:t>合格评估对象规范规定的规范性文献的使用者可以选择可接受的相关方，其示例涉及：</w:t>
      </w:r>
    </w:p>
    <w:p w:rsidR="00A143EA" w:rsidRPr="00FE6BD6" w:rsidP="00FE6BD6">
      <w:pPr>
        <w:spacing w:line="420" w:lineRule="auto"/>
        <w:ind w:firstLine="300" w:firstLineChars="200"/>
        <w:rPr>
          <w:rFonts w:ascii="宋体" w:hAnsi="宋体" w:hint="eastAsia"/>
          <w:sz w:val="15"/>
          <w:szCs w:val="15"/>
        </w:rPr>
      </w:pPr>
      <w:r w:rsidRPr="00FE6BD6">
        <w:rPr>
          <w:rFonts w:ascii="宋体" w:hAnsi="宋体" w:hint="eastAsia"/>
          <w:sz w:val="15"/>
          <w:szCs w:val="15"/>
        </w:rPr>
        <w:t>——</w:t>
      </w:r>
      <w:r w:rsidRPr="00FE6BD6">
        <w:rPr>
          <w:rFonts w:ascii="宋体" w:hAnsi="宋体" w:hint="eastAsia"/>
          <w:sz w:val="15"/>
          <w:szCs w:val="15"/>
        </w:rPr>
        <w:t>监管</w:t>
      </w:r>
      <w:r w:rsidRPr="00FE6BD6">
        <w:rPr>
          <w:rFonts w:ascii="宋体" w:hAnsi="宋体"/>
          <w:sz w:val="15"/>
          <w:szCs w:val="15"/>
        </w:rPr>
        <w:t>机构</w:t>
      </w:r>
      <w:r w:rsidRPr="00FE6BD6">
        <w:rPr>
          <w:rFonts w:ascii="宋体" w:hAnsi="宋体" w:hint="eastAsia"/>
          <w:sz w:val="15"/>
          <w:szCs w:val="15"/>
        </w:rPr>
        <w:t>对第一方供方符合性声明（SDoC）的使用进行监管；</w:t>
      </w:r>
    </w:p>
    <w:p w:rsidR="00A143EA" w:rsidRPr="00FE6BD6" w:rsidP="00FE6BD6">
      <w:pPr>
        <w:spacing w:line="420" w:lineRule="auto"/>
        <w:ind w:firstLine="300" w:firstLineChars="200"/>
        <w:rPr>
          <w:rFonts w:ascii="宋体" w:hAnsi="宋体" w:hint="eastAsia"/>
          <w:sz w:val="15"/>
          <w:szCs w:val="15"/>
        </w:rPr>
      </w:pPr>
      <w:r w:rsidRPr="00FE6BD6">
        <w:rPr>
          <w:rFonts w:ascii="宋体" w:hAnsi="宋体" w:hint="eastAsia"/>
          <w:sz w:val="15"/>
          <w:szCs w:val="15"/>
        </w:rPr>
        <w:t>——</w:t>
      </w:r>
      <w:r w:rsidRPr="000B4B5D">
        <w:rPr>
          <w:rFonts w:ascii="宋体" w:hAnsi="宋体" w:hint="eastAsia"/>
          <w:sz w:val="15"/>
          <w:szCs w:val="15"/>
        </w:rPr>
        <w:t>采购方</w:t>
      </w:r>
      <w:r w:rsidRPr="00FE6BD6">
        <w:rPr>
          <w:rFonts w:ascii="宋体" w:hAnsi="宋体" w:hint="eastAsia"/>
          <w:sz w:val="15"/>
          <w:szCs w:val="15"/>
        </w:rPr>
        <w:t>规定特定的接受准则并在他们自己的实验室对其采购商品进行测试（第二方）；</w:t>
      </w:r>
    </w:p>
    <w:p w:rsidR="00A143EA" w:rsidRPr="00FE6BD6" w:rsidP="00FE6BD6">
      <w:pPr>
        <w:spacing w:line="420" w:lineRule="auto"/>
        <w:ind w:firstLine="300" w:firstLineChars="200"/>
        <w:rPr>
          <w:rFonts w:ascii="宋体" w:hAnsi="宋体" w:hint="eastAsia"/>
          <w:sz w:val="15"/>
          <w:szCs w:val="15"/>
        </w:rPr>
      </w:pPr>
      <w:r w:rsidRPr="00FE6BD6">
        <w:rPr>
          <w:rFonts w:ascii="宋体" w:hAnsi="宋体" w:hint="eastAsia"/>
          <w:sz w:val="15"/>
          <w:szCs w:val="15"/>
        </w:rPr>
        <w:t>——</w:t>
      </w:r>
      <w:r w:rsidRPr="00FE6BD6">
        <w:rPr>
          <w:rFonts w:ascii="宋体" w:hAnsi="宋体" w:hint="eastAsia"/>
          <w:sz w:val="15"/>
          <w:szCs w:val="15"/>
        </w:rPr>
        <w:t>监管</w:t>
      </w:r>
      <w:r w:rsidRPr="00FE6BD6">
        <w:rPr>
          <w:rFonts w:ascii="宋体" w:hAnsi="宋体"/>
          <w:sz w:val="15"/>
          <w:szCs w:val="15"/>
        </w:rPr>
        <w:t>机构</w:t>
      </w:r>
      <w:r w:rsidRPr="00FE6BD6">
        <w:rPr>
          <w:rFonts w:ascii="宋体" w:hAnsi="宋体" w:hint="eastAsia"/>
          <w:sz w:val="15"/>
          <w:szCs w:val="15"/>
        </w:rPr>
        <w:t>规定产品在进入市场之前，必须通过认可的独立机构（第三方）的产品认证；</w:t>
      </w:r>
    </w:p>
    <w:p w:rsidR="00A143EA" w:rsidRPr="00FE6BD6" w:rsidP="00FE6BD6">
      <w:pPr>
        <w:autoSpaceDE w:val="0"/>
        <w:autoSpaceDN w:val="0"/>
        <w:adjustRightInd w:val="0"/>
        <w:spacing w:line="420" w:lineRule="auto"/>
        <w:ind w:firstLine="300" w:firstLineChars="200"/>
        <w:jc w:val="left"/>
        <w:rPr>
          <w:rFonts w:ascii="宋体" w:hAnsi="宋体" w:hint="eastAsia"/>
          <w:sz w:val="15"/>
          <w:szCs w:val="15"/>
        </w:rPr>
      </w:pPr>
      <w:r w:rsidRPr="00FE6BD6">
        <w:rPr>
          <w:rFonts w:ascii="宋体" w:hAnsi="宋体" w:hint="eastAsia"/>
          <w:sz w:val="15"/>
          <w:szCs w:val="15"/>
        </w:rPr>
        <w:t>——</w:t>
      </w:r>
      <w:r w:rsidRPr="00FE6BD6">
        <w:rPr>
          <w:rFonts w:ascii="宋体" w:hAnsi="宋体" w:hint="eastAsia"/>
          <w:sz w:val="15"/>
          <w:szCs w:val="15"/>
        </w:rPr>
        <w:t>采购方或监管</w:t>
      </w:r>
      <w:r w:rsidRPr="00FE6BD6">
        <w:rPr>
          <w:rFonts w:ascii="宋体" w:hAnsi="宋体"/>
          <w:sz w:val="15"/>
          <w:szCs w:val="15"/>
        </w:rPr>
        <w:t>机构</w:t>
      </w:r>
      <w:r w:rsidRPr="00FE6BD6">
        <w:rPr>
          <w:rFonts w:ascii="宋体" w:hAnsi="宋体" w:hint="eastAsia"/>
          <w:sz w:val="15"/>
          <w:szCs w:val="15"/>
        </w:rPr>
        <w:t>规定对供方的质量管理体系进行认证作为提供商品或服务的先决条件。</w:t>
      </w:r>
    </w:p>
    <w:p w:rsidR="00A143EA" w:rsidRPr="00203EFD" w:rsidP="00941611">
      <w:pPr>
        <w:autoSpaceDE w:val="0"/>
        <w:autoSpaceDN w:val="0"/>
        <w:adjustRightInd w:val="0"/>
        <w:spacing w:line="420" w:lineRule="auto"/>
        <w:jc w:val="left"/>
        <w:rPr>
          <w:rFonts w:ascii="Arial,Bold" w:hAnsi="Arial,Bold" w:cs="Arial,Bold" w:hint="eastAsia"/>
          <w:b/>
          <w:bCs/>
          <w:kern w:val="0"/>
          <w:szCs w:val="21"/>
        </w:rPr>
      </w:pPr>
      <w:r w:rsidRPr="00203EFD">
        <w:rPr>
          <w:rFonts w:ascii="Arial,Bold" w:hAnsi="Arial,Bold" w:cs="Arial,Bold"/>
          <w:b/>
          <w:bCs/>
          <w:kern w:val="0"/>
          <w:szCs w:val="21"/>
        </w:rPr>
        <w:t>4.4</w:t>
      </w:r>
      <w:r w:rsidR="00941611">
        <w:rPr>
          <w:rFonts w:ascii="Arial,Bold" w:hAnsi="Arial,Bold" w:cs="Arial,Bold" w:hint="eastAsia"/>
          <w:b/>
          <w:bCs/>
          <w:kern w:val="0"/>
          <w:szCs w:val="21"/>
        </w:rPr>
        <w:t xml:space="preserve">  </w:t>
      </w:r>
      <w:r w:rsidRPr="00203EFD">
        <w:rPr>
          <w:rFonts w:hint="eastAsia"/>
          <w:b/>
          <w:szCs w:val="21"/>
        </w:rPr>
        <w:t>原则3：</w:t>
      </w:r>
      <w:r w:rsidRPr="00203EFD">
        <w:rPr>
          <w:rFonts w:ascii="宋体" w:hAnsi="宋体" w:hint="eastAsia"/>
          <w:b/>
          <w:szCs w:val="21"/>
        </w:rPr>
        <w:t>合格评估功能法</w:t>
      </w:r>
    </w:p>
    <w:p w:rsidR="00A143EA" w:rsidRPr="00203EFD" w:rsidP="00A143EA">
      <w:pPr>
        <w:spacing w:line="420" w:lineRule="auto"/>
        <w:ind w:firstLine="420" w:firstLineChars="200"/>
        <w:rPr>
          <w:rFonts w:hint="eastAsia"/>
          <w:szCs w:val="21"/>
        </w:rPr>
      </w:pPr>
      <w:r w:rsidRPr="00203EFD">
        <w:rPr>
          <w:rFonts w:hint="eastAsia"/>
          <w:szCs w:val="21"/>
        </w:rPr>
        <w:t>关于原则3的更多信息在第6章中提供。</w:t>
      </w:r>
    </w:p>
    <w:p w:rsidR="00A143EA" w:rsidRPr="00203EFD" w:rsidP="00A143EA">
      <w:pPr>
        <w:spacing w:line="420" w:lineRule="auto"/>
        <w:ind w:firstLine="420" w:firstLineChars="200"/>
        <w:rPr>
          <w:rFonts w:hint="eastAsia"/>
          <w:szCs w:val="21"/>
        </w:rPr>
      </w:pPr>
      <w:r w:rsidRPr="00203EFD">
        <w:rPr>
          <w:rFonts w:hint="eastAsia"/>
          <w:szCs w:val="21"/>
        </w:rPr>
        <w:t>根据原则3，规定合格评估活动的规范性文献应考虑</w:t>
      </w:r>
      <w:r w:rsidRPr="00203EFD">
        <w:rPr>
          <w:rFonts w:hint="eastAsia"/>
          <w:szCs w:val="21"/>
        </w:rPr>
        <w:t>“</w:t>
      </w:r>
      <w:r w:rsidRPr="00203EFD">
        <w:rPr>
          <w:rFonts w:hint="eastAsia"/>
          <w:szCs w:val="21"/>
        </w:rPr>
        <w:t>合格评估功能法</w:t>
      </w:r>
      <w:r w:rsidRPr="00203EFD">
        <w:rPr>
          <w:rFonts w:hint="eastAsia"/>
          <w:szCs w:val="21"/>
        </w:rPr>
        <w:t>”</w:t>
      </w:r>
      <w:r w:rsidRPr="00203EFD">
        <w:rPr>
          <w:rFonts w:hint="eastAsia"/>
          <w:szCs w:val="21"/>
        </w:rPr>
        <w:t>，由下述功能组成：</w:t>
      </w:r>
    </w:p>
    <w:p w:rsidR="00A143EA" w:rsidRPr="00203EFD" w:rsidP="00A143EA">
      <w:pPr>
        <w:spacing w:line="420" w:lineRule="auto"/>
        <w:ind w:firstLine="420" w:firstLineChars="200"/>
        <w:rPr>
          <w:rFonts w:hint="eastAsia"/>
          <w:szCs w:val="21"/>
        </w:rPr>
      </w:pPr>
      <w:r w:rsidRPr="00203EFD">
        <w:rPr>
          <w:rFonts w:hint="eastAsia"/>
          <w:szCs w:val="21"/>
        </w:rPr>
        <w:t>----选取；</w:t>
      </w:r>
      <w:r w:rsidRPr="00203EFD">
        <w:rPr>
          <w:rFonts w:hint="eastAsia"/>
          <w:szCs w:val="21"/>
        </w:rPr>
        <w:br/>
      </w:r>
      <w:r w:rsidRPr="00203EFD">
        <w:rPr>
          <w:rFonts w:hint="eastAsia"/>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https://d.book118.com/995343120234011042</w:t>
        </w:r>
      </w:hyperlink>
    </w:p>
    <w:p w:rsidR="00A143EA" w:rsidRPr="00203EFD" w:rsidP="00A143EA">
      <w:pPr>
        <w:spacing w:line="420" w:lineRule="auto"/>
        <w:ind w:firstLine="420" w:firstLineChars="200"/>
        <w:rPr>
          <w:rFonts w:hint="eastAsia"/>
          <w:szCs w:val="21"/>
        </w:rPr>
      </w:pPr>
    </w:p>
    <w:sectPr w:rsidSect="00EB5251">
      <w:type w:val="nextPage"/>
      <w:pgSz w:w="11906" w:h="16838"/>
      <w:pgMar w:top="1246" w:right="1286" w:bottom="1402" w:left="1260" w:header="851" w:footer="992" w:gutter="0"/>
      <w:pgNumType w:start="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0030101010101"/>
    <w:charset w:val="86"/>
    <w:family w:val="auto"/>
    <w:pitch w:val="variable"/>
    <w:sig w:usb0="00000001" w:usb1="080E0000" w:usb2="00000010" w:usb3="00000000" w:csb0="00040000" w:csb1="00000000"/>
  </w:font>
  <w:font w:name="Arial,Bold">
    <w:altName w:val="Arial"/>
    <w:panose1 w:val="00000000000000000000"/>
    <w:charset w:val="00"/>
    <w:family w:val="swiss"/>
    <w:notTrueType/>
    <w:pitch w:val="default"/>
    <w:sig w:usb0="00000003" w:usb1="00000000" w:usb2="00000000" w:usb3="00000000" w:csb0="00000001" w:csb1="00000000"/>
  </w:font>
  <w:font w:name="(使用中文字体)">
    <w:altName w:val="宋体"/>
    <w:panose1 w:val="00000000000000000000"/>
    <w:charset w:val="86"/>
    <w:family w:val="roman"/>
    <w:notTrueType/>
    <w:pitch w:val="default"/>
    <w:sig w:usb0="0062E6F4" w:usb1="00000000" w:usb2="0062E9FC" w:usb3="00000001" w:csb0="007D8B9C" w:csb1="000008AF"/>
  </w:font>
  <w:font w:name="Courier New">
    <w:panose1 w:val="02070309020205020404"/>
    <w:charset w:val="00"/>
    <w:family w:val="modern"/>
    <w:pitch w:val="fixed"/>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Arial,Italic">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CAC70A7"/>
    <w:multiLevelType w:val="hybridMultilevel"/>
    <w:tmpl w:val="17E8A697"/>
    <w:lvl w:ilvl="0">
      <w:start w:val="1"/>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
    <w:nsid w:val="E7158221"/>
    <w:multiLevelType w:val="hybridMultilevel"/>
    <w:tmpl w:val="A4D41348"/>
    <w:lvl w:ilvl="0">
      <w:start w:val="1"/>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
    <w:nsid w:val="05F66969"/>
    <w:multiLevelType w:val="singleLevel"/>
    <w:tmpl w:val="4164F17C"/>
    <w:lvl w:ilvl="0">
      <w:start w:val="1"/>
      <w:numFmt w:val="lowerLetter"/>
      <w:lvlText w:val="%1)"/>
      <w:lvlJc w:val="left"/>
      <w:pPr>
        <w:tabs>
          <w:tab w:val="num" w:pos="390"/>
        </w:tabs>
        <w:ind w:left="390" w:hanging="390"/>
      </w:pPr>
      <w:rPr>
        <w:rFonts w:hint="eastAsia"/>
      </w:rPr>
    </w:lvl>
  </w:abstractNum>
  <w:abstractNum w:abstractNumId="3">
    <w:nsid w:val="066D35EC"/>
    <w:multiLevelType w:val="multilevel"/>
    <w:tmpl w:val="BD144FD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6EC4B00"/>
    <w:multiLevelType w:val="singleLevel"/>
    <w:tmpl w:val="282C9364"/>
    <w:lvl w:ilvl="0">
      <w:start w:val="1"/>
      <w:numFmt w:val="lowerLetter"/>
      <w:lvlText w:val="%1)"/>
      <w:lvlJc w:val="left"/>
      <w:pPr>
        <w:tabs>
          <w:tab w:val="num" w:pos="390"/>
        </w:tabs>
        <w:ind w:left="390" w:hanging="390"/>
      </w:pPr>
      <w:rPr>
        <w:rFonts w:hint="eastAsia"/>
      </w:rPr>
    </w:lvl>
  </w:abstractNum>
  <w:abstractNum w:abstractNumId="5">
    <w:nsid w:val="0B4A4120"/>
    <w:multiLevelType w:val="multilevel"/>
    <w:tmpl w:val="DECE3628"/>
    <w:lvl w:ilvl="0">
      <w:start w:val="0"/>
      <w:numFmt w:val="none"/>
      <w:lvlJc w:val="left"/>
      <w:pPr>
        <w:tabs>
          <w:tab w:val="num" w:pos="360"/>
        </w:tabs>
      </w:p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1"/>
      <w:numFmt w:val="decimal"/>
      <w:lvlText w:val="%3.%4.%5.%6.%7.%8.%9."/>
      <w:lvlJc w:val="left"/>
      <w:pPr>
        <w:tabs>
          <w:tab w:val="num" w:pos="3120"/>
        </w:tabs>
        <w:ind w:left="3120" w:hanging="1440"/>
      </w:pPr>
      <w:rPr>
        <w:rFonts w:hint="eastAsia"/>
      </w:rPr>
    </w:lvl>
  </w:abstractNum>
  <w:abstractNum w:abstractNumId="6">
    <w:nsid w:val="0C717A6A"/>
    <w:multiLevelType w:val="singleLevel"/>
    <w:tmpl w:val="EEB093FC"/>
    <w:lvl w:ilvl="0">
      <w:start w:val="2"/>
      <w:numFmt w:val="lowerLetter"/>
      <w:lvlJc w:val="left"/>
      <w:pPr>
        <w:tabs>
          <w:tab w:val="num" w:pos="360"/>
        </w:tabs>
        <w:ind w:left="360" w:hanging="360"/>
      </w:pPr>
      <w:rPr>
        <w:rFonts w:ascii="Wingdings" w:hAnsi="Wingdings" w:hint="default"/>
      </w:rPr>
    </w:lvl>
  </w:abstractNum>
  <w:abstractNum w:abstractNumId="7">
    <w:nsid w:val="0E923B52"/>
    <w:multiLevelType w:val="singleLevel"/>
    <w:tmpl w:val="06EAABF4"/>
    <w:lvl w:ilvl="0">
      <w:start w:val="1"/>
      <w:numFmt w:val="lowerLetter"/>
      <w:lvlText w:val="%1)"/>
      <w:lvlJc w:val="left"/>
      <w:pPr>
        <w:tabs>
          <w:tab w:val="num" w:pos="390"/>
        </w:tabs>
        <w:ind w:left="390" w:hanging="390"/>
      </w:pPr>
      <w:rPr>
        <w:rFonts w:hint="eastAsia"/>
      </w:rPr>
    </w:lvl>
  </w:abstractNum>
  <w:abstractNum w:abstractNumId="8">
    <w:nsid w:val="0F7E0B2C"/>
    <w:multiLevelType w:val="singleLevel"/>
    <w:tmpl w:val="B1EAD0FA"/>
    <w:lvl w:ilvl="0">
      <w:start w:val="1"/>
      <w:numFmt w:val="lowerLetter"/>
      <w:lvlText w:val="%1)"/>
      <w:lvlJc w:val="left"/>
      <w:pPr>
        <w:tabs>
          <w:tab w:val="num" w:pos="390"/>
        </w:tabs>
        <w:ind w:left="390" w:hanging="390"/>
      </w:pPr>
      <w:rPr>
        <w:rFonts w:hint="eastAsia"/>
      </w:rPr>
    </w:lvl>
  </w:abstractNum>
  <w:abstractNum w:abstractNumId="9">
    <w:nsid w:val="10D60A99"/>
    <w:multiLevelType w:val="multilevel"/>
    <w:tmpl w:val="6DD4CF04"/>
    <w:lvl w:ilvl="0">
      <w:start w:val="3"/>
      <w:numFmt w:val="decimal"/>
      <w:lvlText w:val="%1"/>
      <w:lvlJc w:val="left"/>
      <w:pPr>
        <w:tabs>
          <w:tab w:val="num" w:pos="645"/>
        </w:tabs>
        <w:ind w:left="645" w:hanging="645"/>
      </w:pPr>
      <w:rPr>
        <w:rFonts w:hint="eastAsia"/>
      </w:rPr>
    </w:lvl>
    <w:lvl w:ilvl="1">
      <w:start w:val="3"/>
      <w:numFmt w:val="decimal"/>
      <w:lvlText w:val="%1．%2"/>
      <w:lvlJc w:val="left"/>
      <w:pPr>
        <w:tabs>
          <w:tab w:val="num" w:pos="930"/>
        </w:tabs>
        <w:ind w:left="930" w:hanging="720"/>
      </w:pPr>
      <w:rPr>
        <w:rFonts w:hint="eastAsia"/>
      </w:rPr>
    </w:lvl>
    <w:lvl w:ilvl="2">
      <w:start w:val="1"/>
      <w:numFmt w:val="decimal"/>
      <w:lvlText w:val="%1．%2.%3"/>
      <w:lvlJc w:val="left"/>
      <w:pPr>
        <w:tabs>
          <w:tab w:val="num" w:pos="1140"/>
        </w:tabs>
        <w:ind w:left="1140" w:hanging="720"/>
      </w:pPr>
      <w:rPr>
        <w:rFonts w:hint="eastAsia"/>
      </w:rPr>
    </w:lvl>
    <w:lvl w:ilvl="3">
      <w:start w:val="1"/>
      <w:numFmt w:val="decimal"/>
      <w:lvlText w:val="%1．%2.%3.%4"/>
      <w:lvlJc w:val="left"/>
      <w:pPr>
        <w:tabs>
          <w:tab w:val="num" w:pos="1710"/>
        </w:tabs>
        <w:ind w:left="1710" w:hanging="1080"/>
      </w:pPr>
      <w:rPr>
        <w:rFonts w:hint="eastAsia"/>
      </w:rPr>
    </w:lvl>
    <w:lvl w:ilvl="4">
      <w:start w:val="1"/>
      <w:numFmt w:val="decimal"/>
      <w:lvlText w:val="%1．%2.%3.%4.%5"/>
      <w:lvlJc w:val="left"/>
      <w:pPr>
        <w:tabs>
          <w:tab w:val="num" w:pos="1920"/>
        </w:tabs>
        <w:ind w:left="1920" w:hanging="1080"/>
      </w:pPr>
      <w:rPr>
        <w:rFonts w:hint="eastAsia"/>
      </w:rPr>
    </w:lvl>
    <w:lvl w:ilvl="5">
      <w:start w:val="1"/>
      <w:numFmt w:val="decimal"/>
      <w:lvlText w:val="%1．%2.%3.%4.%5.%6"/>
      <w:lvlJc w:val="left"/>
      <w:pPr>
        <w:tabs>
          <w:tab w:val="num" w:pos="2130"/>
        </w:tabs>
        <w:ind w:left="2130" w:hanging="1080"/>
      </w:pPr>
      <w:rPr>
        <w:rFonts w:hint="eastAsia"/>
      </w:rPr>
    </w:lvl>
    <w:lvl w:ilvl="6">
      <w:start w:val="1"/>
      <w:numFmt w:val="decimal"/>
      <w:lvlText w:val="%1．%2.%3.%4.%5.%6.%7"/>
      <w:lvlJc w:val="left"/>
      <w:pPr>
        <w:tabs>
          <w:tab w:val="num" w:pos="2700"/>
        </w:tabs>
        <w:ind w:left="2700" w:hanging="1440"/>
      </w:pPr>
      <w:rPr>
        <w:rFonts w:hint="eastAsia"/>
      </w:rPr>
    </w:lvl>
    <w:lvl w:ilvl="7">
      <w:start w:val="1"/>
      <w:numFmt w:val="decimal"/>
      <w:lvlText w:val="%1．%2.%3.%4.%5.%6.%7.%8"/>
      <w:lvlJc w:val="left"/>
      <w:pPr>
        <w:tabs>
          <w:tab w:val="num" w:pos="2910"/>
        </w:tabs>
        <w:ind w:left="2910" w:hanging="1440"/>
      </w:pPr>
      <w:rPr>
        <w:rFonts w:hint="eastAsia"/>
      </w:rPr>
    </w:lvl>
    <w:lvl w:ilvl="8">
      <w:start w:val="1"/>
      <w:numFmt w:val="decimal"/>
      <w:lvlText w:val="%1．%2.%3.%4.%5.%6.%7.%8.%9"/>
      <w:lvlJc w:val="left"/>
      <w:pPr>
        <w:tabs>
          <w:tab w:val="num" w:pos="3480"/>
        </w:tabs>
        <w:ind w:left="3480" w:hanging="1800"/>
      </w:pPr>
      <w:rPr>
        <w:rFonts w:hint="eastAsia"/>
      </w:rPr>
    </w:lvl>
  </w:abstractNum>
  <w:abstractNum w:abstractNumId="10">
    <w:nsid w:val="13B2431E"/>
    <w:multiLevelType w:val="singleLevel"/>
    <w:tmpl w:val="1B12E3FE"/>
    <w:lvl w:ilvl="0">
      <w:start w:val="1"/>
      <w:numFmt w:val="lowerLetter"/>
      <w:lvlText w:val="%1)"/>
      <w:lvlJc w:val="left"/>
      <w:pPr>
        <w:tabs>
          <w:tab w:val="num" w:pos="285"/>
        </w:tabs>
        <w:ind w:left="285" w:hanging="285"/>
      </w:pPr>
      <w:rPr>
        <w:rFonts w:hint="eastAsia"/>
      </w:rPr>
    </w:lvl>
  </w:abstractNum>
  <w:abstractNum w:abstractNumId="11">
    <w:nsid w:val="14E2585D"/>
    <w:multiLevelType w:val="singleLevel"/>
    <w:tmpl w:val="7CAE90F0"/>
    <w:lvl w:ilvl="0">
      <w:start w:val="1"/>
      <w:numFmt w:val="lowerLetter"/>
      <w:lvlText w:val="%1)"/>
      <w:lvlJc w:val="left"/>
      <w:pPr>
        <w:tabs>
          <w:tab w:val="num" w:pos="390"/>
        </w:tabs>
        <w:ind w:left="390" w:hanging="390"/>
      </w:pPr>
      <w:rPr>
        <w:rFonts w:hint="eastAsia"/>
      </w:rPr>
    </w:lvl>
  </w:abstractNum>
  <w:abstractNum w:abstractNumId="12">
    <w:nsid w:val="193B213A"/>
    <w:multiLevelType w:val="singleLevel"/>
    <w:tmpl w:val="C03088F8"/>
    <w:lvl w:ilvl="0">
      <w:start w:val="1"/>
      <w:numFmt w:val="lowerLetter"/>
      <w:lvlText w:val="%1)"/>
      <w:lvlJc w:val="left"/>
      <w:pPr>
        <w:tabs>
          <w:tab w:val="num" w:pos="390"/>
        </w:tabs>
        <w:ind w:left="390" w:hanging="390"/>
      </w:pPr>
      <w:rPr>
        <w:rFonts w:hint="eastAsia"/>
      </w:rPr>
    </w:lvl>
  </w:abstractNum>
  <w:abstractNum w:abstractNumId="13">
    <w:nsid w:val="1B9F5FD0"/>
    <w:multiLevelType w:val="singleLevel"/>
    <w:tmpl w:val="0B98467E"/>
    <w:lvl w:ilvl="0">
      <w:start w:val="1"/>
      <w:numFmt w:val="lowerLetter"/>
      <w:lvlText w:val="%1)"/>
      <w:lvlJc w:val="left"/>
      <w:pPr>
        <w:tabs>
          <w:tab w:val="num" w:pos="390"/>
        </w:tabs>
        <w:ind w:left="390" w:hanging="390"/>
      </w:pPr>
      <w:rPr>
        <w:rFonts w:hint="eastAsia"/>
      </w:rPr>
    </w:lvl>
  </w:abstractNum>
  <w:abstractNum w:abstractNumId="14">
    <w:nsid w:val="1C2B62AA"/>
    <w:multiLevelType w:val="singleLevel"/>
    <w:tmpl w:val="B9C654C8"/>
    <w:lvl w:ilvl="0">
      <w:start w:val="1"/>
      <w:numFmt w:val="lowerLetter"/>
      <w:lvlText w:val="%1)"/>
      <w:lvlJc w:val="left"/>
      <w:pPr>
        <w:tabs>
          <w:tab w:val="num" w:pos="390"/>
        </w:tabs>
        <w:ind w:left="390" w:hanging="390"/>
      </w:pPr>
      <w:rPr>
        <w:rFonts w:hint="eastAsia"/>
      </w:rPr>
    </w:lvl>
  </w:abstractNum>
  <w:abstractNum w:abstractNumId="15">
    <w:nsid w:val="1C9817BE"/>
    <w:multiLevelType w:val="singleLevel"/>
    <w:tmpl w:val="2A9027AA"/>
    <w:lvl w:ilvl="0">
      <w:start w:val="1"/>
      <w:numFmt w:val="lowerLetter"/>
      <w:lvlText w:val="%1)"/>
      <w:lvlJc w:val="left"/>
      <w:pPr>
        <w:tabs>
          <w:tab w:val="num" w:pos="390"/>
        </w:tabs>
        <w:ind w:left="390" w:hanging="390"/>
      </w:pPr>
      <w:rPr>
        <w:rFonts w:hint="eastAsia"/>
      </w:rPr>
    </w:lvl>
  </w:abstractNum>
  <w:abstractNum w:abstractNumId="16">
    <w:nsid w:val="20AA4665"/>
    <w:multiLevelType w:val="singleLevel"/>
    <w:tmpl w:val="9934FBE8"/>
    <w:lvl w:ilvl="0">
      <w:start w:val="1"/>
      <w:numFmt w:val="lowerLetter"/>
      <w:lvlText w:val="%1)"/>
      <w:lvlJc w:val="left"/>
      <w:pPr>
        <w:tabs>
          <w:tab w:val="num" w:pos="285"/>
        </w:tabs>
        <w:ind w:left="285" w:hanging="285"/>
      </w:pPr>
      <w:rPr>
        <w:rFonts w:hint="eastAsia"/>
      </w:rPr>
    </w:lvl>
  </w:abstractNum>
  <w:abstractNum w:abstractNumId="17">
    <w:nsid w:val="22D04539"/>
    <w:multiLevelType w:val="hybridMultilevel"/>
    <w:tmpl w:val="764A8FF0"/>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234D01A6"/>
    <w:multiLevelType w:val="singleLevel"/>
    <w:tmpl w:val="F9C20EB8"/>
    <w:lvl w:ilvl="0">
      <w:start w:val="1"/>
      <w:numFmt w:val="lowerLetter"/>
      <w:lvlText w:val="%1)"/>
      <w:lvlJc w:val="left"/>
      <w:pPr>
        <w:tabs>
          <w:tab w:val="num" w:pos="390"/>
        </w:tabs>
        <w:ind w:left="390" w:hanging="390"/>
      </w:pPr>
      <w:rPr>
        <w:rFonts w:hint="eastAsia"/>
      </w:rPr>
    </w:lvl>
  </w:abstractNum>
  <w:abstractNum w:abstractNumId="19">
    <w:nsid w:val="246D1602"/>
    <w:multiLevelType w:val="singleLevel"/>
    <w:tmpl w:val="19E6DC3C"/>
    <w:lvl w:ilvl="0">
      <w:start w:val="1"/>
      <w:numFmt w:val="lowerLetter"/>
      <w:lvlText w:val="%1)"/>
      <w:lvlJc w:val="left"/>
      <w:pPr>
        <w:tabs>
          <w:tab w:val="num" w:pos="390"/>
        </w:tabs>
        <w:ind w:left="390" w:hanging="390"/>
      </w:pPr>
      <w:rPr>
        <w:rFonts w:hint="eastAsia"/>
      </w:rPr>
    </w:lvl>
  </w:abstractNum>
  <w:abstractNum w:abstractNumId="20">
    <w:nsid w:val="318D3AA6"/>
    <w:multiLevelType w:val="multilevel"/>
    <w:tmpl w:val="576ADD24"/>
    <w:lvl w:ilvl="0">
      <w:start w:val="3"/>
      <w:numFmt w:val="decimal"/>
      <w:lvlText w:val="%1"/>
      <w:lvlJc w:val="left"/>
      <w:pPr>
        <w:tabs>
          <w:tab w:val="num" w:pos="630"/>
        </w:tabs>
        <w:ind w:left="630" w:hanging="630"/>
      </w:pPr>
      <w:rPr>
        <w:rFonts w:hint="eastAsia"/>
      </w:rPr>
    </w:lvl>
    <w:lvl w:ilvl="1">
      <w:start w:val="4"/>
      <w:numFmt w:val="decimal"/>
      <w:lvlText w:val="%1%2"/>
      <w:lvlJc w:val="left"/>
      <w:pPr>
        <w:tabs>
          <w:tab w:val="num" w:pos="855"/>
        </w:tabs>
        <w:ind w:left="855" w:hanging="630"/>
      </w:pPr>
      <w:rPr>
        <w:rFonts w:hint="eastAsia"/>
      </w:rPr>
    </w:lvl>
    <w:lvl w:ilvl="2">
      <w:start w:val="1"/>
      <w:numFmt w:val="decimal"/>
      <w:lvlText w:val="%1%2.%3"/>
      <w:lvlJc w:val="left"/>
      <w:pPr>
        <w:tabs>
          <w:tab w:val="num" w:pos="1170"/>
        </w:tabs>
        <w:ind w:left="1170" w:hanging="720"/>
      </w:pPr>
      <w:rPr>
        <w:rFonts w:hint="eastAsia"/>
      </w:rPr>
    </w:lvl>
    <w:lvl w:ilvl="3">
      <w:start w:val="1"/>
      <w:numFmt w:val="decimal"/>
      <w:lvlText w:val="%1%2.%3.%4"/>
      <w:lvlJc w:val="left"/>
      <w:pPr>
        <w:tabs>
          <w:tab w:val="num" w:pos="1395"/>
        </w:tabs>
        <w:ind w:left="1395" w:hanging="720"/>
      </w:pPr>
      <w:rPr>
        <w:rFonts w:hint="eastAsia"/>
      </w:rPr>
    </w:lvl>
    <w:lvl w:ilvl="4">
      <w:start w:val="1"/>
      <w:numFmt w:val="decimal"/>
      <w:lvlText w:val="%1%2.%3.%4.%5"/>
      <w:lvlJc w:val="left"/>
      <w:pPr>
        <w:tabs>
          <w:tab w:val="num" w:pos="1620"/>
        </w:tabs>
        <w:ind w:left="1620" w:hanging="720"/>
      </w:pPr>
      <w:rPr>
        <w:rFonts w:hint="eastAsia"/>
      </w:rPr>
    </w:lvl>
    <w:lvl w:ilvl="5">
      <w:start w:val="1"/>
      <w:numFmt w:val="decimal"/>
      <w:lvlText w:val="%1%2.%3.%4.%5.%6"/>
      <w:lvlJc w:val="left"/>
      <w:pPr>
        <w:tabs>
          <w:tab w:val="num" w:pos="2205"/>
        </w:tabs>
        <w:ind w:left="2205" w:hanging="1080"/>
      </w:pPr>
      <w:rPr>
        <w:rFonts w:hint="eastAsia"/>
      </w:rPr>
    </w:lvl>
    <w:lvl w:ilvl="6">
      <w:start w:val="1"/>
      <w:numFmt w:val="decimal"/>
      <w:lvlText w:val="%1%2.%3.%4.%5.%6.%7"/>
      <w:lvlJc w:val="left"/>
      <w:pPr>
        <w:tabs>
          <w:tab w:val="num" w:pos="2430"/>
        </w:tabs>
        <w:ind w:left="2430" w:hanging="1080"/>
      </w:pPr>
      <w:rPr>
        <w:rFonts w:hint="eastAsia"/>
      </w:rPr>
    </w:lvl>
    <w:lvl w:ilvl="7">
      <w:start w:val="1"/>
      <w:numFmt w:val="decimal"/>
      <w:lvlText w:val="%1%2.%3.%4.%5.%6.%7.%8"/>
      <w:lvlJc w:val="left"/>
      <w:pPr>
        <w:tabs>
          <w:tab w:val="num" w:pos="3015"/>
        </w:tabs>
        <w:ind w:left="3015" w:hanging="1440"/>
      </w:pPr>
      <w:rPr>
        <w:rFonts w:hint="eastAsia"/>
      </w:rPr>
    </w:lvl>
    <w:lvl w:ilvl="8">
      <w:start w:val="1"/>
      <w:numFmt w:val="decimal"/>
      <w:lvlText w:val="%1%2.%3.%4.%5.%6.%7.%8.%9"/>
      <w:lvlJc w:val="left"/>
      <w:pPr>
        <w:tabs>
          <w:tab w:val="num" w:pos="3240"/>
        </w:tabs>
        <w:ind w:left="3240" w:hanging="1440"/>
      </w:pPr>
      <w:rPr>
        <w:rFonts w:hint="eastAsia"/>
      </w:rPr>
    </w:lvl>
  </w:abstractNum>
  <w:abstractNum w:abstractNumId="21">
    <w:nsid w:val="33A157D6"/>
    <w:multiLevelType w:val="hybridMultilevel"/>
    <w:tmpl w:val="7ADE0CC2"/>
    <w:lvl w:ilvl="0">
      <w:start w:val="1"/>
      <w:numFmt w:val="lowerLetter"/>
      <w:lvlText w:val="%1)"/>
      <w:lvlJc w:val="left"/>
      <w:pPr>
        <w:tabs>
          <w:tab w:val="num" w:pos="720"/>
        </w:tabs>
        <w:ind w:left="720" w:hanging="360"/>
      </w:pPr>
      <w:rPr>
        <w:rFonts w:hint="eastAsia"/>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2">
    <w:nsid w:val="33AC7EB8"/>
    <w:multiLevelType w:val="multilevel"/>
    <w:tmpl w:val="975087F0"/>
    <w:lvl w:ilvl="0">
      <w:start w:val="1"/>
      <w:numFmt w:val="decimal"/>
      <w:lvlText w:val="%1"/>
      <w:lvlJc w:val="left"/>
      <w:pPr>
        <w:tabs>
          <w:tab w:val="num" w:pos="432"/>
        </w:tabs>
        <w:ind w:left="432" w:hanging="432"/>
      </w:pPr>
      <w:rPr>
        <w:b/>
        <w:i w:val="0"/>
      </w:rPr>
    </w:lvl>
    <w:lvl w:ilvl="1">
      <w:start w:val="1"/>
      <w:numFmt w:val="decimal"/>
      <w:pStyle w:val="Heading2"/>
      <w:lvlText w:val="%1.%2"/>
      <w:lvlJc w:val="left"/>
      <w:pPr>
        <w:tabs>
          <w:tab w:val="num" w:pos="360"/>
        </w:tabs>
        <w:ind w:left="0" w:firstLine="0"/>
      </w:pPr>
      <w:rPr>
        <w:b/>
        <w:i w:val="0"/>
      </w:rPr>
    </w:lvl>
    <w:lvl w:ilvl="2">
      <w:start w:val="1"/>
      <w:numFmt w:val="decimal"/>
      <w:pStyle w:val="Heading3"/>
      <w:lvlText w:val="%1.%2.%3"/>
      <w:lvlJc w:val="left"/>
      <w:pPr>
        <w:tabs>
          <w:tab w:val="num" w:pos="720"/>
        </w:tabs>
        <w:ind w:left="0" w:firstLine="0"/>
      </w:pPr>
      <w:rPr>
        <w:b/>
        <w:i w:val="0"/>
      </w:rPr>
    </w:lvl>
    <w:lvl w:ilvl="3">
      <w:start w:val="1"/>
      <w:numFmt w:val="decimal"/>
      <w:pStyle w:val="Heading4"/>
      <w:lvlText w:val="%1.%2.%3.%4"/>
      <w:lvlJc w:val="left"/>
      <w:pPr>
        <w:tabs>
          <w:tab w:val="num" w:pos="1080"/>
        </w:tabs>
        <w:ind w:left="0" w:firstLine="0"/>
      </w:pPr>
      <w:rPr>
        <w:b/>
        <w:i w:val="0"/>
      </w:rPr>
    </w:lvl>
    <w:lvl w:ilvl="4">
      <w:start w:val="1"/>
      <w:numFmt w:val="decimal"/>
      <w:pStyle w:val="Heading5"/>
      <w:lvlText w:val="%1.%2.%3.%4.%5"/>
      <w:lvlJc w:val="left"/>
      <w:pPr>
        <w:tabs>
          <w:tab w:val="num" w:pos="1080"/>
        </w:tabs>
        <w:ind w:left="0" w:firstLine="0"/>
      </w:pPr>
      <w:rPr>
        <w:b/>
        <w:i w:val="0"/>
      </w:rPr>
    </w:lvl>
    <w:lvl w:ilvl="5">
      <w:start w:val="1"/>
      <w:numFmt w:val="decimal"/>
      <w:pStyle w:val="Heading6"/>
      <w:lvlText w:val="%1.%2.%3.%4.%5.%6"/>
      <w:lvlJc w:val="left"/>
      <w:pPr>
        <w:tabs>
          <w:tab w:val="num" w:pos="1440"/>
        </w:tabs>
        <w:ind w:left="0" w:firstLine="0"/>
      </w:pPr>
      <w:rPr>
        <w:b/>
        <w:i w:val="0"/>
      </w:rPr>
    </w:lvl>
    <w:lvl w:ilvl="6">
      <w:start w:val="1"/>
      <w:numFmt w:val="decimal"/>
      <w:pStyle w:val="Heading7"/>
      <w:lvlText w:val="%1.%2.%3.%4.%5.%6.%7"/>
      <w:lvlJc w:val="left"/>
      <w:pPr>
        <w:tabs>
          <w:tab w:val="num" w:pos="1440"/>
        </w:tabs>
        <w:ind w:left="0" w:firstLine="0"/>
      </w:pPr>
    </w:lvl>
    <w:lvl w:ilvl="7">
      <w:start w:val="1"/>
      <w:numFmt w:val="decimal"/>
      <w:pStyle w:val="Heading8"/>
      <w:lvlText w:val="%1.%2.%3.%4.%5.%6.%7.%8"/>
      <w:lvlJc w:val="left"/>
      <w:pPr>
        <w:tabs>
          <w:tab w:val="num" w:pos="1800"/>
        </w:tabs>
        <w:ind w:left="0" w:firstLine="0"/>
      </w:pPr>
    </w:lvl>
    <w:lvl w:ilvl="8">
      <w:start w:val="1"/>
      <w:numFmt w:val="decimal"/>
      <w:pStyle w:val="Heading9"/>
      <w:lvlText w:val="%1.%2.%3.%4.%5.%6.%7.%8.%9"/>
      <w:lvlJc w:val="left"/>
      <w:pPr>
        <w:tabs>
          <w:tab w:val="num" w:pos="1800"/>
        </w:tabs>
        <w:ind w:left="0" w:firstLine="0"/>
      </w:pPr>
    </w:lvl>
  </w:abstractNum>
  <w:abstractNum w:abstractNumId="23">
    <w:nsid w:val="375D3757"/>
    <w:multiLevelType w:val="singleLevel"/>
    <w:tmpl w:val="7BE20362"/>
    <w:lvl w:ilvl="0">
      <w:start w:val="1"/>
      <w:numFmt w:val="lowerLetter"/>
      <w:lvlText w:val="%1)"/>
      <w:lvlJc w:val="left"/>
      <w:pPr>
        <w:tabs>
          <w:tab w:val="num" w:pos="390"/>
        </w:tabs>
        <w:ind w:left="390" w:hanging="390"/>
      </w:pPr>
      <w:rPr>
        <w:rFonts w:hint="eastAsia"/>
      </w:rPr>
    </w:lvl>
  </w:abstractNum>
  <w:abstractNum w:abstractNumId="24">
    <w:nsid w:val="385B37D8"/>
    <w:multiLevelType w:val="multilevel"/>
    <w:tmpl w:val="C4464E32"/>
    <w:lvl w:ilvl="0">
      <w:start w:val="1"/>
      <w:numFmt w:val="upperLetter"/>
      <w:suff w:val="nothing"/>
      <w:lvlText w:val="Annex N%1"/>
      <w:lvlJc w:val="left"/>
      <w:pPr>
        <w:ind w:left="0" w:firstLine="0"/>
      </w:pPr>
      <w:rPr>
        <w:b/>
        <w:i w:val="0"/>
      </w:rPr>
    </w:lvl>
    <w:lvl w:ilvl="1">
      <w:start w:val="1"/>
      <w:numFmt w:val="decimal"/>
      <w:suff w:val="nothing"/>
      <w:lvlText w:val="N%1.%2"/>
      <w:lvlJc w:val="left"/>
      <w:pPr>
        <w:ind w:left="0" w:firstLine="0"/>
      </w:pPr>
    </w:lvl>
    <w:lvl w:ilvl="2">
      <w:start w:val="1"/>
      <w:numFmt w:val="decimal"/>
      <w:suff w:val="nothing"/>
      <w:lvlText w:val="N%1.%2.%3"/>
      <w:lvlJc w:val="left"/>
      <w:pPr>
        <w:ind w:left="0" w:firstLine="0"/>
      </w:pPr>
    </w:lvl>
    <w:lvl w:ilvl="3">
      <w:start w:val="1"/>
      <w:numFmt w:val="decimal"/>
      <w:suff w:val="nothing"/>
      <w:lvlText w:val="N%1.%2.%3.%4"/>
      <w:lvlJc w:val="left"/>
      <w:pPr>
        <w:ind w:left="0" w:firstLine="0"/>
      </w:pPr>
    </w:lvl>
    <w:lvl w:ilvl="4">
      <w:start w:val="1"/>
      <w:numFmt w:val="decimal"/>
      <w:suff w:val="nothing"/>
      <w:lvlText w:val="N%1.%2.%3.%4.%5"/>
      <w:lvlJc w:val="left"/>
      <w:pPr>
        <w:ind w:left="0" w:firstLine="0"/>
      </w:pPr>
    </w:lvl>
    <w:lvl w:ilvl="5">
      <w:start w:val="1"/>
      <w:numFmt w:val="decimal"/>
      <w:suff w:val="nothing"/>
      <w:lvlText w:val="N%1.%2.%3.%4.%5.%6"/>
      <w:lvlJc w:val="left"/>
      <w:pPr>
        <w:ind w:left="0" w:firstLine="0"/>
      </w:pPr>
    </w:lvl>
    <w:lvl w:ilvl="6">
      <w:start w:val="1"/>
      <w:numFmt w:val="none"/>
      <w:suff w:val="nothing"/>
      <w:lvlJc w:val="left"/>
      <w:pPr>
        <w:ind w:left="0" w:firstLine="0"/>
      </w:pPr>
    </w:lvl>
    <w:lvl w:ilvl="7">
      <w:start w:val="1"/>
      <w:numFmt w:val="none"/>
      <w:suff w:val="nothing"/>
      <w:lvlJc w:val="left"/>
      <w:pPr>
        <w:ind w:left="0" w:firstLine="0"/>
      </w:pPr>
    </w:lvl>
    <w:lvl w:ilvl="8">
      <w:start w:val="1"/>
      <w:numFmt w:val="none"/>
      <w:suff w:val="nothing"/>
      <w:lvlJc w:val="left"/>
      <w:pPr>
        <w:ind w:left="0" w:firstLine="0"/>
      </w:pPr>
    </w:lvl>
  </w:abstractNum>
  <w:abstractNum w:abstractNumId="25">
    <w:nsid w:val="3DEB2781"/>
    <w:multiLevelType w:val="singleLevel"/>
    <w:tmpl w:val="8E74724A"/>
    <w:lvl w:ilvl="0">
      <w:start w:val="1"/>
      <w:numFmt w:val="lowerLetter"/>
      <w:lvlText w:val="%1)"/>
      <w:lvlJc w:val="left"/>
      <w:pPr>
        <w:tabs>
          <w:tab w:val="num" w:pos="390"/>
        </w:tabs>
        <w:ind w:left="390" w:hanging="390"/>
      </w:pPr>
      <w:rPr>
        <w:rFonts w:hint="eastAsia"/>
      </w:rPr>
    </w:lvl>
  </w:abstractNum>
  <w:abstractNum w:abstractNumId="26">
    <w:nsid w:val="3F6F5149"/>
    <w:multiLevelType w:val="hybridMultilevel"/>
    <w:tmpl w:val="3CB8CC94"/>
    <w:lvl w:ilvl="0">
      <w:start w:val="1"/>
      <w:numFmt w:val="bullet"/>
      <w:lvlText w:val=""/>
      <w:lvlJc w:val="left"/>
      <w:pPr>
        <w:tabs>
          <w:tab w:val="num" w:pos="1200"/>
        </w:tabs>
        <w:ind w:left="1200" w:hanging="36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7">
    <w:nsid w:val="41E646DD"/>
    <w:multiLevelType w:val="singleLevel"/>
    <w:tmpl w:val="A6A21286"/>
    <w:lvl w:ilvl="0">
      <w:start w:val="1"/>
      <w:numFmt w:val="lowerLetter"/>
      <w:lvlText w:val="%1)"/>
      <w:lvlJc w:val="left"/>
      <w:pPr>
        <w:tabs>
          <w:tab w:val="num" w:pos="390"/>
        </w:tabs>
        <w:ind w:left="390" w:hanging="390"/>
      </w:pPr>
      <w:rPr>
        <w:rFonts w:hint="eastAsia"/>
      </w:rPr>
    </w:lvl>
  </w:abstractNum>
  <w:abstractNum w:abstractNumId="28">
    <w:nsid w:val="46E04278"/>
    <w:multiLevelType w:val="multilevel"/>
    <w:tmpl w:val="5F40A9CC"/>
    <w:lvl w:ilvl="0">
      <w:start w:val="0"/>
      <w:numFmt w:val="decimal"/>
      <w:lvlText w:val="%1"/>
      <w:lvlJc w:val="left"/>
      <w:pPr>
        <w:tabs>
          <w:tab w:val="num" w:pos="600"/>
        </w:tabs>
        <w:ind w:left="600" w:hanging="600"/>
      </w:pPr>
      <w:rPr>
        <w:rFonts w:hint="default"/>
      </w:rPr>
    </w:lvl>
    <w:lvl w:ilvl="1">
      <w:start w:val="3"/>
      <w:numFmt w:val="decimal"/>
      <w:lvlText w:val="%1.%2"/>
      <w:lvlJc w:val="left"/>
      <w:pPr>
        <w:tabs>
          <w:tab w:val="num" w:pos="600"/>
        </w:tabs>
        <w:ind w:left="600" w:hanging="600"/>
      </w:pPr>
      <w:rPr>
        <w:rFonts w:hint="default"/>
      </w:rPr>
    </w:lvl>
    <w:lvl w:ilvl="2">
      <w:start w:val="1"/>
      <w:numFmt w:val="decimal"/>
      <w:lvlText w:val="%1.%2.%3"/>
      <w:lvlJc w:val="left"/>
      <w:pPr>
        <w:tabs>
          <w:tab w:val="num" w:pos="600"/>
        </w:tabs>
        <w:ind w:left="600" w:hanging="600"/>
      </w:pPr>
      <w:rPr>
        <w:rFonts w:hint="default"/>
      </w:rPr>
    </w:lvl>
    <w:lvl w:ilvl="3">
      <w:start w:val="1"/>
      <w:numFmt w:val="decimal"/>
      <w:lvlText w:val="%1.%2.%3.%4"/>
      <w:lvlJc w:val="left"/>
      <w:pPr>
        <w:tabs>
          <w:tab w:val="num" w:pos="600"/>
        </w:tabs>
        <w:ind w:left="600" w:hanging="600"/>
      </w:pPr>
      <w:rPr>
        <w:rFonts w:hint="default"/>
      </w:rPr>
    </w:lvl>
    <w:lvl w:ilvl="4">
      <w:start w:val="1"/>
      <w:numFmt w:val="decimal"/>
      <w:lvlText w:val="%1.%2.%3.%4.%5"/>
      <w:lvlJc w:val="left"/>
      <w:pPr>
        <w:tabs>
          <w:tab w:val="num" w:pos="600"/>
        </w:tabs>
        <w:ind w:left="600" w:hanging="600"/>
      </w:pPr>
      <w:rPr>
        <w:rFonts w:hint="default"/>
      </w:rPr>
    </w:lvl>
    <w:lvl w:ilvl="5">
      <w:start w:val="1"/>
      <w:numFmt w:val="decimal"/>
      <w:lvlText w:val="%1.%2.%3.%4.%5.%6"/>
      <w:lvlJc w:val="left"/>
      <w:pPr>
        <w:tabs>
          <w:tab w:val="num" w:pos="600"/>
        </w:tabs>
        <w:ind w:left="600" w:hanging="600"/>
      </w:pPr>
      <w:rPr>
        <w:rFonts w:hint="default"/>
      </w:rPr>
    </w:lvl>
    <w:lvl w:ilvl="6">
      <w:start w:val="1"/>
      <w:numFmt w:val="decimal"/>
      <w:lvlText w:val="%1.%2.%3.%4.%5.%6.%7"/>
      <w:lvlJc w:val="left"/>
      <w:pPr>
        <w:tabs>
          <w:tab w:val="num" w:pos="600"/>
        </w:tabs>
        <w:ind w:left="600" w:hanging="600"/>
      </w:pPr>
      <w:rPr>
        <w:rFonts w:hint="default"/>
      </w:rPr>
    </w:lvl>
    <w:lvl w:ilvl="7">
      <w:start w:val="1"/>
      <w:numFmt w:val="decimal"/>
      <w:lvlText w:val="%1.%2.%3.%4.%5.%6.%7.%8"/>
      <w:lvlJc w:val="left"/>
      <w:pPr>
        <w:tabs>
          <w:tab w:val="num" w:pos="600"/>
        </w:tabs>
        <w:ind w:left="600" w:hanging="600"/>
      </w:pPr>
      <w:rPr>
        <w:rFonts w:hint="default"/>
      </w:rPr>
    </w:lvl>
    <w:lvl w:ilvl="8">
      <w:start w:val="1"/>
      <w:numFmt w:val="decimal"/>
      <w:lvlText w:val="%1.%2.%3.%4.%5.%6.%7.%8.%9"/>
      <w:lvlJc w:val="left"/>
      <w:pPr>
        <w:tabs>
          <w:tab w:val="num" w:pos="600"/>
        </w:tabs>
        <w:ind w:left="600" w:hanging="600"/>
      </w:pPr>
      <w:rPr>
        <w:rFonts w:hint="default"/>
      </w:rPr>
    </w:lvl>
  </w:abstractNum>
  <w:abstractNum w:abstractNumId="29">
    <w:nsid w:val="515B5E00"/>
    <w:multiLevelType w:val="singleLevel"/>
    <w:tmpl w:val="CFE4F196"/>
    <w:lvl w:ilvl="0">
      <w:start w:val="1"/>
      <w:numFmt w:val="lowerLetter"/>
      <w:lvlText w:val="%1)"/>
      <w:lvlJc w:val="left"/>
      <w:pPr>
        <w:tabs>
          <w:tab w:val="num" w:pos="390"/>
        </w:tabs>
        <w:ind w:left="390" w:hanging="390"/>
      </w:pPr>
      <w:rPr>
        <w:rFonts w:hint="eastAsia"/>
      </w:rPr>
    </w:lvl>
  </w:abstractNum>
  <w:abstractNum w:abstractNumId="30">
    <w:nsid w:val="5422547D"/>
    <w:multiLevelType w:val="hybridMultilevel"/>
    <w:tmpl w:val="510EF8E6"/>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1">
    <w:nsid w:val="57935895"/>
    <w:multiLevelType w:val="singleLevel"/>
    <w:tmpl w:val="4DC27800"/>
    <w:lvl w:ilvl="0">
      <w:start w:val="1"/>
      <w:numFmt w:val="lowerLetter"/>
      <w:lvlText w:val="%1)"/>
      <w:lvlJc w:val="left"/>
      <w:pPr>
        <w:tabs>
          <w:tab w:val="num" w:pos="390"/>
        </w:tabs>
        <w:ind w:left="390" w:hanging="390"/>
      </w:pPr>
      <w:rPr>
        <w:rFonts w:hint="eastAsia"/>
      </w:rPr>
    </w:lvl>
  </w:abstractNum>
  <w:abstractNum w:abstractNumId="32">
    <w:nsid w:val="58463F4A"/>
    <w:multiLevelType w:val="singleLevel"/>
    <w:tmpl w:val="715C3502"/>
    <w:lvl w:ilvl="0">
      <w:start w:val="1"/>
      <w:numFmt w:val="lowerLetter"/>
      <w:lvlText w:val="%1)"/>
      <w:lvlJc w:val="left"/>
      <w:pPr>
        <w:tabs>
          <w:tab w:val="num" w:pos="390"/>
        </w:tabs>
        <w:ind w:left="390" w:hanging="390"/>
      </w:pPr>
      <w:rPr>
        <w:rFonts w:hint="eastAsia"/>
      </w:rPr>
    </w:lvl>
  </w:abstractNum>
  <w:abstractNum w:abstractNumId="33">
    <w:nsid w:val="5CB71C06"/>
    <w:multiLevelType w:val="hybridMultilevel"/>
    <w:tmpl w:val="9C760106"/>
    <w:lvl w:ilvl="0">
      <w:start w:val="1"/>
      <w:numFmt w:val="lowerLetter"/>
      <w:lvlText w:val="%1)"/>
      <w:lvlJc w:val="left"/>
      <w:pPr>
        <w:tabs>
          <w:tab w:val="num" w:pos="720"/>
        </w:tabs>
        <w:ind w:left="72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648F19A9"/>
    <w:multiLevelType w:val="hybridMultilevel"/>
    <w:tmpl w:val="4A96F13C"/>
    <w:lvl w:ilvl="0">
      <w:start w:val="1"/>
      <w:numFmt w:val="bullet"/>
      <w:lvlText w:val=""/>
      <w:lvlJc w:val="left"/>
      <w:pPr>
        <w:tabs>
          <w:tab w:val="num" w:pos="1200"/>
        </w:tabs>
        <w:ind w:left="1200" w:hanging="36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5">
    <w:nsid w:val="67480A94"/>
    <w:multiLevelType w:val="singleLevel"/>
    <w:tmpl w:val="E76CC672"/>
    <w:lvl w:ilvl="0">
      <w:start w:val="1"/>
      <w:numFmt w:val="lowerLetter"/>
      <w:lvlText w:val="%1)"/>
      <w:lvlJc w:val="left"/>
      <w:pPr>
        <w:tabs>
          <w:tab w:val="num" w:pos="390"/>
        </w:tabs>
        <w:ind w:left="390" w:hanging="390"/>
      </w:pPr>
      <w:rPr>
        <w:rFonts w:hint="eastAsia"/>
      </w:rPr>
    </w:lvl>
  </w:abstractNum>
  <w:abstractNum w:abstractNumId="36">
    <w:nsid w:val="6CD44AB7"/>
    <w:multiLevelType w:val="singleLevel"/>
    <w:tmpl w:val="131C990A"/>
    <w:lvl w:ilvl="0">
      <w:start w:val="1"/>
      <w:numFmt w:val="lowerLetter"/>
      <w:lvlText w:val="%1)"/>
      <w:lvlJc w:val="left"/>
      <w:pPr>
        <w:tabs>
          <w:tab w:val="num" w:pos="390"/>
        </w:tabs>
        <w:ind w:left="390" w:hanging="390"/>
      </w:pPr>
      <w:rPr>
        <w:rFonts w:hint="eastAsia"/>
      </w:rPr>
    </w:lvl>
  </w:abstractNum>
  <w:abstractNum w:abstractNumId="37">
    <w:nsid w:val="701073BD"/>
    <w:multiLevelType w:val="singleLevel"/>
    <w:tmpl w:val="B9E40070"/>
    <w:lvl w:ilvl="0">
      <w:start w:val="1"/>
      <w:numFmt w:val="lowerLetter"/>
      <w:lvlText w:val="%1)"/>
      <w:lvlJc w:val="left"/>
      <w:pPr>
        <w:tabs>
          <w:tab w:val="num" w:pos="390"/>
        </w:tabs>
        <w:ind w:left="390" w:hanging="390"/>
      </w:pPr>
      <w:rPr>
        <w:rFonts w:hint="eastAsia"/>
      </w:rPr>
    </w:lvl>
  </w:abstractNum>
  <w:abstractNum w:abstractNumId="38">
    <w:nsid w:val="70D576D9"/>
    <w:multiLevelType w:val="multilevel"/>
    <w:tmpl w:val="4A96F13C"/>
    <w:lvl w:ilvl="0">
      <w:start w:val="1"/>
      <w:numFmt w:val="bullet"/>
      <w:lvlText w:val=""/>
      <w:lvlJc w:val="left"/>
      <w:pPr>
        <w:tabs>
          <w:tab w:val="num" w:pos="1200"/>
        </w:tabs>
        <w:ind w:left="1200" w:hanging="360"/>
      </w:pPr>
      <w:rPr>
        <w:rFonts w:ascii="Symbol" w:hAnsi="Symbol"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9">
    <w:nsid w:val="72126BE7"/>
    <w:multiLevelType w:val="singleLevel"/>
    <w:tmpl w:val="732A7DD0"/>
    <w:lvl w:ilvl="0">
      <w:start w:val="1"/>
      <w:numFmt w:val="lowerLetter"/>
      <w:lvlText w:val="%1)"/>
      <w:lvlJc w:val="left"/>
      <w:pPr>
        <w:tabs>
          <w:tab w:val="num" w:pos="735"/>
        </w:tabs>
        <w:ind w:left="735" w:hanging="315"/>
      </w:pPr>
      <w:rPr>
        <w:rFonts w:hint="eastAsia"/>
      </w:rPr>
    </w:lvl>
  </w:abstractNum>
  <w:abstractNum w:abstractNumId="40">
    <w:nsid w:val="7C843514"/>
    <w:multiLevelType w:val="singleLevel"/>
    <w:tmpl w:val="1CB2437C"/>
    <w:lvl w:ilvl="0">
      <w:start w:val="1"/>
      <w:numFmt w:val="lowerLetter"/>
      <w:lvlText w:val="%1)"/>
      <w:lvlJc w:val="left"/>
      <w:pPr>
        <w:tabs>
          <w:tab w:val="num" w:pos="390"/>
        </w:tabs>
        <w:ind w:left="390" w:hanging="390"/>
      </w:pPr>
      <w:rPr>
        <w:rFonts w:hint="eastAsia"/>
      </w:rPr>
    </w:lvl>
  </w:abstractNum>
  <w:num w:numId="1">
    <w:abstractNumId w:val="26"/>
  </w:num>
  <w:num w:numId="2">
    <w:abstractNumId w:val="5"/>
  </w:num>
  <w:num w:numId="3">
    <w:abstractNumId w:val="9"/>
  </w:num>
  <w:num w:numId="4">
    <w:abstractNumId w:val="20"/>
  </w:num>
  <w:num w:numId="5">
    <w:abstractNumId w:val="1"/>
  </w:num>
  <w:num w:numId="6">
    <w:abstractNumId w:val="34"/>
  </w:num>
  <w:num w:numId="7">
    <w:abstractNumId w:val="38"/>
  </w:num>
  <w:num w:numId="8">
    <w:abstractNumId w:val="0"/>
  </w:num>
  <w:num w:numId="9">
    <w:abstractNumId w:val="31"/>
  </w:num>
  <w:num w:numId="10">
    <w:abstractNumId w:val="15"/>
  </w:num>
  <w:num w:numId="11">
    <w:abstractNumId w:val="4"/>
  </w:num>
  <w:num w:numId="12">
    <w:abstractNumId w:val="40"/>
  </w:num>
  <w:num w:numId="13">
    <w:abstractNumId w:val="2"/>
  </w:num>
  <w:num w:numId="14">
    <w:abstractNumId w:val="29"/>
  </w:num>
  <w:num w:numId="15">
    <w:abstractNumId w:val="18"/>
  </w:num>
  <w:num w:numId="16">
    <w:abstractNumId w:val="12"/>
  </w:num>
  <w:num w:numId="17">
    <w:abstractNumId w:val="23"/>
  </w:num>
  <w:num w:numId="18">
    <w:abstractNumId w:val="14"/>
  </w:num>
  <w:num w:numId="19">
    <w:abstractNumId w:val="32"/>
  </w:num>
  <w:num w:numId="20">
    <w:abstractNumId w:val="37"/>
  </w:num>
  <w:num w:numId="21">
    <w:abstractNumId w:val="19"/>
  </w:num>
  <w:num w:numId="22">
    <w:abstractNumId w:val="11"/>
  </w:num>
  <w:num w:numId="23">
    <w:abstractNumId w:val="35"/>
  </w:num>
  <w:num w:numId="24">
    <w:abstractNumId w:val="25"/>
  </w:num>
  <w:num w:numId="25">
    <w:abstractNumId w:val="13"/>
  </w:num>
  <w:num w:numId="26">
    <w:abstractNumId w:val="7"/>
  </w:num>
  <w:num w:numId="27">
    <w:abstractNumId w:val="8"/>
  </w:num>
  <w:num w:numId="28">
    <w:abstractNumId w:val="36"/>
  </w:num>
  <w:num w:numId="29">
    <w:abstractNumId w:val="27"/>
  </w:num>
  <w:num w:numId="30">
    <w:abstractNumId w:val="3"/>
  </w:num>
  <w:num w:numId="31">
    <w:abstractNumId w:val="6"/>
  </w:num>
  <w:num w:numId="32">
    <w:abstractNumId w:val="16"/>
  </w:num>
  <w:num w:numId="33">
    <w:abstractNumId w:val="10"/>
  </w:num>
  <w:num w:numId="34">
    <w:abstractNumId w:val="39"/>
  </w:num>
  <w:num w:numId="35">
    <w:abstractNumId w:val="28"/>
  </w:num>
  <w:num w:numId="36">
    <w:abstractNumId w:val="22"/>
  </w:num>
  <w:num w:numId="37">
    <w:abstractNumId w:val="24"/>
  </w:num>
  <w:num w:numId="38">
    <w:abstractNumId w:val="21"/>
  </w:num>
  <w:num w:numId="39">
    <w:abstractNumId w:val="33"/>
  </w:num>
  <w:num w:numId="40">
    <w:abstractNumId w:val="17"/>
  </w:num>
  <w:num w:numId="4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2"/>
  <w:embedSystemFonts/>
  <w:bordersDoNotSurroundHeader/>
  <w:bordersDoNotSurroundFooter/>
  <w:stylePaneFormatFilter w:val="3F01"/>
  <w:trackRevision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32D05"/>
    <w:rsid w:val="00017DDB"/>
    <w:rsid w:val="000606AD"/>
    <w:rsid w:val="000812A9"/>
    <w:rsid w:val="000A3495"/>
    <w:rsid w:val="000B1B21"/>
    <w:rsid w:val="000B4B5D"/>
    <w:rsid w:val="000C4A53"/>
    <w:rsid w:val="000C6718"/>
    <w:rsid w:val="0014463F"/>
    <w:rsid w:val="00180DE1"/>
    <w:rsid w:val="001A68B1"/>
    <w:rsid w:val="00203EFD"/>
    <w:rsid w:val="00253770"/>
    <w:rsid w:val="00257BC6"/>
    <w:rsid w:val="002C5C7F"/>
    <w:rsid w:val="00397E4C"/>
    <w:rsid w:val="003C75D9"/>
    <w:rsid w:val="00402839"/>
    <w:rsid w:val="004D0334"/>
    <w:rsid w:val="004D2804"/>
    <w:rsid w:val="00507605"/>
    <w:rsid w:val="005B12C4"/>
    <w:rsid w:val="005B5D47"/>
    <w:rsid w:val="005F67D1"/>
    <w:rsid w:val="006028D9"/>
    <w:rsid w:val="0064229E"/>
    <w:rsid w:val="00654894"/>
    <w:rsid w:val="006908D4"/>
    <w:rsid w:val="00713733"/>
    <w:rsid w:val="00714145"/>
    <w:rsid w:val="0089101C"/>
    <w:rsid w:val="00895F5F"/>
    <w:rsid w:val="008C2475"/>
    <w:rsid w:val="008F3EAE"/>
    <w:rsid w:val="00916070"/>
    <w:rsid w:val="00941611"/>
    <w:rsid w:val="0094692B"/>
    <w:rsid w:val="00966F55"/>
    <w:rsid w:val="00A143EA"/>
    <w:rsid w:val="00A32D05"/>
    <w:rsid w:val="00AA2CA8"/>
    <w:rsid w:val="00B31322"/>
    <w:rsid w:val="00B50564"/>
    <w:rsid w:val="00B97BDA"/>
    <w:rsid w:val="00BD6B1B"/>
    <w:rsid w:val="00BE4A3F"/>
    <w:rsid w:val="00C97A8A"/>
    <w:rsid w:val="00CB2A5D"/>
    <w:rsid w:val="00CB6CA0"/>
    <w:rsid w:val="00CF17E3"/>
    <w:rsid w:val="00D002C1"/>
    <w:rsid w:val="00D32364"/>
    <w:rsid w:val="00D4574B"/>
    <w:rsid w:val="00E56A49"/>
    <w:rsid w:val="00EB5251"/>
    <w:rsid w:val="00F31E7D"/>
    <w:rsid w:val="00FA7E45"/>
    <w:rsid w:val="00FC2F3F"/>
    <w:rsid w:val="00FD1414"/>
    <w:rsid w:val="00FE6BD6"/>
    <w:rsid w:val="00FF704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spacing w:line="320" w:lineRule="exact"/>
      <w:outlineLvl w:val="0"/>
    </w:pPr>
    <w:rPr>
      <w:rFonts w:ascii="黑体" w:eastAsia="黑体"/>
      <w:b/>
      <w:bCs/>
      <w:sz w:val="18"/>
    </w:rPr>
  </w:style>
  <w:style w:type="paragraph" w:styleId="Heading2">
    <w:name w:val="heading 2"/>
    <w:basedOn w:val="Heading1"/>
    <w:next w:val="Normal"/>
    <w:qFormat/>
    <w:rsid w:val="00253770"/>
    <w:pPr>
      <w:widowControl/>
      <w:numPr>
        <w:ilvl w:val="1"/>
        <w:numId w:val="36"/>
      </w:numPr>
      <w:tabs>
        <w:tab w:val="clear" w:pos="360"/>
        <w:tab w:val="left" w:pos="540"/>
        <w:tab w:val="left" w:pos="700"/>
      </w:tabs>
      <w:suppressAutoHyphens/>
      <w:spacing w:before="60" w:after="240" w:line="250" w:lineRule="exact"/>
      <w:ind w:left="360" w:hanging="360"/>
      <w:jc w:val="left"/>
      <w:outlineLvl w:val="1"/>
    </w:pPr>
    <w:rPr>
      <w:rFonts w:ascii="Arial" w:eastAsia="MS Mincho" w:hAnsi="Arial"/>
      <w:bCs w:val="0"/>
      <w:kern w:val="0"/>
      <w:sz w:val="22"/>
      <w:szCs w:val="20"/>
      <w:lang w:val="en-GB" w:eastAsia="ja-JP"/>
    </w:rPr>
  </w:style>
  <w:style w:type="paragraph" w:styleId="Heading3">
    <w:name w:val="heading 3"/>
    <w:basedOn w:val="Heading1"/>
    <w:next w:val="Normal"/>
    <w:qFormat/>
    <w:rsid w:val="00253770"/>
    <w:pPr>
      <w:widowControl/>
      <w:numPr>
        <w:ilvl w:val="2"/>
        <w:numId w:val="36"/>
      </w:numPr>
      <w:tabs>
        <w:tab w:val="num" w:pos="360"/>
        <w:tab w:val="left" w:pos="660"/>
        <w:tab w:val="clear" w:pos="720"/>
        <w:tab w:val="left" w:pos="880"/>
      </w:tabs>
      <w:suppressAutoHyphens/>
      <w:spacing w:before="60" w:after="240" w:line="230" w:lineRule="exact"/>
      <w:ind w:left="360" w:hanging="360"/>
      <w:jc w:val="left"/>
      <w:outlineLvl w:val="2"/>
    </w:pPr>
    <w:rPr>
      <w:rFonts w:ascii="Arial" w:eastAsia="MS Mincho" w:hAnsi="Arial"/>
      <w:bCs w:val="0"/>
      <w:kern w:val="0"/>
      <w:sz w:val="20"/>
      <w:szCs w:val="20"/>
      <w:lang w:val="en-GB" w:eastAsia="ja-JP"/>
    </w:rPr>
  </w:style>
  <w:style w:type="paragraph" w:styleId="Heading4">
    <w:name w:val="heading 4"/>
    <w:basedOn w:val="Heading3"/>
    <w:next w:val="Normal"/>
    <w:qFormat/>
    <w:rsid w:val="00253770"/>
    <w:pPr>
      <w:numPr>
        <w:ilvl w:val="3"/>
        <w:numId w:val="36"/>
      </w:numPr>
      <w:tabs>
        <w:tab w:val="num" w:pos="630"/>
        <w:tab w:val="clear" w:pos="660"/>
        <w:tab w:val="clear" w:pos="880"/>
        <w:tab w:val="left" w:pos="940"/>
        <w:tab w:val="clear" w:pos="1080"/>
        <w:tab w:val="left" w:pos="1140"/>
        <w:tab w:val="left" w:pos="1360"/>
      </w:tabs>
      <w:ind w:left="630" w:hanging="630"/>
      <w:outlineLvl w:val="3"/>
    </w:pPr>
  </w:style>
  <w:style w:type="paragraph" w:styleId="Heading5">
    <w:name w:val="heading 5"/>
    <w:basedOn w:val="Heading4"/>
    <w:next w:val="Normal"/>
    <w:qFormat/>
    <w:rsid w:val="00253770"/>
    <w:pPr>
      <w:numPr>
        <w:ilvl w:val="4"/>
        <w:numId w:val="36"/>
      </w:numPr>
      <w:tabs>
        <w:tab w:val="num" w:pos="630"/>
        <w:tab w:val="clear" w:pos="940"/>
        <w:tab w:val="clear" w:pos="1080"/>
        <w:tab w:val="clear" w:pos="1140"/>
        <w:tab w:val="clear" w:pos="1360"/>
      </w:tabs>
      <w:ind w:left="630" w:hanging="630"/>
      <w:outlineLvl w:val="4"/>
    </w:pPr>
  </w:style>
  <w:style w:type="paragraph" w:styleId="Heading6">
    <w:name w:val="heading 6"/>
    <w:basedOn w:val="Heading5"/>
    <w:next w:val="Normal"/>
    <w:qFormat/>
    <w:rsid w:val="00253770"/>
    <w:pPr>
      <w:numPr>
        <w:ilvl w:val="5"/>
        <w:numId w:val="36"/>
      </w:numPr>
      <w:tabs>
        <w:tab w:val="num" w:pos="405"/>
        <w:tab w:val="clear" w:pos="1440"/>
      </w:tabs>
      <w:ind w:left="405" w:hanging="405"/>
      <w:outlineLvl w:val="5"/>
    </w:pPr>
  </w:style>
  <w:style w:type="paragraph" w:styleId="Heading7">
    <w:name w:val="heading 7"/>
    <w:basedOn w:val="Heading6"/>
    <w:next w:val="Normal"/>
    <w:qFormat/>
    <w:rsid w:val="00253770"/>
    <w:pPr>
      <w:numPr>
        <w:ilvl w:val="6"/>
        <w:numId w:val="36"/>
      </w:numPr>
      <w:tabs>
        <w:tab w:val="num" w:pos="390"/>
        <w:tab w:val="clear" w:pos="1440"/>
      </w:tabs>
      <w:ind w:left="390" w:hanging="390"/>
      <w:outlineLvl w:val="6"/>
    </w:pPr>
  </w:style>
  <w:style w:type="paragraph" w:styleId="Heading8">
    <w:name w:val="heading 8"/>
    <w:basedOn w:val="Heading6"/>
    <w:next w:val="Normal"/>
    <w:qFormat/>
    <w:rsid w:val="00253770"/>
    <w:pPr>
      <w:numPr>
        <w:ilvl w:val="7"/>
        <w:numId w:val="36"/>
      </w:numPr>
      <w:tabs>
        <w:tab w:val="num" w:pos="390"/>
        <w:tab w:val="clear" w:pos="1800"/>
      </w:tabs>
      <w:ind w:left="390" w:hanging="390"/>
      <w:outlineLvl w:val="7"/>
    </w:pPr>
  </w:style>
  <w:style w:type="paragraph" w:styleId="Heading9">
    <w:name w:val="heading 9"/>
    <w:basedOn w:val="Heading6"/>
    <w:next w:val="Normal"/>
    <w:qFormat/>
    <w:rsid w:val="00253770"/>
    <w:pPr>
      <w:numPr>
        <w:ilvl w:val="8"/>
        <w:numId w:val="36"/>
      </w:numPr>
      <w:tabs>
        <w:tab w:val="num" w:pos="390"/>
        <w:tab w:val="clear" w:pos="1800"/>
      </w:tabs>
      <w:ind w:left="390" w:hanging="390"/>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
    <w:name w:val="文献分类号"/>
    <w:pPr>
      <w:framePr w:hSpace="180" w:vSpace="180" w:wrap="around" w:vAnchor="margin" w:hAnchor="margin" w:y="1" w:anchorLock="1"/>
      <w:widowControl w:val="0"/>
    </w:pPr>
    <w:rPr>
      <w:rFonts w:eastAsia="黑体"/>
      <w:sz w:val="21"/>
      <w:lang w:val="en-US" w:eastAsia="zh-CN" w:bidi="ar-SA"/>
    </w:rPr>
  </w:style>
  <w:style w:type="paragraph" w:styleId="Date">
    <w:name w:val="Date"/>
    <w:basedOn w:val="Normal"/>
    <w:next w:val="Normal"/>
    <w:pPr>
      <w:ind w:left="100" w:leftChars="2500"/>
    </w:pPr>
  </w:style>
  <w:style w:type="character" w:styleId="Hyperlink">
    <w:name w:val="Hyperlink"/>
    <w:basedOn w:val="DefaultParagraphFont"/>
    <w:rPr>
      <w:color w:val="0000FF"/>
      <w:u w:val="single"/>
    </w:rPr>
  </w:style>
  <w:style w:type="paragraph" w:styleId="Header">
    <w:name w:val="header"/>
    <w:basedOn w:val="Normal"/>
    <w:pP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DocumentMap">
    <w:name w:val="Document Map"/>
    <w:basedOn w:val="Normal"/>
    <w:semiHidden/>
    <w:pPr>
      <w:shd w:val="clear" w:color="auto" w:fill="000080"/>
    </w:pPr>
  </w:style>
  <w:style w:type="paragraph" w:styleId="BodyTextIndent">
    <w:name w:val="Body Text Indent"/>
    <w:basedOn w:val="Normal"/>
    <w:pPr>
      <w:spacing w:line="360" w:lineRule="auto"/>
      <w:ind w:firstLine="454"/>
    </w:p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paragraph" w:styleId="BodyTextIndent2">
    <w:name w:val="Body Text Indent 2"/>
    <w:basedOn w:val="Normal"/>
    <w:pPr>
      <w:spacing w:line="360" w:lineRule="auto"/>
      <w:ind w:firstLine="340"/>
    </w:pPr>
    <w:rPr>
      <w:sz w:val="18"/>
    </w:rPr>
  </w:style>
  <w:style w:type="paragraph" w:styleId="BodyTextIndent3">
    <w:name w:val="Body Text Indent 3"/>
    <w:basedOn w:val="Normal"/>
    <w:pPr>
      <w:tabs>
        <w:tab w:val="left" w:pos="7020"/>
      </w:tabs>
      <w:spacing w:line="360" w:lineRule="auto"/>
      <w:ind w:firstLine="420" w:firstLineChars="200"/>
    </w:pPr>
    <w:rPr>
      <w:rFonts w:ascii="宋体" w:hAnsi="宋体"/>
    </w:rPr>
  </w:style>
  <w:style w:type="paragraph" w:styleId="BalloonText">
    <w:name w:val="Balloon Text"/>
    <w:basedOn w:val="Normal"/>
    <w:semiHidden/>
    <w:rPr>
      <w:sz w:val="18"/>
      <w:szCs w:val="18"/>
    </w:rPr>
  </w:style>
  <w:style w:type="paragraph" w:customStyle="1" w:styleId="a0">
    <w:name w:val="发布部门"/>
    <w:next w:val="Normal"/>
    <w:pPr>
      <w:framePr w:w="7433" w:h="585" w:hRule="exact" w:hSpace="180" w:vSpace="180" w:wrap="around" w:vAnchor="margin" w:hAnchor="margin" w:xAlign="center" w:y="14401" w:anchorLock="1"/>
      <w:jc w:val="center"/>
    </w:pPr>
    <w:rPr>
      <w:rFonts w:ascii="宋体"/>
      <w:b/>
      <w:spacing w:val="20"/>
      <w:w w:val="135"/>
      <w:sz w:val="36"/>
      <w:lang w:val="en-US" w:eastAsia="zh-CN" w:bidi="ar-SA"/>
    </w:rPr>
  </w:style>
  <w:style w:type="paragraph" w:styleId="BodyText">
    <w:name w:val="Body Text"/>
    <w:basedOn w:val="Normal"/>
    <w:rsid w:val="00253770"/>
    <w:pPr>
      <w:spacing w:after="120"/>
    </w:pPr>
  </w:style>
  <w:style w:type="paragraph" w:customStyle="1" w:styleId="a2">
    <w:name w:val="a2"/>
    <w:basedOn w:val="Heading2"/>
    <w:next w:val="Normal"/>
    <w:rsid w:val="00253770"/>
    <w:pPr>
      <w:numPr>
        <w:ilvl w:val="0"/>
        <w:numId w:val="0"/>
      </w:numPr>
      <w:tabs>
        <w:tab w:val="left" w:pos="500"/>
        <w:tab w:val="clear" w:pos="540"/>
        <w:tab w:val="num" w:pos="630"/>
        <w:tab w:val="clear" w:pos="700"/>
        <w:tab w:val="left" w:pos="720"/>
      </w:tabs>
      <w:spacing w:before="270" w:line="270" w:lineRule="exact"/>
      <w:ind w:left="630" w:hanging="630"/>
    </w:pPr>
    <w:rPr>
      <w:sz w:val="24"/>
    </w:rPr>
  </w:style>
  <w:style w:type="paragraph" w:customStyle="1" w:styleId="a3">
    <w:name w:val="a3"/>
    <w:basedOn w:val="Heading3"/>
    <w:next w:val="Normal"/>
    <w:rsid w:val="00253770"/>
    <w:pPr>
      <w:numPr>
        <w:ilvl w:val="0"/>
        <w:numId w:val="0"/>
      </w:numPr>
      <w:tabs>
        <w:tab w:val="left" w:pos="640"/>
        <w:tab w:val="clear" w:pos="660"/>
      </w:tabs>
      <w:spacing w:line="250" w:lineRule="exact"/>
      <w:ind w:left="630" w:hanging="630"/>
    </w:pPr>
    <w:rPr>
      <w:sz w:val="22"/>
    </w:rPr>
  </w:style>
  <w:style w:type="paragraph" w:customStyle="1" w:styleId="a4">
    <w:name w:val="a4"/>
    <w:basedOn w:val="Heading4"/>
    <w:next w:val="Normal"/>
    <w:rsid w:val="00253770"/>
    <w:pPr>
      <w:numPr>
        <w:ilvl w:val="0"/>
        <w:numId w:val="0"/>
      </w:numPr>
      <w:tabs>
        <w:tab w:val="num" w:pos="630"/>
        <w:tab w:val="left" w:pos="880"/>
        <w:tab w:val="clear" w:pos="940"/>
        <w:tab w:val="clear" w:pos="1140"/>
        <w:tab w:val="clear" w:pos="1360"/>
      </w:tabs>
      <w:ind w:left="630" w:hanging="630"/>
    </w:pPr>
  </w:style>
  <w:style w:type="paragraph" w:customStyle="1" w:styleId="a5">
    <w:name w:val="a5"/>
    <w:basedOn w:val="Heading5"/>
    <w:next w:val="Normal"/>
    <w:rsid w:val="00253770"/>
    <w:pPr>
      <w:numPr>
        <w:ilvl w:val="0"/>
        <w:numId w:val="0"/>
      </w:numPr>
      <w:tabs>
        <w:tab w:val="num" w:pos="630"/>
        <w:tab w:val="left" w:pos="1140"/>
        <w:tab w:val="left" w:pos="1360"/>
      </w:tabs>
      <w:ind w:left="630" w:hanging="630"/>
    </w:pPr>
  </w:style>
  <w:style w:type="paragraph" w:customStyle="1" w:styleId="a6">
    <w:name w:val="a6"/>
    <w:basedOn w:val="Heading6"/>
    <w:next w:val="Normal"/>
    <w:rsid w:val="00253770"/>
    <w:pPr>
      <w:numPr>
        <w:ilvl w:val="0"/>
        <w:numId w:val="0"/>
      </w:numPr>
      <w:tabs>
        <w:tab w:val="num" w:pos="630"/>
        <w:tab w:val="left" w:pos="1140"/>
        <w:tab w:val="left" w:pos="1360"/>
      </w:tabs>
      <w:ind w:left="630" w:hanging="630"/>
    </w:pPr>
  </w:style>
  <w:style w:type="paragraph" w:customStyle="1" w:styleId="ANNEX">
    <w:name w:val="ANNEX"/>
    <w:basedOn w:val="Normal"/>
    <w:next w:val="Normal"/>
    <w:rsid w:val="00253770"/>
    <w:pPr>
      <w:keepNext/>
      <w:pageBreakBefore/>
      <w:widowControl/>
      <w:spacing w:after="760" w:line="310" w:lineRule="exact"/>
      <w:jc w:val="center"/>
      <w:outlineLvl w:val="0"/>
    </w:pPr>
    <w:rPr>
      <w:rFonts w:ascii="Arial" w:eastAsia="MS Mincho" w:hAnsi="Arial"/>
      <w:b/>
      <w:kern w:val="0"/>
      <w:sz w:val="28"/>
      <w:szCs w:val="20"/>
      <w:lang w:val="en-GB" w:eastAsia="ja-JP"/>
    </w:rPr>
  </w:style>
  <w:style w:type="paragraph" w:customStyle="1" w:styleId="ANNEXN">
    <w:name w:val="ANNEXN"/>
    <w:basedOn w:val="ANNEX"/>
    <w:next w:val="Normal"/>
    <w:rsid w:val="00253770"/>
    <w:pPr>
      <w:tabs>
        <w:tab w:val="num" w:pos="390"/>
      </w:tabs>
      <w:ind w:left="390" w:hanging="390"/>
    </w:pPr>
  </w:style>
  <w:style w:type="paragraph" w:customStyle="1" w:styleId="ANNEXZ">
    <w:name w:val="ANNEXZ"/>
    <w:basedOn w:val="ANNEX"/>
    <w:next w:val="Normal"/>
    <w:rsid w:val="00253770"/>
    <w:pPr>
      <w:tabs>
        <w:tab w:val="num" w:pos="945"/>
      </w:tabs>
      <w:ind w:left="945" w:hanging="945"/>
    </w:pPr>
  </w:style>
  <w:style w:type="paragraph" w:customStyle="1" w:styleId="bibliography">
    <w:name w:val="bibliography"/>
    <w:basedOn w:val="Normal"/>
    <w:rsid w:val="00253770"/>
    <w:pPr>
      <w:widowControl/>
      <w:tabs>
        <w:tab w:val="left" w:pos="660"/>
      </w:tabs>
      <w:spacing w:after="240" w:line="230" w:lineRule="atLeast"/>
      <w:ind w:left="660" w:hanging="660"/>
    </w:pPr>
    <w:rPr>
      <w:rFonts w:ascii="Arial" w:eastAsia="MS Mincho" w:hAnsi="Arial"/>
      <w:kern w:val="0"/>
      <w:sz w:val="20"/>
      <w:szCs w:val="20"/>
      <w:lang w:val="en-GB" w:eastAsia="ja-JP"/>
    </w:rPr>
  </w:style>
  <w:style w:type="paragraph" w:customStyle="1" w:styleId="na2">
    <w:name w:val="na2"/>
    <w:basedOn w:val="a2"/>
    <w:next w:val="Normal"/>
    <w:rsid w:val="00253770"/>
    <w:pPr>
      <w:numPr>
        <w:ilvl w:val="1"/>
        <w:numId w:val="29"/>
      </w:numPr>
      <w:tabs>
        <w:tab w:val="num" w:pos="390"/>
      </w:tabs>
      <w:ind w:left="390" w:hanging="390"/>
    </w:pPr>
  </w:style>
  <w:style w:type="paragraph" w:customStyle="1" w:styleId="na3">
    <w:name w:val="na3"/>
    <w:basedOn w:val="a3"/>
    <w:next w:val="Normal"/>
    <w:rsid w:val="00253770"/>
    <w:pPr>
      <w:numPr>
        <w:ilvl w:val="2"/>
        <w:numId w:val="29"/>
      </w:numPr>
      <w:tabs>
        <w:tab w:val="num" w:pos="390"/>
      </w:tabs>
      <w:ind w:left="390" w:hanging="390"/>
    </w:pPr>
  </w:style>
  <w:style w:type="paragraph" w:customStyle="1" w:styleId="na4">
    <w:name w:val="na4"/>
    <w:basedOn w:val="a4"/>
    <w:next w:val="Normal"/>
    <w:rsid w:val="00253770"/>
    <w:pPr>
      <w:numPr>
        <w:ilvl w:val="3"/>
        <w:numId w:val="29"/>
      </w:numPr>
      <w:tabs>
        <w:tab w:val="num" w:pos="390"/>
        <w:tab w:val="left" w:pos="1060"/>
      </w:tabs>
      <w:ind w:left="390" w:hanging="390"/>
    </w:pPr>
  </w:style>
  <w:style w:type="paragraph" w:customStyle="1" w:styleId="na5">
    <w:name w:val="na5"/>
    <w:basedOn w:val="a5"/>
    <w:next w:val="Normal"/>
    <w:rsid w:val="00253770"/>
    <w:pPr>
      <w:numPr>
        <w:ilvl w:val="4"/>
        <w:numId w:val="29"/>
      </w:numPr>
      <w:tabs>
        <w:tab w:val="num" w:pos="390"/>
      </w:tabs>
      <w:ind w:left="390" w:hanging="390"/>
    </w:pPr>
  </w:style>
  <w:style w:type="paragraph" w:customStyle="1" w:styleId="na6">
    <w:name w:val="na6"/>
    <w:basedOn w:val="a6"/>
    <w:next w:val="Normal"/>
    <w:rsid w:val="00253770"/>
    <w:pPr>
      <w:numPr>
        <w:ilvl w:val="5"/>
        <w:numId w:val="29"/>
      </w:numPr>
      <w:tabs>
        <w:tab w:val="num" w:pos="390"/>
      </w:tabs>
      <w:ind w:left="390" w:hanging="390"/>
    </w:pPr>
  </w:style>
  <w:style w:type="paragraph" w:styleId="TOC9">
    <w:name w:val="toc 9"/>
    <w:basedOn w:val="TOC1"/>
    <w:next w:val="Normal"/>
    <w:autoRedefine/>
    <w:semiHidden/>
    <w:rsid w:val="00253770"/>
    <w:pPr>
      <w:spacing w:before="0" w:after="0"/>
      <w:ind w:left="1680"/>
    </w:pPr>
    <w:rPr>
      <w:b w:val="0"/>
      <w:bCs w:val="0"/>
      <w:caps w:val="0"/>
      <w:sz w:val="18"/>
      <w:szCs w:val="18"/>
    </w:rPr>
  </w:style>
  <w:style w:type="paragraph" w:styleId="TOC1">
    <w:name w:val="toc 1"/>
    <w:basedOn w:val="Normal"/>
    <w:next w:val="Normal"/>
    <w:autoRedefine/>
    <w:semiHidden/>
    <w:rsid w:val="00253770"/>
    <w:pPr>
      <w:spacing w:before="120" w:after="120"/>
      <w:jc w:val="left"/>
    </w:pPr>
    <w:rPr>
      <w:b/>
      <w:bCs/>
      <w:caps/>
      <w:sz w:val="20"/>
      <w:szCs w:val="20"/>
    </w:rPr>
  </w:style>
  <w:style w:type="paragraph" w:styleId="TOC2">
    <w:name w:val="toc 2"/>
    <w:basedOn w:val="TOC1"/>
    <w:next w:val="Normal"/>
    <w:autoRedefine/>
    <w:semiHidden/>
    <w:rsid w:val="00253770"/>
    <w:pPr>
      <w:spacing w:before="0" w:after="0"/>
      <w:ind w:left="210"/>
    </w:pPr>
    <w:rPr>
      <w:b w:val="0"/>
      <w:bCs w:val="0"/>
      <w:caps w:val="0"/>
      <w:smallCaps/>
    </w:rPr>
  </w:style>
  <w:style w:type="paragraph" w:styleId="TOC3">
    <w:name w:val="toc 3"/>
    <w:basedOn w:val="TOC2"/>
    <w:next w:val="Normal"/>
    <w:autoRedefine/>
    <w:semiHidden/>
    <w:rsid w:val="00253770"/>
    <w:pPr>
      <w:ind w:left="420"/>
    </w:pPr>
    <w:rPr>
      <w:i/>
      <w:iCs/>
      <w:smallCaps w:val="0"/>
    </w:rPr>
  </w:style>
  <w:style w:type="table" w:styleId="TableGrid">
    <w:name w:val="Table Grid"/>
    <w:basedOn w:val="TableNormal"/>
    <w:rsid w:val="0025377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B50564"/>
    <w:rPr>
      <w:sz w:val="21"/>
      <w:szCs w:val="21"/>
    </w:rPr>
  </w:style>
  <w:style w:type="paragraph" w:styleId="CommentText">
    <w:name w:val="annotation text"/>
    <w:basedOn w:val="Normal"/>
    <w:semiHidden/>
    <w:rsid w:val="00B50564"/>
    <w:pPr>
      <w:jc w:val="left"/>
    </w:pPr>
  </w:style>
  <w:style w:type="paragraph" w:customStyle="1" w:styleId="CharCharCharCharCharCharCharCharCharCharCharChar">
    <w:name w:val="段 Char Char Char Char Char Char Char Char Char Char Char Char"/>
    <w:rsid w:val="00CB6CA0"/>
    <w:pPr>
      <w:autoSpaceDE w:val="0"/>
      <w:autoSpaceDN w:val="0"/>
      <w:ind w:firstLine="200" w:firstLineChars="200"/>
      <w:jc w:val="both"/>
    </w:pPr>
    <w:rPr>
      <w:rFonts w:ascii="宋体" w:cs="宋体"/>
      <w:noProof/>
      <w:sz w:val="21"/>
      <w:szCs w:val="21"/>
      <w:lang w:val="en-US" w:eastAsia="zh-CN" w:bidi="ar-SA"/>
    </w:rPr>
  </w:style>
  <w:style w:type="paragraph" w:customStyle="1" w:styleId="a1">
    <w:name w:val="段"/>
    <w:rsid w:val="00CB6CA0"/>
    <w:pPr>
      <w:autoSpaceDE w:val="0"/>
      <w:autoSpaceDN w:val="0"/>
      <w:ind w:firstLine="200" w:firstLineChars="200"/>
      <w:jc w:val="both"/>
    </w:pPr>
    <w:rPr>
      <w:rFonts w:ascii="宋体"/>
      <w:noProof/>
      <w:sz w:val="21"/>
      <w:lang w:val="en-US" w:eastAsia="zh-CN" w:bidi="ar-SA"/>
    </w:rPr>
  </w:style>
  <w:style w:type="paragraph" w:styleId="CommentSubject">
    <w:name w:val="annotation subject"/>
    <w:basedOn w:val="CommentText"/>
    <w:next w:val="CommentText"/>
    <w:semiHidden/>
    <w:rsid w:val="00AA2CA8"/>
    <w:rPr>
      <w:b/>
      <w:bCs/>
    </w:rPr>
  </w:style>
  <w:style w:type="paragraph" w:styleId="TableofAuthorities">
    <w:name w:val="table of authorities"/>
    <w:basedOn w:val="Normal"/>
    <w:next w:val="Normal"/>
    <w:semiHidden/>
    <w:rsid w:val="007371A9"/>
    <w:pPr>
      <w:ind w:left="210" w:hanging="210"/>
      <w:jc w:val="left"/>
    </w:pPr>
    <w:rPr>
      <w:sz w:val="20"/>
      <w:szCs w:val="20"/>
    </w:rPr>
  </w:style>
  <w:style w:type="paragraph" w:styleId="TOAHeading">
    <w:name w:val="toa heading"/>
    <w:basedOn w:val="Normal"/>
    <w:next w:val="Normal"/>
    <w:semiHidden/>
    <w:rsid w:val="007371A9"/>
    <w:pPr>
      <w:spacing w:before="240" w:after="120"/>
      <w:jc w:val="center"/>
    </w:pPr>
    <w:rPr>
      <w:smallCaps/>
      <w:sz w:val="22"/>
      <w:szCs w:val="22"/>
      <w:u w:val="single"/>
    </w:rPr>
  </w:style>
  <w:style w:type="paragraph" w:styleId="TOC4">
    <w:name w:val="toc 4"/>
    <w:basedOn w:val="Normal"/>
    <w:next w:val="Normal"/>
    <w:autoRedefine/>
    <w:semiHidden/>
    <w:rsid w:val="007371A9"/>
    <w:pPr>
      <w:ind w:left="630"/>
      <w:jc w:val="left"/>
    </w:pPr>
    <w:rPr>
      <w:sz w:val="18"/>
      <w:szCs w:val="18"/>
    </w:rPr>
  </w:style>
  <w:style w:type="paragraph" w:styleId="TOC5">
    <w:name w:val="toc 5"/>
    <w:basedOn w:val="Normal"/>
    <w:next w:val="Normal"/>
    <w:autoRedefine/>
    <w:semiHidden/>
    <w:rsid w:val="007371A9"/>
    <w:pPr>
      <w:ind w:left="840"/>
      <w:jc w:val="left"/>
    </w:pPr>
    <w:rPr>
      <w:sz w:val="18"/>
      <w:szCs w:val="18"/>
    </w:rPr>
  </w:style>
  <w:style w:type="paragraph" w:styleId="TOC6">
    <w:name w:val="toc 6"/>
    <w:basedOn w:val="Normal"/>
    <w:next w:val="Normal"/>
    <w:autoRedefine/>
    <w:semiHidden/>
    <w:rsid w:val="007371A9"/>
    <w:pPr>
      <w:ind w:left="1050"/>
      <w:jc w:val="left"/>
    </w:pPr>
    <w:rPr>
      <w:sz w:val="18"/>
      <w:szCs w:val="18"/>
    </w:rPr>
  </w:style>
  <w:style w:type="paragraph" w:styleId="TOC7">
    <w:name w:val="toc 7"/>
    <w:basedOn w:val="Normal"/>
    <w:next w:val="Normal"/>
    <w:autoRedefine/>
    <w:semiHidden/>
    <w:rsid w:val="007371A9"/>
    <w:pPr>
      <w:ind w:left="1260"/>
      <w:jc w:val="left"/>
    </w:pPr>
    <w:rPr>
      <w:sz w:val="18"/>
      <w:szCs w:val="18"/>
    </w:rPr>
  </w:style>
  <w:style w:type="paragraph" w:styleId="TOC8">
    <w:name w:val="toc 8"/>
    <w:basedOn w:val="Normal"/>
    <w:next w:val="Normal"/>
    <w:autoRedefine/>
    <w:semiHidden/>
    <w:rsid w:val="007371A9"/>
    <w:pPr>
      <w:ind w:left="147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995343120234011042"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9</Pages>
  <Words>2493</Words>
  <Characters>14214</Characters>
  <Application>Microsoft Office Word</Application>
  <DocSecurity>0</DocSecurity>
  <Lines>118</Lines>
  <Paragraphs>33</Paragraphs>
  <ScaleCrop>false</ScaleCrop>
  <Manager>金武攸</Manager>
  <Company/>
  <LinksUpToDate>false</LinksUpToDate>
  <CharactersWithSpaces>16674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2023质量管理体系要求</dc:title>
  <dc:subject>2023质量管理体系要求</dc:subject>
  <dc:creator>金武攸</dc:creator>
  <cp:keywords>2023</cp:keywords>
  <cp:lastModifiedBy>金武攸</cp:lastModifiedBy>
  <cp:revision>31</cp:revision>
  <cp:lastPrinted>2023-01-20T00:12:07Z</cp:lastPrinted>
  <dcterms:created xsi:type="dcterms:W3CDTF">2023-01-07T00:07:06Z</dcterms:created>
  <dcterms:modified xsi:type="dcterms:W3CDTF">2023-03-18T07:02:58Z</dcterms:modified>
</cp:coreProperties>
</file>