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汽车防锈相关行业公司成立报告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(七)、汽车防锈项目建设必要性分析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二、汽车防锈项目概况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(二)、汽车防锈项目提出的理由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4" w:history="1">
        <w:r>
          <w:rPr>
            <w:rFonts w:ascii="仿宋" w:eastAsia="仿宋" w:hAnsi="仿宋" w:cs="仿宋" w:hint="eastAsia"/>
            <w:lang w:eastAsia="zh-CN"/>
          </w:rPr>
          <w:t>(三)、汽车防锈项目选址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" w:history="1">
        <w:r>
          <w:rPr>
            <w:rFonts w:ascii="仿宋" w:eastAsia="仿宋" w:hAnsi="仿宋" w:cs="仿宋" w:hint="eastAsia"/>
            <w:lang w:eastAsia="zh-CN"/>
          </w:rPr>
          <w:t>(六)、汽车防锈项目投资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(七)、汽车防锈项目进度规划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9" w:history="1">
        <w:r>
          <w:rPr>
            <w:rFonts w:ascii="仿宋" w:eastAsia="仿宋" w:hAnsi="仿宋" w:cs="仿宋" w:hint="eastAsia"/>
            <w:lang w:eastAsia="zh-CN"/>
          </w:rPr>
          <w:t>(九)、汽车防锈项目综合评价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_Toc30858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(一)、汽车防锈项目选址原则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(五)、汽车防锈项目选址综合评价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五、汽车防锈筹建公司基本信息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_Toc20332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(一)、汽车防锈项目进度安排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(二)、汽车防锈项目实施保障措施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_Toc12564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_Toc16225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_Toc3720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八、汽车防锈项目风险分析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(一)、汽车防锈项目风险分析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(二)、汽车防锈项目风险对策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(一)、汽车防锈项目背景分析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(二)、汽车防锈项目建设必要性分析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(一)、社会责任汽车防锈项目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_Toc20889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(二)、合作汽车防锈项目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3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7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https://d.book118.com/996001102141010050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汽车防锈相关行业公司成立报告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600110214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2024-02-06T14:08:00Z</dcterms:created>
  <dcterms:modified xsi:type="dcterms:W3CDTF">2024-02-06T14:08:54Z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FF19E37B10A04FD893ABD445317F5810_11</vt:lpwstr>
  </property>
  <property fmtid="{D5CDD505-2E9C-101B-9397-08002B2CF9AE}" pid="3" name="KSOProductBuildVer">
    <vt:lpwstr>2052-12.1.0.16250</vt:lpwstr>
  </property>
</Properties>
</file>