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spacing w:val="-2"/>
        </w:rPr>
        <w:t>监理实施细则</w:t>
      </w:r>
    </w:p>
    <w:p>
      <w:pPr>
        <w:pStyle w:val="BodyText"/>
        <w:spacing w:before="0"/>
        <w:ind w:left="0"/>
        <w:rPr>
          <w:rFonts w:ascii="微软雅黑"/>
          <w:b/>
          <w:sz w:val="20"/>
        </w:rPr>
      </w:pPr>
    </w:p>
    <w:p>
      <w:pPr>
        <w:pStyle w:val="BodyText"/>
        <w:spacing w:before="0"/>
        <w:ind w:left="0"/>
        <w:rPr>
          <w:rFonts w:ascii="微软雅黑"/>
          <w:b/>
          <w:sz w:val="20"/>
        </w:rPr>
      </w:pPr>
    </w:p>
    <w:p>
      <w:pPr>
        <w:pStyle w:val="BodyText"/>
        <w:spacing w:before="0"/>
        <w:ind w:left="0"/>
        <w:rPr>
          <w:rFonts w:ascii="微软雅黑"/>
          <w:b/>
          <w:sz w:val="20"/>
        </w:rPr>
      </w:pPr>
    </w:p>
    <w:p>
      <w:pPr>
        <w:pStyle w:val="BodyText"/>
        <w:spacing w:before="4"/>
        <w:ind w:left="0"/>
        <w:rPr>
          <w:rFonts w:ascii="微软雅黑"/>
          <w:b/>
          <w:sz w:val="20"/>
        </w:rPr>
      </w:pPr>
    </w:p>
    <w:p>
      <w:pPr>
        <w:spacing w:before="0" w:line="480" w:lineRule="exact"/>
        <w:ind w:left="2150" w:right="0" w:firstLine="0"/>
        <w:jc w:val="left"/>
        <w:rPr>
          <w:rFonts w:ascii="微软雅黑" w:eastAsia="微软雅黑"/>
          <w:b/>
          <w:sz w:val="28"/>
        </w:rPr>
      </w:pPr>
      <w:r>
        <w:rPr>
          <w:rFonts w:ascii="微软雅黑" w:eastAsia="微软雅黑"/>
          <w:b/>
          <w:spacing w:val="-4"/>
          <w:sz w:val="28"/>
        </w:rPr>
        <w:t>编写:</w:t>
      </w:r>
    </w:p>
    <w:p>
      <w:pPr>
        <w:spacing w:before="0" w:line="500" w:lineRule="exact"/>
        <w:ind w:left="2150" w:right="0" w:firstLine="0"/>
        <w:jc w:val="left"/>
        <w:rPr>
          <w:rFonts w:ascii="微软雅黑" w:eastAsia="微软雅黑"/>
          <w:b/>
          <w:sz w:val="28"/>
        </w:rPr>
      </w:pPr>
      <w:r>
        <w:rPr>
          <w:rFonts w:ascii="微软雅黑" w:eastAsia="微软雅黑"/>
          <w:b/>
          <w:spacing w:val="-4"/>
          <w:sz w:val="28"/>
        </w:rPr>
        <w:t>审核:</w:t>
      </w:r>
    </w:p>
    <w:p>
      <w:pPr>
        <w:spacing w:before="0" w:line="508" w:lineRule="exact"/>
        <w:ind w:left="2150" w:right="0" w:firstLine="0"/>
        <w:jc w:val="left"/>
        <w:rPr>
          <w:rFonts w:ascii="微软雅黑" w:eastAsia="微软雅黑"/>
          <w:b/>
          <w:sz w:val="28"/>
        </w:rPr>
      </w:pPr>
      <w:r>
        <w:rPr>
          <w:rFonts w:ascii="微软雅黑" w:eastAsia="微软雅黑"/>
          <w:b/>
          <w:spacing w:val="-4"/>
          <w:sz w:val="28"/>
        </w:rPr>
        <w:t>审批:</w:t>
      </w:r>
    </w:p>
    <w:p>
      <w:pPr>
        <w:spacing w:before="141"/>
        <w:ind w:left="2150" w:right="0" w:firstLine="0"/>
        <w:jc w:val="left"/>
        <w:rPr>
          <w:rFonts w:ascii="Malgun Gothic" w:eastAsia="Malgun Gothic"/>
          <w:b/>
          <w:sz w:val="28"/>
        </w:rPr>
      </w:pPr>
      <w:r>
        <w:rPr>
          <w:rFonts w:ascii="Malgun Gothic" w:eastAsia="Malgun Gothic"/>
          <w:b/>
          <w:spacing w:val="-4"/>
          <w:sz w:val="28"/>
        </w:rPr>
        <w:t>日期：</w:t>
      </w:r>
    </w:p>
    <w:p>
      <w:pPr>
        <w:spacing w:after="0"/>
        <w:jc w:val="left"/>
        <w:rPr>
          <w:rFonts w:ascii="Malgun Gothic" w:eastAsia="Malgun Gothic"/>
          <w:sz w:val="28"/>
        </w:rPr>
        <w:sectPr>
          <w:type w:val="continuous"/>
          <w:pgSz w:w="11910" w:h="16840"/>
          <w:pgMar w:top="1120" w:right="1300" w:bottom="280" w:left="1220" w:header="708" w:footer="708"/>
          <w:cols w:space="708"/>
        </w:sectPr>
      </w:pPr>
    </w:p>
    <w:p>
      <w:pPr>
        <w:pStyle w:val="BodyText"/>
        <w:spacing w:before="44"/>
        <w:ind w:left="3063" w:right="2983"/>
        <w:jc w:val="center"/>
      </w:pPr>
      <w:r>
        <w:rPr>
          <w:spacing w:val="-5"/>
        </w:rPr>
        <w:t>目录</w:t>
      </w:r>
    </w:p>
    <w:p>
      <w:pPr>
        <w:pStyle w:val="BodyText"/>
        <w:tabs>
          <w:tab w:val="right" w:leader="dot" w:pos="8546"/>
        </w:tabs>
        <w:spacing w:before="239"/>
        <w:rPr>
          <w:rFonts w:ascii="Arial" w:eastAsia="Arial"/>
        </w:rPr>
      </w:pPr>
      <w:r>
        <w:t>一、概</w:t>
      </w:r>
      <w:r>
        <w:rPr>
          <w:spacing w:val="-10"/>
        </w:rPr>
        <w:t>述</w:t>
      </w:r>
      <w:r>
        <w:rPr>
          <w:rFonts w:ascii="Times New Roman" w:eastAsia="Times New Roman"/>
        </w:rPr>
        <w:tab/>
      </w:r>
      <w:r>
        <w:rPr>
          <w:rFonts w:ascii="Arial" w:eastAsia="Arial"/>
          <w:spacing w:val="-10"/>
        </w:rPr>
        <w:t>2</w:t>
      </w:r>
    </w:p>
    <w:p>
      <w:pPr>
        <w:pStyle w:val="BodyText"/>
        <w:tabs>
          <w:tab w:val="right" w:leader="dot" w:pos="8546"/>
        </w:tabs>
        <w:rPr>
          <w:rFonts w:ascii="Arial" w:eastAsia="Arial"/>
        </w:rPr>
      </w:pPr>
      <w:r>
        <w:t>二、编制依</w:t>
      </w:r>
      <w:r>
        <w:rPr>
          <w:spacing w:val="-10"/>
        </w:rPr>
        <w:t>据</w:t>
      </w:r>
      <w:r>
        <w:rPr>
          <w:rFonts w:ascii="Times New Roman" w:eastAsia="Times New Roman"/>
        </w:rPr>
        <w:tab/>
      </w:r>
      <w:r>
        <w:rPr>
          <w:rFonts w:ascii="Arial" w:eastAsia="Arial"/>
          <w:spacing w:val="-10"/>
        </w:rPr>
        <w:t>2</w:t>
      </w:r>
    </w:p>
    <w:p>
      <w:pPr>
        <w:pStyle w:val="BodyText"/>
        <w:tabs>
          <w:tab w:val="right" w:leader="dot" w:pos="8546"/>
        </w:tabs>
        <w:rPr>
          <w:rFonts w:ascii="Arial" w:eastAsia="Arial"/>
        </w:rPr>
      </w:pPr>
      <w:r>
        <w:t>三、监理工作目</w:t>
      </w:r>
      <w:r>
        <w:rPr>
          <w:spacing w:val="-10"/>
        </w:rPr>
        <w:t>标</w:t>
      </w:r>
      <w:r>
        <w:rPr>
          <w:rFonts w:ascii="Times New Roman" w:eastAsia="Times New Roman"/>
        </w:rPr>
        <w:tab/>
      </w:r>
      <w:r>
        <w:rPr>
          <w:rFonts w:ascii="Arial" w:eastAsia="Arial"/>
          <w:spacing w:val="-10"/>
        </w:rPr>
        <w:t>2</w:t>
      </w:r>
    </w:p>
    <w:p>
      <w:pPr>
        <w:pStyle w:val="BodyText"/>
        <w:tabs>
          <w:tab w:val="right" w:leader="dot" w:pos="8546"/>
        </w:tabs>
        <w:spacing w:before="239"/>
        <w:rPr>
          <w:rFonts w:ascii="Arial" w:eastAsia="Arial"/>
        </w:rPr>
      </w:pPr>
      <w:r>
        <w:t>四、施工工序及监理控制要</w:t>
      </w:r>
      <w:r>
        <w:rPr>
          <w:spacing w:val="-10"/>
        </w:rPr>
        <w:t>点</w:t>
      </w:r>
      <w:r>
        <w:rPr>
          <w:rFonts w:ascii="Times New Roman" w:eastAsia="Times New Roman"/>
        </w:rPr>
        <w:tab/>
      </w:r>
      <w:r>
        <w:rPr>
          <w:rFonts w:ascii="Arial" w:eastAsia="Arial"/>
          <w:spacing w:val="-10"/>
        </w:rPr>
        <w:t>3</w:t>
      </w:r>
    </w:p>
    <w:p>
      <w:pPr>
        <w:pStyle w:val="BodyText"/>
        <w:tabs>
          <w:tab w:val="right" w:leader="dot" w:pos="8713"/>
        </w:tabs>
        <w:rPr>
          <w:rFonts w:ascii="Arial" w:eastAsia="Arial"/>
        </w:rPr>
      </w:pPr>
      <w:r>
        <w:t>五、监理程序控制图，文字描述报验流</w:t>
      </w:r>
      <w:r>
        <w:rPr>
          <w:spacing w:val="-10"/>
        </w:rPr>
        <w:t>程</w:t>
      </w:r>
      <w:r>
        <w:rPr>
          <w:rFonts w:ascii="Times New Roman" w:eastAsia="Times New Roman"/>
        </w:rPr>
        <w:tab/>
      </w:r>
      <w:r>
        <w:rPr>
          <w:rFonts w:ascii="Arial" w:eastAsia="Arial"/>
          <w:spacing w:val="-5"/>
        </w:rPr>
        <w:t>15</w:t>
      </w:r>
    </w:p>
    <w:p>
      <w:pPr>
        <w:pStyle w:val="BodyText"/>
        <w:tabs>
          <w:tab w:val="right" w:leader="dot" w:pos="8713"/>
        </w:tabs>
        <w:rPr>
          <w:rFonts w:ascii="Arial" w:eastAsia="Arial"/>
        </w:rPr>
      </w:pPr>
      <w:r>
        <w:t>六、施工监理工作内</w:t>
      </w:r>
      <w:r>
        <w:rPr>
          <w:spacing w:val="-10"/>
        </w:rPr>
        <w:t>容</w:t>
      </w:r>
      <w:r>
        <w:rPr>
          <w:rFonts w:ascii="Times New Roman" w:eastAsia="Times New Roman"/>
        </w:rPr>
        <w:tab/>
      </w:r>
      <w:r>
        <w:rPr>
          <w:rFonts w:ascii="Arial" w:eastAsia="Arial"/>
          <w:spacing w:val="-5"/>
        </w:rPr>
        <w:t>17</w:t>
      </w:r>
    </w:p>
    <w:p>
      <w:pPr>
        <w:pStyle w:val="BodyText"/>
        <w:tabs>
          <w:tab w:val="right" w:leader="dot" w:pos="8679"/>
        </w:tabs>
        <w:spacing w:before="239"/>
      </w:pPr>
      <w:r>
        <w:t>七、安全、环保、文明施工监理控制要</w:t>
      </w:r>
      <w:r>
        <w:rPr>
          <w:spacing w:val="-10"/>
        </w:rPr>
        <w:t>点</w:t>
      </w:r>
      <w:r>
        <w:rPr>
          <w:rFonts w:ascii="Times New Roman" w:eastAsia="Times New Roman"/>
        </w:rPr>
        <w:tab/>
      </w:r>
      <w:r>
        <w:rPr>
          <w:spacing w:val="-5"/>
        </w:rPr>
        <w:t>18</w:t>
      </w:r>
    </w:p>
    <w:p>
      <w:pPr>
        <w:pStyle w:val="BodyText"/>
        <w:tabs>
          <w:tab w:val="right" w:leader="dot" w:pos="8713"/>
        </w:tabs>
        <w:rPr>
          <w:rFonts w:ascii="Arial" w:eastAsia="Arial"/>
        </w:rPr>
      </w:pPr>
      <w:r>
        <w:t>八、信息监理工作要</w:t>
      </w:r>
      <w:r>
        <w:rPr>
          <w:spacing w:val="-10"/>
        </w:rPr>
        <w:t>点</w:t>
      </w:r>
      <w:r>
        <w:rPr>
          <w:rFonts w:ascii="Times New Roman" w:eastAsia="Times New Roman"/>
        </w:rPr>
        <w:tab/>
      </w:r>
      <w:r>
        <w:rPr>
          <w:rFonts w:ascii="Arial" w:eastAsia="Arial"/>
          <w:spacing w:val="-5"/>
        </w:rPr>
        <w:t>20</w:t>
      </w:r>
    </w:p>
    <w:p>
      <w:pPr>
        <w:pStyle w:val="BodyText"/>
        <w:tabs>
          <w:tab w:val="right" w:leader="dot" w:pos="8713"/>
        </w:tabs>
        <w:spacing w:before="239"/>
        <w:rPr>
          <w:rFonts w:ascii="Arial" w:eastAsia="Arial"/>
        </w:rPr>
      </w:pPr>
      <w:r>
        <w:t>九、质量验收标</w:t>
      </w:r>
      <w:r>
        <w:rPr>
          <w:spacing w:val="-10"/>
        </w:rPr>
        <w:t>准</w:t>
      </w:r>
      <w:r>
        <w:rPr>
          <w:rFonts w:ascii="Times New Roman" w:eastAsia="Times New Roman"/>
        </w:rPr>
        <w:tab/>
      </w:r>
      <w:r>
        <w:rPr>
          <w:rFonts w:ascii="Arial" w:eastAsia="Arial"/>
          <w:spacing w:val="-5"/>
        </w:rPr>
        <w:t>23</w:t>
      </w:r>
    </w:p>
    <w:p>
      <w:pPr>
        <w:pStyle w:val="BodyText"/>
        <w:tabs>
          <w:tab w:val="right" w:leader="dot" w:pos="8713"/>
        </w:tabs>
        <w:rPr>
          <w:rFonts w:ascii="Arial" w:eastAsia="Arial"/>
        </w:rPr>
      </w:pPr>
      <w:r>
        <w:t>十、本分项工程在本项目的监理控制重点、难</w:t>
      </w:r>
      <w:r>
        <w:rPr>
          <w:spacing w:val="-10"/>
        </w:rPr>
        <w:t>点</w:t>
      </w:r>
      <w:r>
        <w:rPr>
          <w:rFonts w:ascii="Times New Roman" w:eastAsia="Times New Roman"/>
        </w:rPr>
        <w:tab/>
      </w:r>
      <w:r>
        <w:rPr>
          <w:rFonts w:ascii="Arial" w:eastAsia="Arial"/>
          <w:spacing w:val="-5"/>
        </w:rPr>
        <w:t>28</w:t>
      </w:r>
    </w:p>
    <w:p>
      <w:pPr>
        <w:pStyle w:val="BodyText"/>
        <w:tabs>
          <w:tab w:val="right" w:leader="dot" w:pos="8713"/>
        </w:tabs>
        <w:rPr>
          <w:rFonts w:ascii="Arial" w:eastAsia="Arial"/>
        </w:rPr>
      </w:pPr>
      <w:r>
        <w:t>十一、旁站及质量控制点一览</w:t>
      </w:r>
      <w:r>
        <w:rPr>
          <w:spacing w:val="-10"/>
        </w:rPr>
        <w:t>表</w:t>
      </w:r>
      <w:r>
        <w:rPr>
          <w:rFonts w:ascii="Times New Roman" w:eastAsia="Times New Roman"/>
        </w:rPr>
        <w:tab/>
      </w:r>
      <w:r>
        <w:rPr>
          <w:rFonts w:ascii="Arial" w:eastAsia="Arial"/>
          <w:spacing w:val="-5"/>
        </w:rPr>
        <w:t>28</w:t>
      </w:r>
    </w:p>
    <w:p>
      <w:pPr>
        <w:pStyle w:val="BodyText"/>
        <w:spacing w:before="239"/>
      </w:pPr>
      <w:r>
        <w:rPr>
          <w:spacing w:val="-3"/>
        </w:rPr>
        <w:t>一、概述</w:t>
      </w:r>
    </w:p>
    <w:p>
      <w:pPr>
        <w:pStyle w:val="BodyText"/>
        <w:spacing w:line="388" w:lineRule="auto"/>
        <w:ind w:right="405"/>
        <w:jc w:val="both"/>
      </w:pPr>
      <w:r>
        <w:rPr>
          <w:spacing w:val="-2"/>
        </w:rPr>
        <w:t>主进场路工作区路灯照明、场内供配电及一、二号开闭所工程。</w:t>
      </w:r>
      <w:r>
        <w:rPr>
          <w:spacing w:val="-7"/>
        </w:rPr>
        <w:t xml:space="preserve">高压电缆敷设全长 </w:t>
      </w:r>
      <w:r>
        <w:rPr>
          <w:spacing w:val="-4"/>
        </w:rPr>
        <w:t>52.09KM</w:t>
      </w:r>
      <w:r>
        <w:rPr>
          <w:spacing w:val="-7"/>
        </w:rPr>
        <w:t xml:space="preserve">，低压电缆敷设全长 </w:t>
      </w:r>
      <w:r>
        <w:rPr>
          <w:spacing w:val="-4"/>
        </w:rPr>
        <w:t>39.6KM，主进场</w:t>
      </w:r>
      <w:r>
        <w:rPr>
          <w:spacing w:val="-11"/>
        </w:rPr>
        <w:t xml:space="preserve">路路灯安装 </w:t>
      </w:r>
      <w:r>
        <w:rPr>
          <w:spacing w:val="-6"/>
        </w:rPr>
        <w:t>348</w:t>
      </w:r>
      <w:r>
        <w:rPr>
          <w:spacing w:val="-13"/>
        </w:rPr>
        <w:t xml:space="preserve"> 盏，工作区道路路灯安装 </w:t>
      </w:r>
      <w:r>
        <w:rPr>
          <w:spacing w:val="-6"/>
        </w:rPr>
        <w:t>477</w:t>
      </w:r>
      <w:r>
        <w:rPr>
          <w:spacing w:val="-11"/>
        </w:rPr>
        <w:t xml:space="preserve"> 盏，停车场高杆灯</w:t>
      </w:r>
      <w:r>
        <w:rPr>
          <w:spacing w:val="-12"/>
        </w:rPr>
        <w:t xml:space="preserve">安装 </w:t>
      </w:r>
      <w:r>
        <w:rPr>
          <w:spacing w:val="-2"/>
        </w:rPr>
        <w:t>11</w:t>
      </w:r>
      <w:r>
        <w:rPr>
          <w:spacing w:val="-10"/>
        </w:rPr>
        <w:t xml:space="preserve"> 盏，离港桥上桥栏杆灯安装 </w:t>
      </w:r>
      <w:r>
        <w:rPr>
          <w:spacing w:val="-2"/>
        </w:rPr>
        <w:t>780</w:t>
      </w:r>
      <w:r>
        <w:rPr>
          <w:spacing w:val="-8"/>
        </w:rPr>
        <w:t xml:space="preserve"> 盏，离港桥下投光灯安</w:t>
      </w:r>
      <w:r>
        <w:rPr>
          <w:spacing w:val="-11"/>
        </w:rPr>
        <w:t xml:space="preserve">装 </w:t>
      </w:r>
      <w:r>
        <w:t>260</w:t>
      </w:r>
      <w:r>
        <w:rPr>
          <w:spacing w:val="-8"/>
        </w:rPr>
        <w:t xml:space="preserve"> 盏。</w:t>
      </w:r>
    </w:p>
    <w:p>
      <w:pPr>
        <w:pStyle w:val="BodyText"/>
        <w:spacing w:before="7"/>
      </w:pPr>
      <w:r>
        <w:rPr>
          <w:spacing w:val="-2"/>
        </w:rPr>
        <w:t>二、编制依据</w:t>
      </w:r>
    </w:p>
    <w:p>
      <w:pPr>
        <w:pStyle w:val="BodyText"/>
        <w:spacing w:before="239"/>
      </w:pPr>
      <w:r>
        <w:t>1</w:t>
      </w:r>
      <w:r>
        <w:rPr>
          <w:spacing w:val="-1"/>
        </w:rPr>
        <w:t>、设计图纸及变更文件</w:t>
      </w:r>
    </w:p>
    <w:p>
      <w:pPr>
        <w:pStyle w:val="BodyText"/>
      </w:pPr>
      <w:r>
        <w:t>2</w:t>
      </w:r>
      <w:r>
        <w:rPr>
          <w:spacing w:val="-1"/>
        </w:rPr>
        <w:t>、已批准的本工程的《监理规划》?</w:t>
      </w:r>
    </w:p>
    <w:p>
      <w:pPr>
        <w:pStyle w:val="BodyText"/>
        <w:spacing w:before="239"/>
      </w:pPr>
      <w:r>
        <w:rPr>
          <w:spacing w:val="-4"/>
        </w:rPr>
        <w:t>3、《电器装置安装工程低压电器施工及验收规范》GB50254-</w:t>
      </w:r>
      <w:r>
        <w:rPr>
          <w:spacing w:val="-5"/>
        </w:rPr>
        <w:t>96?</w:t>
      </w:r>
    </w:p>
    <w:p>
      <w:pPr>
        <w:spacing w:after="0"/>
        <w:sectPr>
          <w:pgSz w:w="11910" w:h="16840"/>
          <w:pgMar w:top="1500" w:right="1300" w:bottom="280" w:left="1220" w:header="708" w:footer="708"/>
          <w:pgNumType w:start="2"/>
          <w:cols w:space="708"/>
        </w:sectPr>
      </w:pPr>
    </w:p>
    <w:p>
      <w:pPr>
        <w:pStyle w:val="BodyText"/>
        <w:spacing w:before="44" w:line="388" w:lineRule="auto"/>
        <w:ind w:right="498"/>
      </w:pPr>
      <w:r>
        <w:t>4</w:t>
      </w:r>
      <w:r>
        <w:rPr>
          <w:spacing w:val="-5"/>
        </w:rPr>
        <w:t xml:space="preserve">、《电器装置安装工程低压 </w:t>
      </w:r>
      <w:r>
        <w:t>1KV</w:t>
      </w:r>
      <w:r>
        <w:rPr>
          <w:spacing w:val="-9"/>
        </w:rPr>
        <w:t xml:space="preserve"> 及以下配线工程施工及验收规</w:t>
      </w:r>
      <w:r>
        <w:rPr>
          <w:spacing w:val="-2"/>
        </w:rPr>
        <w:t>范》GB255-96?</w:t>
      </w:r>
    </w:p>
    <w:p>
      <w:pPr>
        <w:pStyle w:val="BodyText"/>
        <w:spacing w:before="2" w:line="388" w:lineRule="auto"/>
        <w:ind w:right="498"/>
      </w:pPr>
      <w:r>
        <w:t>5</w:t>
      </w:r>
      <w:r>
        <w:rPr>
          <w:spacing w:val="37"/>
        </w:rPr>
        <w:t>、《电器装置安装工程电气照明装置施工及验收规范》</w:t>
      </w:r>
      <w:r>
        <w:t xml:space="preserve"> </w:t>
      </w:r>
      <w:r>
        <w:rPr>
          <w:spacing w:val="-2"/>
        </w:rPr>
        <w:t>GB50259-96?</w:t>
      </w:r>
    </w:p>
    <w:p>
      <w:pPr>
        <w:pStyle w:val="BodyText"/>
        <w:spacing w:before="3"/>
      </w:pPr>
      <w:r>
        <w:rPr>
          <w:spacing w:val="-4"/>
        </w:rPr>
        <w:t>6、《电器装置安装工程接地装置施工及验收规范》GB50169-</w:t>
      </w:r>
      <w:r>
        <w:rPr>
          <w:spacing w:val="-5"/>
        </w:rPr>
        <w:t>92?</w:t>
      </w:r>
    </w:p>
    <w:p>
      <w:pPr>
        <w:pStyle w:val="BodyText"/>
      </w:pPr>
      <w:r>
        <w:rPr>
          <w:spacing w:val="-2"/>
        </w:rPr>
        <w:t>三、监理工作目标</w:t>
      </w:r>
    </w:p>
    <w:p>
      <w:pPr>
        <w:pStyle w:val="BodyText"/>
        <w:spacing w:before="239" w:line="388" w:lineRule="auto"/>
        <w:ind w:right="497"/>
        <w:jc w:val="both"/>
      </w:pPr>
      <w:r>
        <w:rPr>
          <w:spacing w:val="-4"/>
        </w:rPr>
        <w:t>对监理范围内的工程，在施工阶段，对其质量、工期、投资实施</w:t>
      </w:r>
      <w:r>
        <w:rPr>
          <w:spacing w:val="-4"/>
        </w:rPr>
        <w:t>动态的目标控制，做好和他管理，协调好与本项目有关建设各方</w:t>
      </w:r>
      <w:r>
        <w:rPr>
          <w:spacing w:val="-4"/>
        </w:rPr>
        <w:t>的关系，努力提高工程管理水平，使施工监理工作法制化、标准</w:t>
      </w:r>
      <w:r>
        <w:rPr>
          <w:spacing w:val="-2"/>
        </w:rPr>
        <w:t>化、程序化、制度化。</w:t>
      </w:r>
    </w:p>
    <w:p>
      <w:pPr>
        <w:pStyle w:val="BodyText"/>
        <w:spacing w:before="6"/>
      </w:pPr>
      <w:r>
        <w:rPr>
          <w:spacing w:val="-2"/>
        </w:rPr>
        <w:t>质量控制目标：</w:t>
      </w:r>
    </w:p>
    <w:p>
      <w:pPr>
        <w:pStyle w:val="BodyText"/>
        <w:spacing w:before="239" w:line="388" w:lineRule="auto"/>
        <w:ind w:right="1380"/>
      </w:pPr>
      <w:r>
        <w:rPr>
          <w:spacing w:val="-8"/>
        </w:rPr>
        <w:t xml:space="preserve">在确保保证项目合格率 </w:t>
      </w:r>
      <w:r>
        <w:rPr>
          <w:spacing w:val="-2"/>
        </w:rPr>
        <w:t>100%的基础上，力争达到优良。?</w:t>
      </w:r>
      <w:r>
        <w:rPr>
          <w:spacing w:val="-2"/>
        </w:rPr>
        <w:t>进度控制目标：确保工程在合同规定的工期内竣工。?</w:t>
      </w:r>
      <w:r>
        <w:rPr>
          <w:spacing w:val="40"/>
        </w:rPr>
        <w:t xml:space="preserve"> </w:t>
      </w:r>
      <w:r>
        <w:rPr>
          <w:spacing w:val="-2"/>
        </w:rPr>
        <w:t>四、施工工序及监理控制要点?</w:t>
      </w:r>
    </w:p>
    <w:p>
      <w:pPr>
        <w:pStyle w:val="BodyText"/>
        <w:spacing w:before="4"/>
      </w:pPr>
      <w:r>
        <w:t>1</w:t>
      </w:r>
      <w:r>
        <w:rPr>
          <w:spacing w:val="-1"/>
        </w:rPr>
        <w:t>、电源室设备安装控制监理</w:t>
      </w:r>
    </w:p>
    <w:p>
      <w:pPr>
        <w:pStyle w:val="ListParagraph"/>
        <w:numPr>
          <w:ilvl w:val="0"/>
          <w:numId w:val="32"/>
        </w:numPr>
        <w:tabs>
          <w:tab w:val="left" w:pos="1331"/>
        </w:tabs>
        <w:spacing w:before="240" w:after="0" w:line="240" w:lineRule="auto"/>
        <w:ind w:left="1331" w:right="0" w:hanging="751"/>
        <w:jc w:val="left"/>
        <w:rPr>
          <w:sz w:val="30"/>
        </w:rPr>
      </w:pPr>
      <w:r>
        <w:rPr>
          <w:spacing w:val="-1"/>
          <w:sz w:val="30"/>
        </w:rPr>
        <w:t>、电源室设备安装控制施工要求</w:t>
      </w:r>
    </w:p>
    <w:p>
      <w:pPr>
        <w:pStyle w:val="ListParagraph"/>
        <w:numPr>
          <w:ilvl w:val="0"/>
          <w:numId w:val="31"/>
        </w:numPr>
        <w:tabs>
          <w:tab w:val="left" w:pos="1033"/>
        </w:tabs>
        <w:spacing w:before="239" w:after="0" w:line="388" w:lineRule="auto"/>
        <w:ind w:left="580" w:right="498" w:firstLine="0"/>
        <w:jc w:val="left"/>
        <w:rPr>
          <w:sz w:val="30"/>
        </w:rPr>
      </w:pPr>
      <w:r>
        <w:rPr>
          <w:spacing w:val="-2"/>
          <w:sz w:val="30"/>
        </w:rPr>
        <w:t>电源室的设备、数量、型号、规格、技术指标应符合设计要</w:t>
      </w:r>
      <w:r>
        <w:rPr>
          <w:spacing w:val="-2"/>
          <w:sz w:val="30"/>
        </w:rPr>
        <w:t>求，随机技术文件应齐全。</w:t>
      </w:r>
    </w:p>
    <w:p>
      <w:pPr>
        <w:pStyle w:val="ListParagraph"/>
        <w:numPr>
          <w:ilvl w:val="0"/>
          <w:numId w:val="31"/>
        </w:numPr>
        <w:tabs>
          <w:tab w:val="left" w:pos="1033"/>
        </w:tabs>
        <w:spacing w:before="3" w:after="0" w:line="388" w:lineRule="auto"/>
        <w:ind w:left="580" w:right="497" w:firstLine="0"/>
        <w:jc w:val="both"/>
        <w:rPr>
          <w:sz w:val="30"/>
        </w:rPr>
      </w:pPr>
      <w:r>
        <w:rPr>
          <w:spacing w:val="-2"/>
          <w:sz w:val="30"/>
        </w:rPr>
        <w:t>电源室的设备安装应牢固，配线正确、清晰、美观，导线绝</w:t>
      </w:r>
      <w:r>
        <w:rPr>
          <w:spacing w:val="-4"/>
          <w:sz w:val="30"/>
        </w:rPr>
        <w:t>缘良好，无损伤。设备的安装地点、位置和排列均应符合设计要</w:t>
      </w:r>
      <w:r>
        <w:rPr>
          <w:spacing w:val="-6"/>
          <w:sz w:val="30"/>
        </w:rPr>
        <w:t>求。</w:t>
      </w:r>
    </w:p>
    <w:p>
      <w:pPr>
        <w:pStyle w:val="ListParagraph"/>
        <w:numPr>
          <w:ilvl w:val="0"/>
          <w:numId w:val="31"/>
        </w:numPr>
        <w:tabs>
          <w:tab w:val="left" w:pos="1033"/>
        </w:tabs>
        <w:spacing w:before="4" w:after="0" w:line="240" w:lineRule="auto"/>
        <w:ind w:left="1032" w:right="0" w:hanging="453"/>
        <w:jc w:val="left"/>
        <w:rPr>
          <w:sz w:val="30"/>
        </w:rPr>
      </w:pPr>
      <w:r>
        <w:rPr>
          <w:spacing w:val="-1"/>
          <w:sz w:val="30"/>
        </w:rPr>
        <w:t>电源室中各类配电盘、保护盘、控制台、屏、箱及成套柜等</w:t>
      </w:r>
    </w:p>
    <w:p>
      <w:pPr>
        <w:spacing w:after="0" w:line="240" w:lineRule="auto"/>
        <w:jc w:val="left"/>
        <w:rPr>
          <w:sz w:val="30"/>
        </w:rPr>
        <w:sectPr>
          <w:pgSz w:w="11910" w:h="16840"/>
          <w:pgMar w:top="1500" w:right="1300" w:bottom="280" w:left="1220" w:header="708" w:footer="708"/>
          <w:pgNumType w:start="3"/>
          <w:cols w:space="708"/>
        </w:sectPr>
      </w:pPr>
    </w:p>
    <w:p>
      <w:pPr>
        <w:pStyle w:val="BodyText"/>
        <w:spacing w:before="44" w:line="388" w:lineRule="auto"/>
        <w:ind w:right="405"/>
        <w:jc w:val="both"/>
      </w:pPr>
      <w:r>
        <w:rPr>
          <w:spacing w:val="-2"/>
        </w:rPr>
        <w:t>及二次回路结线安装工程的施工应符合国标（GB50172-92）《电</w:t>
      </w:r>
      <w:r>
        <w:rPr>
          <w:spacing w:val="-2"/>
        </w:rPr>
        <w:t>气安装工程盘、柜及二次结线施工及验收规范》中有关的规定。 4）蓄电池的安装应符合国标（GB50172-92）《电气装置安装工</w:t>
      </w:r>
      <w:r>
        <w:rPr>
          <w:spacing w:val="-2"/>
        </w:rPr>
        <w:t>程蓄电池施工及验收规范》中有关的规定。</w:t>
      </w:r>
    </w:p>
    <w:p>
      <w:pPr>
        <w:pStyle w:val="BodyText"/>
        <w:spacing w:before="5" w:line="388" w:lineRule="auto"/>
        <w:ind w:right="498"/>
      </w:pPr>
      <w:r>
        <w:rPr>
          <w:spacing w:val="-2"/>
        </w:rPr>
        <w:t>5）各设备之间的室内配线应采用槽道布放，且电源线和信号灯</w:t>
      </w:r>
      <w:r>
        <w:rPr>
          <w:spacing w:val="-4"/>
        </w:rPr>
        <w:t>应分开。</w:t>
      </w:r>
      <w:r>
        <w:rPr>
          <w:spacing w:val="80"/>
          <w:w w:val="150"/>
        </w:rPr>
        <w:t xml:space="preserve">                       </w:t>
      </w:r>
      <w:r>
        <w:rPr>
          <w:spacing w:val="-2"/>
        </w:rPr>
        <w:t>6）电源室各设备的功能、技术指标等应符合设计要求。</w:t>
      </w:r>
    </w:p>
    <w:p>
      <w:pPr>
        <w:pStyle w:val="BodyText"/>
        <w:spacing w:before="4" w:line="388" w:lineRule="auto"/>
        <w:ind w:right="498"/>
      </w:pPr>
      <w:r>
        <w:rPr>
          <w:spacing w:val="-2"/>
        </w:rPr>
        <w:t>7）电源室各设备应有良好的接地，接地电阻应符合设计要求及</w:t>
      </w:r>
      <w:r>
        <w:rPr>
          <w:spacing w:val="-2"/>
        </w:rPr>
        <w:t>国家现行有关标准的规定。</w:t>
      </w:r>
    </w:p>
    <w:p>
      <w:pPr>
        <w:pStyle w:val="ListParagraph"/>
        <w:numPr>
          <w:ilvl w:val="0"/>
          <w:numId w:val="32"/>
        </w:numPr>
        <w:tabs>
          <w:tab w:val="left" w:pos="1331"/>
        </w:tabs>
        <w:spacing w:before="3" w:after="0" w:line="240" w:lineRule="auto"/>
        <w:ind w:left="1331" w:right="0" w:hanging="751"/>
        <w:jc w:val="left"/>
        <w:rPr>
          <w:sz w:val="30"/>
        </w:rPr>
      </w:pPr>
      <w:r>
        <w:rPr>
          <w:spacing w:val="-1"/>
          <w:sz w:val="30"/>
        </w:rPr>
        <w:t>、电源室设备安装控制监理重点</w:t>
      </w:r>
    </w:p>
    <w:p>
      <w:pPr>
        <w:pStyle w:val="ListParagraph"/>
        <w:numPr>
          <w:ilvl w:val="0"/>
          <w:numId w:val="30"/>
        </w:numPr>
        <w:tabs>
          <w:tab w:val="left" w:pos="1033"/>
        </w:tabs>
        <w:spacing w:before="239" w:after="0" w:line="388" w:lineRule="auto"/>
        <w:ind w:left="580" w:right="347" w:firstLine="0"/>
        <w:jc w:val="left"/>
        <w:rPr>
          <w:sz w:val="30"/>
        </w:rPr>
      </w:pPr>
      <w:r>
        <w:rPr>
          <w:spacing w:val="-2"/>
          <w:sz w:val="30"/>
        </w:rPr>
        <w:t>各种设备的质量应符合现行国家有关标准。设备在安装前首</w:t>
      </w:r>
      <w:r>
        <w:rPr>
          <w:spacing w:val="-2"/>
          <w:sz w:val="30"/>
        </w:rPr>
        <w:t>先对其进行开箱验收，做好验收记录（参见设备开箱验收单）。</w:t>
      </w:r>
      <w:r>
        <w:rPr>
          <w:spacing w:val="-2"/>
          <w:sz w:val="30"/>
        </w:rPr>
        <w:t>重点验收以下内容：设备规格、型号和数量（与施工合同文件相</w:t>
      </w:r>
      <w:r>
        <w:rPr>
          <w:spacing w:val="-2"/>
          <w:sz w:val="30"/>
        </w:rPr>
        <w:t>对照）；检查三证（合格证、质保单和技术资料）是否齐全，进</w:t>
      </w:r>
      <w:r>
        <w:rPr>
          <w:spacing w:val="-20"/>
          <w:sz w:val="30"/>
        </w:rPr>
        <w:t>口设备尚需检查商检证。设备外观检查，主要检查设备有无损伤，</w:t>
      </w:r>
      <w:r>
        <w:rPr>
          <w:spacing w:val="-2"/>
          <w:sz w:val="30"/>
        </w:rPr>
        <w:t>镀层、漆层是否完整，零配件是否完好无损。设备配件、附件、</w:t>
      </w:r>
      <w:r>
        <w:rPr>
          <w:spacing w:val="-2"/>
          <w:sz w:val="30"/>
        </w:rPr>
        <w:t>备件是否齐全。设备与装箱清单相对照有无差错。必要时应进行</w:t>
      </w:r>
      <w:r>
        <w:rPr>
          <w:spacing w:val="-2"/>
          <w:sz w:val="30"/>
        </w:rPr>
        <w:t>电气特性的实验</w:t>
      </w:r>
    </w:p>
    <w:p>
      <w:pPr>
        <w:pStyle w:val="ListParagraph"/>
        <w:numPr>
          <w:ilvl w:val="0"/>
          <w:numId w:val="30"/>
        </w:numPr>
        <w:tabs>
          <w:tab w:val="left" w:pos="1033"/>
        </w:tabs>
        <w:spacing w:before="11" w:after="0" w:line="388" w:lineRule="auto"/>
        <w:ind w:left="580" w:right="347" w:firstLine="0"/>
        <w:jc w:val="both"/>
        <w:rPr>
          <w:sz w:val="30"/>
        </w:rPr>
      </w:pPr>
      <w:r>
        <w:rPr>
          <w:spacing w:val="-2"/>
          <w:sz w:val="30"/>
        </w:rPr>
        <w:t>电源室设备的安装、配线的随工检查。主要检查：施工工艺</w:t>
      </w:r>
      <w:r>
        <w:rPr>
          <w:spacing w:val="-2"/>
          <w:sz w:val="30"/>
        </w:rPr>
        <w:t>是否符合施工规范的要求。交直流配电瓶基础型钢的不直度、水</w:t>
      </w:r>
      <w:r>
        <w:rPr>
          <w:spacing w:val="-2"/>
          <w:sz w:val="30"/>
        </w:rPr>
        <w:t>平度、位置误差及不平行度，基础型钢应有可靠接地，交直流配</w:t>
      </w:r>
      <w:r>
        <w:rPr>
          <w:spacing w:val="-17"/>
          <w:sz w:val="30"/>
        </w:rPr>
        <w:t>电瓶与基础型钢间连接是否紧密，固定是否牢固，安装是否垂直。</w:t>
      </w:r>
    </w:p>
    <w:p>
      <w:pPr>
        <w:spacing w:after="0" w:line="388" w:lineRule="auto"/>
        <w:jc w:val="both"/>
        <w:rPr>
          <w:sz w:val="30"/>
        </w:rPr>
        <w:sectPr>
          <w:pgSz w:w="11910" w:h="16840"/>
          <w:pgMar w:top="1500" w:right="1300" w:bottom="280" w:left="1220" w:header="708" w:footer="708"/>
          <w:pgNumType w:start="4"/>
          <w:cols w:space="708"/>
        </w:sectPr>
      </w:pPr>
    </w:p>
    <w:p>
      <w:pPr>
        <w:pStyle w:val="BodyText"/>
        <w:spacing w:before="44" w:line="388" w:lineRule="auto"/>
        <w:ind w:right="405"/>
        <w:jc w:val="both"/>
      </w:pPr>
      <w:r>
        <w:rPr>
          <w:spacing w:val="-2"/>
        </w:rPr>
        <w:t>手车式或抽屉式开关柜在推人或拉出时应灵活，机械闭锁可靠。</w:t>
      </w:r>
      <w:r>
        <w:t>交流稳压电源、UPS</w:t>
      </w:r>
      <w:r>
        <w:rPr>
          <w:spacing w:val="-6"/>
        </w:rPr>
        <w:t xml:space="preserve"> 的接地是否可靠。所使用的电源线、连接导</w:t>
      </w:r>
      <w:r>
        <w:rPr>
          <w:spacing w:val="-2"/>
        </w:rPr>
        <w:t>线、信号线以及其他辅材的质量，导线绝缘应良好，无损伤。接</w:t>
      </w:r>
      <w:r>
        <w:rPr>
          <w:spacing w:val="-2"/>
        </w:rPr>
        <w:t>线正确，连接可靠，接线端子标志清晰，柜(箱)内配线应整齐美</w:t>
      </w:r>
      <w:r>
        <w:rPr>
          <w:spacing w:val="-2"/>
        </w:rPr>
        <w:t>观。设备的门锁、开关、按键启闭灵活，指示灯、光字牌等显示</w:t>
      </w:r>
      <w:r>
        <w:rPr>
          <w:spacing w:val="-2"/>
        </w:rPr>
        <w:t>准确，工作可靠。有无安全隐患(人身和设备)。</w:t>
      </w:r>
    </w:p>
    <w:p>
      <w:pPr>
        <w:pStyle w:val="ListParagraph"/>
        <w:numPr>
          <w:ilvl w:val="0"/>
          <w:numId w:val="30"/>
        </w:numPr>
        <w:tabs>
          <w:tab w:val="left" w:pos="1031"/>
        </w:tabs>
        <w:spacing w:before="8" w:after="0" w:line="388" w:lineRule="auto"/>
        <w:ind w:left="580" w:right="347" w:firstLine="0"/>
        <w:jc w:val="left"/>
        <w:rPr>
          <w:sz w:val="30"/>
        </w:rPr>
      </w:pPr>
      <w:r>
        <w:rPr>
          <w:spacing w:val="-2"/>
          <w:sz w:val="30"/>
        </w:rPr>
        <w:t>电源室设备各种功能的测试检查可根据质量标准和设计文件</w:t>
      </w:r>
      <w:r>
        <w:rPr>
          <w:spacing w:val="-2"/>
          <w:sz w:val="30"/>
        </w:rPr>
        <w:t>、合同文件所规定的各项功能要求进行逐项测试。</w:t>
      </w:r>
    </w:p>
    <w:p>
      <w:pPr>
        <w:pStyle w:val="ListParagraph"/>
        <w:numPr>
          <w:ilvl w:val="0"/>
          <w:numId w:val="30"/>
        </w:numPr>
        <w:tabs>
          <w:tab w:val="left" w:pos="1033"/>
        </w:tabs>
        <w:spacing w:before="2" w:after="0" w:line="388" w:lineRule="auto"/>
        <w:ind w:left="580" w:right="497" w:firstLine="0"/>
        <w:jc w:val="both"/>
        <w:rPr>
          <w:sz w:val="30"/>
        </w:rPr>
      </w:pPr>
      <w:r>
        <w:rPr>
          <w:spacing w:val="-2"/>
          <w:sz w:val="30"/>
        </w:rPr>
        <w:t>接地系统的检查各设备的接地均应单独接至接地排上，决不</w:t>
      </w:r>
      <w:r>
        <w:rPr>
          <w:spacing w:val="-4"/>
          <w:sz w:val="30"/>
        </w:rPr>
        <w:t>允许采用复联线接法。接地电阻一般按联合接地考虑，其接地电</w:t>
      </w:r>
      <w:r>
        <w:rPr>
          <w:spacing w:val="-2"/>
          <w:sz w:val="30"/>
        </w:rPr>
        <w:t>阻值≤lΩ。</w:t>
      </w:r>
    </w:p>
    <w:p>
      <w:pPr>
        <w:pStyle w:val="ListParagraph"/>
        <w:numPr>
          <w:ilvl w:val="0"/>
          <w:numId w:val="32"/>
        </w:numPr>
        <w:tabs>
          <w:tab w:val="left" w:pos="1331"/>
        </w:tabs>
        <w:spacing w:before="4" w:after="0" w:line="240" w:lineRule="auto"/>
        <w:ind w:left="1331" w:right="0" w:hanging="751"/>
        <w:jc w:val="left"/>
        <w:rPr>
          <w:sz w:val="30"/>
        </w:rPr>
      </w:pPr>
      <w:r>
        <w:rPr>
          <w:spacing w:val="-1"/>
          <w:sz w:val="30"/>
        </w:rPr>
        <w:t>、电源室设备安装控制质量标准</w:t>
      </w:r>
    </w:p>
    <w:p>
      <w:pPr>
        <w:pStyle w:val="ListParagraph"/>
        <w:numPr>
          <w:ilvl w:val="0"/>
          <w:numId w:val="29"/>
        </w:numPr>
        <w:tabs>
          <w:tab w:val="left" w:pos="1033"/>
        </w:tabs>
        <w:spacing w:before="240" w:after="0" w:line="388" w:lineRule="auto"/>
        <w:ind w:left="580" w:right="498" w:firstLine="0"/>
        <w:jc w:val="left"/>
        <w:rPr>
          <w:sz w:val="3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29.5pt;height:92.95pt;margin-top:68.29pt;margin-left:84.35pt;mso-position-horizontal-relative:page;position:absolute;z-index:251658240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59"/>
                    <w:gridCol w:w="2861"/>
                    <w:gridCol w:w="2860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9"/>
                      <w:jc w:val="left"/>
                    </w:trPr>
                    <w:tc>
                      <w:tcPr>
                        <w:tcW w:w="2859" w:type="dxa"/>
                        <w:vMerge w:val="restart"/>
                      </w:tcPr>
                      <w:p>
                        <w:pPr>
                          <w:pStyle w:val="TableParagraph"/>
                          <w:spacing w:before="212"/>
                          <w:ind w:left="457" w:right="44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项目</w:t>
                        </w:r>
                      </w:p>
                    </w:tc>
                    <w:tc>
                      <w:tcPr>
                        <w:tcW w:w="5721" w:type="dxa"/>
                        <w:gridSpan w:val="2"/>
                      </w:tcPr>
                      <w:p>
                        <w:pPr>
                          <w:pStyle w:val="TableParagraph"/>
                          <w:spacing w:before="27"/>
                          <w:ind w:left="2366" w:right="235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允许偏差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9"/>
                      <w:jc w:val="left"/>
                    </w:trPr>
                    <w:tc>
                      <w:tcPr>
                        <w:tcW w:w="285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61" w:type="dxa"/>
                      </w:tcPr>
                      <w:p>
                        <w:pPr>
                          <w:pStyle w:val="TableParagraph"/>
                          <w:spacing w:before="27"/>
                          <w:ind w:left="818" w:right="80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每米</w:t>
                        </w:r>
                        <w:r>
                          <w:rPr>
                            <w:spacing w:val="-4"/>
                            <w:sz w:val="24"/>
                          </w:rPr>
                          <w:t>（mm）</w:t>
                        </w:r>
                      </w:p>
                    </w:tc>
                    <w:tc>
                      <w:tcPr>
                        <w:tcW w:w="2860" w:type="dxa"/>
                      </w:tcPr>
                      <w:p>
                        <w:pPr>
                          <w:pStyle w:val="TableParagraph"/>
                          <w:spacing w:before="27"/>
                          <w:ind w:left="817" w:right="80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全长</w:t>
                        </w:r>
                        <w:r>
                          <w:rPr>
                            <w:spacing w:val="-4"/>
                            <w:sz w:val="24"/>
                          </w:rPr>
                          <w:t>（mm）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9"/>
                      <w:jc w:val="left"/>
                    </w:trPr>
                    <w:tc>
                      <w:tcPr>
                        <w:tcW w:w="2859" w:type="dxa"/>
                      </w:tcPr>
                      <w:p>
                        <w:pPr>
                          <w:pStyle w:val="TableParagraph"/>
                          <w:spacing w:before="27"/>
                          <w:ind w:left="457" w:right="44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不直度</w:t>
                        </w:r>
                      </w:p>
                    </w:tc>
                    <w:tc>
                      <w:tcPr>
                        <w:tcW w:w="2861" w:type="dxa"/>
                      </w:tcPr>
                      <w:p>
                        <w:pPr>
                          <w:pStyle w:val="TableParagraph"/>
                          <w:spacing w:before="27"/>
                          <w:ind w:left="818" w:right="809"/>
                          <w:jc w:val="center"/>
                          <w:rPr>
                            <w:rFonts w:ascii="宋体"/>
                            <w:sz w:val="24"/>
                          </w:rPr>
                        </w:pPr>
                        <w:r>
                          <w:rPr>
                            <w:rFonts w:ascii="宋体"/>
                            <w:spacing w:val="-5"/>
                            <w:sz w:val="24"/>
                          </w:rPr>
                          <w:t>&lt;1</w:t>
                        </w:r>
                      </w:p>
                    </w:tc>
                    <w:tc>
                      <w:tcPr>
                        <w:tcW w:w="2860" w:type="dxa"/>
                      </w:tcPr>
                      <w:p>
                        <w:pPr>
                          <w:pStyle w:val="TableParagraph"/>
                          <w:spacing w:before="27"/>
                          <w:ind w:left="817" w:right="808"/>
                          <w:jc w:val="center"/>
                          <w:rPr>
                            <w:rFonts w:ascii="宋体"/>
                            <w:sz w:val="24"/>
                          </w:rPr>
                        </w:pPr>
                        <w:r>
                          <w:rPr>
                            <w:rFonts w:ascii="宋体"/>
                            <w:spacing w:val="-5"/>
                            <w:sz w:val="24"/>
                          </w:rPr>
                          <w:t>&lt;1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9"/>
                      <w:jc w:val="left"/>
                    </w:trPr>
                    <w:tc>
                      <w:tcPr>
                        <w:tcW w:w="2859" w:type="dxa"/>
                      </w:tcPr>
                      <w:p>
                        <w:pPr>
                          <w:pStyle w:val="TableParagraph"/>
                          <w:spacing w:before="27"/>
                          <w:ind w:left="457" w:right="44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水平度</w:t>
                        </w:r>
                      </w:p>
                    </w:tc>
                    <w:tc>
                      <w:tcPr>
                        <w:tcW w:w="2861" w:type="dxa"/>
                      </w:tcPr>
                      <w:p>
                        <w:pPr>
                          <w:pStyle w:val="TableParagraph"/>
                          <w:spacing w:before="27"/>
                          <w:ind w:left="818" w:right="809"/>
                          <w:jc w:val="center"/>
                          <w:rPr>
                            <w:rFonts w:ascii="宋体"/>
                            <w:sz w:val="24"/>
                          </w:rPr>
                        </w:pPr>
                        <w:r>
                          <w:rPr>
                            <w:rFonts w:ascii="宋体"/>
                            <w:spacing w:val="-5"/>
                            <w:sz w:val="24"/>
                          </w:rPr>
                          <w:t>&lt;1</w:t>
                        </w:r>
                      </w:p>
                    </w:tc>
                    <w:tc>
                      <w:tcPr>
                        <w:tcW w:w="2860" w:type="dxa"/>
                      </w:tcPr>
                      <w:p>
                        <w:pPr>
                          <w:pStyle w:val="TableParagraph"/>
                          <w:spacing w:before="27"/>
                          <w:ind w:left="817" w:right="808"/>
                          <w:jc w:val="center"/>
                          <w:rPr>
                            <w:rFonts w:ascii="宋体"/>
                            <w:sz w:val="24"/>
                          </w:rPr>
                        </w:pPr>
                        <w:r>
                          <w:rPr>
                            <w:rFonts w:ascii="宋体"/>
                            <w:spacing w:val="-5"/>
                            <w:sz w:val="24"/>
                          </w:rPr>
                          <w:t>&lt;1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3"/>
                      <w:jc w:val="left"/>
                    </w:trPr>
                    <w:tc>
                      <w:tcPr>
                        <w:tcW w:w="2859" w:type="dxa"/>
                      </w:tcPr>
                      <w:p>
                        <w:pPr>
                          <w:pStyle w:val="TableParagraph"/>
                          <w:spacing w:before="30"/>
                          <w:ind w:left="457" w:right="44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位置偏差及不平度</w:t>
                        </w:r>
                      </w:p>
                    </w:tc>
                    <w:tc>
                      <w:tcPr>
                        <w:tcW w:w="28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860" w:type="dxa"/>
                      </w:tcPr>
                      <w:p>
                        <w:pPr>
                          <w:pStyle w:val="TableParagraph"/>
                          <w:spacing w:before="30"/>
                          <w:ind w:left="817" w:right="808"/>
                          <w:jc w:val="center"/>
                          <w:rPr>
                            <w:rFonts w:ascii="宋体"/>
                            <w:sz w:val="24"/>
                          </w:rPr>
                        </w:pPr>
                        <w:r>
                          <w:rPr>
                            <w:rFonts w:ascii="宋体"/>
                            <w:spacing w:val="-5"/>
                            <w:sz w:val="24"/>
                          </w:rPr>
                          <w:t>&lt;2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</v:shape>
        </w:pict>
      </w:r>
      <w:r>
        <w:rPr>
          <w:spacing w:val="-2"/>
          <w:sz w:val="30"/>
        </w:rPr>
        <w:t>交直流配电屏基础型钢安装允许偏差应符合基础型钢安装允</w:t>
      </w:r>
      <w:r>
        <w:rPr>
          <w:spacing w:val="-2"/>
          <w:sz w:val="30"/>
        </w:rPr>
        <w:t>许偏差表的规定。基础型钢安装允许偏差表</w:t>
      </w: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5"/>
        <w:ind w:left="0"/>
        <w:rPr>
          <w:sz w:val="25"/>
        </w:rPr>
      </w:pPr>
    </w:p>
    <w:p>
      <w:pPr>
        <w:pStyle w:val="ListParagraph"/>
        <w:numPr>
          <w:ilvl w:val="0"/>
          <w:numId w:val="29"/>
        </w:numPr>
        <w:tabs>
          <w:tab w:val="left" w:pos="1033"/>
        </w:tabs>
        <w:spacing w:before="0" w:after="0" w:line="388" w:lineRule="auto"/>
        <w:ind w:left="580" w:right="498" w:firstLine="0"/>
        <w:jc w:val="left"/>
        <w:rPr>
          <w:sz w:val="30"/>
        </w:rPr>
      </w:pPr>
      <w:r>
        <w:rPr>
          <w:spacing w:val="-2"/>
          <w:sz w:val="30"/>
        </w:rPr>
        <w:t>交直流配电盘柜安装的允许偏差应符合盘柜安装的允许偏差</w:t>
      </w:r>
      <w:r>
        <w:rPr>
          <w:spacing w:val="-2"/>
          <w:sz w:val="30"/>
        </w:rPr>
        <w:t>表的规定。</w:t>
      </w:r>
    </w:p>
    <w:p>
      <w:pPr>
        <w:pStyle w:val="BodyText"/>
        <w:spacing w:before="2"/>
      </w:pPr>
      <w:r>
        <w:rPr>
          <w:spacing w:val="-1"/>
        </w:rPr>
        <w:t>盘柜安装的允许偏差表</w:t>
      </w:r>
    </w:p>
    <w:p>
      <w:pPr>
        <w:pStyle w:val="BodyText"/>
        <w:spacing w:before="2" w:after="1"/>
        <w:ind w:left="0"/>
        <w:rPr>
          <w:sz w:val="9"/>
        </w:rPr>
      </w:pPr>
    </w:p>
    <w:tbl>
      <w:tblPr>
        <w:tblStyle w:val="TableNormal0"/>
        <w:tblW w:w="0" w:type="auto"/>
        <w:jc w:val="left"/>
        <w:tblInd w:w="4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40"/>
        <w:gridCol w:w="2841"/>
        <w:gridCol w:w="2841"/>
      </w:tblGrid>
      <w:tr>
        <w:tblPrEx>
          <w:tblW w:w="0" w:type="auto"/>
          <w:jc w:val="left"/>
          <w:tblInd w:w="47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681" w:type="dxa"/>
            <w:gridSpan w:val="2"/>
          </w:tcPr>
          <w:p>
            <w:pPr>
              <w:pStyle w:val="TableParagraph"/>
              <w:spacing w:before="4" w:line="288" w:lineRule="exact"/>
              <w:ind w:left="1985" w:right="19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项目</w:t>
            </w:r>
          </w:p>
        </w:tc>
        <w:tc>
          <w:tcPr>
            <w:tcW w:w="2841" w:type="dxa"/>
          </w:tcPr>
          <w:p>
            <w:pPr>
              <w:pStyle w:val="TableParagraph"/>
              <w:spacing w:before="4" w:line="288" w:lineRule="exact"/>
              <w:ind w:left="568" w:right="559"/>
              <w:jc w:val="center"/>
              <w:rPr>
                <w:sz w:val="24"/>
              </w:rPr>
            </w:pPr>
            <w:r>
              <w:rPr>
                <w:sz w:val="24"/>
              </w:rPr>
              <w:t>允许偏差</w:t>
            </w:r>
            <w:r>
              <w:rPr>
                <w:spacing w:val="-4"/>
                <w:sz w:val="24"/>
              </w:rPr>
              <w:t>（mm）</w:t>
            </w:r>
          </w:p>
        </w:tc>
      </w:tr>
      <w:tr>
        <w:tblPrEx>
          <w:tblW w:w="0" w:type="auto"/>
          <w:jc w:val="left"/>
          <w:tblInd w:w="4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681" w:type="dxa"/>
            <w:gridSpan w:val="2"/>
          </w:tcPr>
          <w:p>
            <w:pPr>
              <w:pStyle w:val="TableParagraph"/>
              <w:spacing w:before="4" w:line="288" w:lineRule="exact"/>
              <w:ind w:left="1985" w:right="1975"/>
              <w:jc w:val="center"/>
              <w:rPr>
                <w:sz w:val="24"/>
              </w:rPr>
            </w:pPr>
            <w:r>
              <w:rPr>
                <w:sz w:val="24"/>
              </w:rPr>
              <w:t>垂直度（每米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2841" w:type="dxa"/>
          </w:tcPr>
          <w:p>
            <w:pPr>
              <w:pStyle w:val="TableParagraph"/>
              <w:spacing w:before="4" w:line="288" w:lineRule="exact"/>
              <w:ind w:left="568" w:right="559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pacing w:val="-4"/>
                <w:sz w:val="24"/>
              </w:rPr>
              <w:t>&lt;1.5</w:t>
            </w:r>
          </w:p>
        </w:tc>
      </w:tr>
      <w:tr>
        <w:tblPrEx>
          <w:tblW w:w="0" w:type="auto"/>
          <w:jc w:val="left"/>
          <w:tblInd w:w="4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840" w:type="dxa"/>
            <w:vMerge w:val="restart"/>
          </w:tcPr>
          <w:p>
            <w:pPr>
              <w:pStyle w:val="TableParagraph"/>
              <w:spacing w:before="165"/>
              <w:ind w:left="939"/>
              <w:rPr>
                <w:sz w:val="24"/>
              </w:rPr>
            </w:pPr>
            <w:r>
              <w:rPr>
                <w:spacing w:val="-3"/>
                <w:sz w:val="24"/>
              </w:rPr>
              <w:t>水平偏差</w:t>
            </w:r>
          </w:p>
        </w:tc>
        <w:tc>
          <w:tcPr>
            <w:tcW w:w="2841" w:type="dxa"/>
          </w:tcPr>
          <w:p>
            <w:pPr>
              <w:pStyle w:val="TableParagraph"/>
              <w:spacing w:before="4" w:line="288" w:lineRule="exact"/>
              <w:ind w:left="568" w:right="55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相邻两柜顶部</w:t>
            </w:r>
          </w:p>
        </w:tc>
        <w:tc>
          <w:tcPr>
            <w:tcW w:w="2841" w:type="dxa"/>
          </w:tcPr>
          <w:p>
            <w:pPr>
              <w:pStyle w:val="TableParagraph"/>
              <w:spacing w:before="4" w:line="288" w:lineRule="exact"/>
              <w:ind w:left="568" w:right="559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pacing w:val="-5"/>
                <w:sz w:val="24"/>
              </w:rPr>
              <w:t>&lt;2</w:t>
            </w:r>
          </w:p>
        </w:tc>
      </w:tr>
      <w:tr>
        <w:tblPrEx>
          <w:tblW w:w="0" w:type="auto"/>
          <w:jc w:val="left"/>
          <w:tblInd w:w="4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8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1" w:type="dxa"/>
          </w:tcPr>
          <w:p>
            <w:pPr>
              <w:pStyle w:val="TableParagraph"/>
              <w:spacing w:before="4" w:line="288" w:lineRule="exact"/>
              <w:ind w:left="568" w:right="55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成列柜顶部</w:t>
            </w:r>
          </w:p>
        </w:tc>
        <w:tc>
          <w:tcPr>
            <w:tcW w:w="2841" w:type="dxa"/>
          </w:tcPr>
          <w:p>
            <w:pPr>
              <w:pStyle w:val="TableParagraph"/>
              <w:spacing w:before="4" w:line="288" w:lineRule="exact"/>
              <w:ind w:left="568" w:right="559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pacing w:val="-5"/>
                <w:sz w:val="24"/>
              </w:rPr>
              <w:t>&lt;5</w:t>
            </w:r>
          </w:p>
        </w:tc>
      </w:tr>
    </w:tbl>
    <w:p>
      <w:pPr>
        <w:spacing w:after="0" w:line="288" w:lineRule="exact"/>
        <w:jc w:val="center"/>
        <w:rPr>
          <w:rFonts w:ascii="宋体"/>
          <w:sz w:val="24"/>
        </w:rPr>
        <w:sectPr>
          <w:pgSz w:w="11910" w:h="16840"/>
          <w:pgMar w:top="1500" w:right="1300" w:bottom="1496" w:left="1220" w:header="708" w:footer="708"/>
          <w:pgNumType w:start="5"/>
          <w:cols w:space="708"/>
        </w:sectPr>
      </w:pPr>
    </w:p>
    <w:tbl>
      <w:tblPr>
        <w:tblStyle w:val="TableNormal1"/>
        <w:tblW w:w="0" w:type="auto"/>
        <w:jc w:val="left"/>
        <w:tblInd w:w="4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40"/>
        <w:gridCol w:w="2841"/>
        <w:gridCol w:w="2841"/>
      </w:tblGrid>
      <w:tr>
        <w:tblPrEx>
          <w:tblW w:w="0" w:type="auto"/>
          <w:jc w:val="left"/>
          <w:tblInd w:w="47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840" w:type="dxa"/>
            <w:vMerge w:val="restart"/>
          </w:tcPr>
          <w:p>
            <w:pPr>
              <w:pStyle w:val="TableParagraph"/>
              <w:spacing w:before="165"/>
              <w:ind w:left="939"/>
              <w:rPr>
                <w:sz w:val="24"/>
              </w:rPr>
            </w:pPr>
            <w:r>
              <w:rPr>
                <w:spacing w:val="-3"/>
                <w:sz w:val="24"/>
              </w:rPr>
              <w:t>盘面偏差</w:t>
            </w:r>
          </w:p>
        </w:tc>
        <w:tc>
          <w:tcPr>
            <w:tcW w:w="2841" w:type="dxa"/>
          </w:tcPr>
          <w:p>
            <w:pPr>
              <w:pStyle w:val="TableParagraph"/>
              <w:spacing w:before="4" w:line="288" w:lineRule="exact"/>
              <w:ind w:left="568" w:right="55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相邻两柜面</w:t>
            </w:r>
          </w:p>
        </w:tc>
        <w:tc>
          <w:tcPr>
            <w:tcW w:w="2841" w:type="dxa"/>
          </w:tcPr>
          <w:p>
            <w:pPr>
              <w:pStyle w:val="TableParagraph"/>
              <w:spacing w:before="4" w:line="288" w:lineRule="exact"/>
              <w:ind w:left="1300"/>
              <w:rPr>
                <w:rFonts w:ascii="宋体"/>
                <w:sz w:val="24"/>
              </w:rPr>
            </w:pPr>
            <w:r>
              <w:rPr>
                <w:rFonts w:ascii="宋体"/>
                <w:spacing w:val="-5"/>
                <w:sz w:val="24"/>
              </w:rPr>
              <w:t>&lt;1</w:t>
            </w:r>
          </w:p>
        </w:tc>
      </w:tr>
      <w:tr>
        <w:tblPrEx>
          <w:tblW w:w="0" w:type="auto"/>
          <w:jc w:val="left"/>
          <w:tblInd w:w="4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8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1" w:type="dxa"/>
          </w:tcPr>
          <w:p>
            <w:pPr>
              <w:pStyle w:val="TableParagraph"/>
              <w:spacing w:before="4" w:line="288" w:lineRule="exact"/>
              <w:ind w:left="568" w:right="558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成列柜面</w:t>
            </w:r>
          </w:p>
        </w:tc>
        <w:tc>
          <w:tcPr>
            <w:tcW w:w="2841" w:type="dxa"/>
          </w:tcPr>
          <w:p>
            <w:pPr>
              <w:pStyle w:val="TableParagraph"/>
              <w:spacing w:before="4" w:line="288" w:lineRule="exact"/>
              <w:ind w:left="1300"/>
              <w:rPr>
                <w:rFonts w:ascii="宋体"/>
                <w:sz w:val="24"/>
              </w:rPr>
            </w:pPr>
            <w:r>
              <w:rPr>
                <w:rFonts w:ascii="宋体"/>
                <w:spacing w:val="-5"/>
                <w:sz w:val="24"/>
              </w:rPr>
              <w:t>&lt;5</w:t>
            </w:r>
          </w:p>
        </w:tc>
      </w:tr>
      <w:tr>
        <w:tblPrEx>
          <w:tblW w:w="0" w:type="auto"/>
          <w:jc w:val="left"/>
          <w:tblInd w:w="4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681" w:type="dxa"/>
            <w:gridSpan w:val="2"/>
          </w:tcPr>
          <w:p>
            <w:pPr>
              <w:pStyle w:val="TableParagraph"/>
              <w:spacing w:before="4" w:line="288" w:lineRule="exact"/>
              <w:ind w:left="1985" w:right="1975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盘间接缝</w:t>
            </w:r>
          </w:p>
        </w:tc>
        <w:tc>
          <w:tcPr>
            <w:tcW w:w="2841" w:type="dxa"/>
          </w:tcPr>
          <w:p>
            <w:pPr>
              <w:pStyle w:val="TableParagraph"/>
              <w:spacing w:before="4" w:line="288" w:lineRule="exact"/>
              <w:ind w:left="1300"/>
              <w:rPr>
                <w:rFonts w:ascii="宋体"/>
                <w:sz w:val="24"/>
              </w:rPr>
            </w:pPr>
            <w:r>
              <w:rPr>
                <w:rFonts w:ascii="宋体"/>
                <w:spacing w:val="-5"/>
                <w:sz w:val="24"/>
              </w:rPr>
              <w:t>&lt;2</w:t>
            </w:r>
          </w:p>
        </w:tc>
      </w:tr>
    </w:tbl>
    <w:p>
      <w:pPr>
        <w:pStyle w:val="BodyText"/>
        <w:spacing w:before="9"/>
        <w:ind w:left="0"/>
        <w:rPr>
          <w:sz w:val="6"/>
        </w:rPr>
      </w:pPr>
    </w:p>
    <w:p>
      <w:pPr>
        <w:pStyle w:val="ListParagraph"/>
        <w:numPr>
          <w:ilvl w:val="0"/>
          <w:numId w:val="29"/>
        </w:numPr>
        <w:tabs>
          <w:tab w:val="left" w:pos="1031"/>
        </w:tabs>
        <w:spacing w:before="58" w:after="0" w:line="240" w:lineRule="auto"/>
        <w:ind w:left="1031" w:right="0" w:hanging="451"/>
        <w:jc w:val="left"/>
        <w:rPr>
          <w:sz w:val="30"/>
        </w:rPr>
      </w:pPr>
      <w:r>
        <w:rPr>
          <w:spacing w:val="-1"/>
          <w:sz w:val="30"/>
        </w:rPr>
        <w:t>交流稳压器的容量应符合设计要求。</w:t>
      </w:r>
    </w:p>
    <w:p>
      <w:pPr>
        <w:pStyle w:val="ListParagraph"/>
        <w:numPr>
          <w:ilvl w:val="0"/>
          <w:numId w:val="29"/>
        </w:numPr>
        <w:tabs>
          <w:tab w:val="left" w:pos="1031"/>
        </w:tabs>
        <w:spacing w:before="240" w:after="0" w:line="240" w:lineRule="auto"/>
        <w:ind w:left="1031" w:right="0" w:hanging="451"/>
        <w:jc w:val="left"/>
        <w:rPr>
          <w:sz w:val="30"/>
        </w:rPr>
      </w:pPr>
      <w:r>
        <w:rPr>
          <w:spacing w:val="-1"/>
          <w:sz w:val="30"/>
        </w:rPr>
        <w:t>交流稳压器输出电压精度(输入电压变化范围</w:t>
      </w:r>
      <w:r>
        <w:rPr>
          <w:spacing w:val="-2"/>
          <w:sz w:val="30"/>
        </w:rPr>
        <w:t>220/380±20％)：</w:t>
      </w:r>
    </w:p>
    <w:p>
      <w:pPr>
        <w:pStyle w:val="BodyText"/>
        <w:spacing w:before="239"/>
      </w:pPr>
      <w:r>
        <w:t>220／380±(1％～5％)</w:t>
      </w:r>
      <w:r>
        <w:rPr>
          <w:spacing w:val="-10"/>
        </w:rPr>
        <w:t>。</w:t>
      </w:r>
    </w:p>
    <w:p>
      <w:pPr>
        <w:pStyle w:val="ListParagraph"/>
        <w:numPr>
          <w:ilvl w:val="0"/>
          <w:numId w:val="29"/>
        </w:numPr>
        <w:tabs>
          <w:tab w:val="left" w:pos="1031"/>
        </w:tabs>
        <w:spacing w:before="240" w:after="0" w:line="388" w:lineRule="auto"/>
        <w:ind w:left="580" w:right="497" w:firstLine="0"/>
        <w:jc w:val="left"/>
        <w:rPr>
          <w:sz w:val="30"/>
        </w:rPr>
      </w:pPr>
      <w:r>
        <w:rPr>
          <w:spacing w:val="-2"/>
          <w:sz w:val="30"/>
        </w:rPr>
        <w:t>交流稳压器稳压时间(空载条件下输入电压相对于额定值阶</w:t>
      </w:r>
      <w:r>
        <w:rPr>
          <w:spacing w:val="-2"/>
          <w:sz w:val="30"/>
        </w:rPr>
        <w:t>跃变化±10％)≤1.5s。</w:t>
      </w:r>
    </w:p>
    <w:p>
      <w:pPr>
        <w:pStyle w:val="ListParagraph"/>
        <w:numPr>
          <w:ilvl w:val="0"/>
          <w:numId w:val="29"/>
        </w:numPr>
        <w:tabs>
          <w:tab w:val="left" w:pos="1031"/>
        </w:tabs>
        <w:spacing w:before="2" w:after="0" w:line="240" w:lineRule="auto"/>
        <w:ind w:left="1031" w:right="0" w:hanging="451"/>
        <w:jc w:val="left"/>
        <w:rPr>
          <w:sz w:val="30"/>
        </w:rPr>
      </w:pPr>
      <w:r>
        <w:rPr>
          <w:sz w:val="30"/>
        </w:rPr>
        <w:t>交流稳压器绝缘电阻≥300MΩ</w:t>
      </w:r>
      <w:r>
        <w:rPr>
          <w:spacing w:val="-10"/>
          <w:sz w:val="30"/>
        </w:rPr>
        <w:t>。</w:t>
      </w:r>
    </w:p>
    <w:p>
      <w:pPr>
        <w:pStyle w:val="ListParagraph"/>
        <w:numPr>
          <w:ilvl w:val="0"/>
          <w:numId w:val="29"/>
        </w:numPr>
        <w:tabs>
          <w:tab w:val="left" w:pos="1031"/>
        </w:tabs>
        <w:spacing w:before="240" w:after="0" w:line="240" w:lineRule="auto"/>
        <w:ind w:left="1031" w:right="0" w:hanging="451"/>
        <w:jc w:val="left"/>
        <w:rPr>
          <w:sz w:val="30"/>
        </w:rPr>
      </w:pPr>
      <w:r>
        <w:rPr>
          <w:sz w:val="30"/>
        </w:rPr>
        <w:t>UPS</w:t>
      </w:r>
      <w:r>
        <w:rPr>
          <w:spacing w:val="-10"/>
          <w:sz w:val="30"/>
        </w:rPr>
        <w:t xml:space="preserve"> 容量应满足设计要求。</w:t>
      </w:r>
    </w:p>
    <w:p>
      <w:pPr>
        <w:pStyle w:val="ListParagraph"/>
        <w:numPr>
          <w:ilvl w:val="0"/>
          <w:numId w:val="29"/>
        </w:numPr>
        <w:tabs>
          <w:tab w:val="left" w:pos="1031"/>
        </w:tabs>
        <w:spacing w:before="240" w:after="0" w:line="240" w:lineRule="auto"/>
        <w:ind w:left="1031" w:right="0" w:hanging="451"/>
        <w:jc w:val="left"/>
        <w:rPr>
          <w:sz w:val="30"/>
        </w:rPr>
      </w:pPr>
      <w:r>
        <w:rPr>
          <w:sz w:val="30"/>
        </w:rPr>
        <w:t>UPS</w:t>
      </w:r>
      <w:r>
        <w:rPr>
          <w:spacing w:val="-9"/>
          <w:sz w:val="30"/>
        </w:rPr>
        <w:t xml:space="preserve"> 输出电压精度(输入电压变化范围在设计要求范围之内)：</w:t>
      </w:r>
    </w:p>
    <w:p>
      <w:pPr>
        <w:pStyle w:val="BodyText"/>
        <w:spacing w:before="239"/>
      </w:pPr>
      <w:r>
        <w:t>220/380V±2％</w:t>
      </w:r>
      <w:r>
        <w:rPr>
          <w:spacing w:val="-10"/>
        </w:rPr>
        <w:t>。</w:t>
      </w:r>
    </w:p>
    <w:p>
      <w:pPr>
        <w:pStyle w:val="ListParagraph"/>
        <w:numPr>
          <w:ilvl w:val="0"/>
          <w:numId w:val="29"/>
        </w:numPr>
        <w:tabs>
          <w:tab w:val="left" w:pos="1031"/>
        </w:tabs>
        <w:spacing w:before="240" w:after="0" w:line="240" w:lineRule="auto"/>
        <w:ind w:left="1031" w:right="0" w:hanging="451"/>
        <w:jc w:val="left"/>
        <w:rPr>
          <w:sz w:val="30"/>
        </w:rPr>
      </w:pPr>
      <w:r>
        <w:rPr>
          <w:sz w:val="30"/>
        </w:rPr>
        <w:t>UPS</w:t>
      </w:r>
      <w:r>
        <w:rPr>
          <w:spacing w:val="-16"/>
          <w:sz w:val="30"/>
        </w:rPr>
        <w:t xml:space="preserve"> 频率精度</w:t>
      </w:r>
      <w:r>
        <w:rPr>
          <w:sz w:val="30"/>
        </w:rPr>
        <w:t>：50Hz±1％</w:t>
      </w:r>
      <w:r>
        <w:rPr>
          <w:spacing w:val="-10"/>
          <w:sz w:val="30"/>
        </w:rPr>
        <w:t>。</w:t>
      </w:r>
    </w:p>
    <w:p>
      <w:pPr>
        <w:pStyle w:val="ListParagraph"/>
        <w:numPr>
          <w:ilvl w:val="0"/>
          <w:numId w:val="29"/>
        </w:numPr>
        <w:tabs>
          <w:tab w:val="left" w:pos="1181"/>
        </w:tabs>
        <w:spacing w:before="240" w:after="0" w:line="240" w:lineRule="auto"/>
        <w:ind w:left="1181" w:right="0" w:hanging="601"/>
        <w:jc w:val="left"/>
        <w:rPr>
          <w:sz w:val="30"/>
        </w:rPr>
      </w:pPr>
      <w:r>
        <w:rPr>
          <w:spacing w:val="-2"/>
          <w:sz w:val="30"/>
        </w:rPr>
        <w:t>转换时间：零转换。</w:t>
      </w:r>
    </w:p>
    <w:p>
      <w:pPr>
        <w:pStyle w:val="ListParagraph"/>
        <w:numPr>
          <w:ilvl w:val="0"/>
          <w:numId w:val="29"/>
        </w:numPr>
        <w:tabs>
          <w:tab w:val="left" w:pos="1181"/>
        </w:tabs>
        <w:spacing w:before="239" w:after="0" w:line="240" w:lineRule="auto"/>
        <w:ind w:left="1181" w:right="0" w:hanging="601"/>
        <w:jc w:val="left"/>
        <w:rPr>
          <w:sz w:val="30"/>
        </w:rPr>
      </w:pPr>
      <w:r>
        <w:rPr>
          <w:sz w:val="30"/>
        </w:rPr>
        <w:t>UPS</w:t>
      </w:r>
      <w:r>
        <w:rPr>
          <w:spacing w:val="-9"/>
          <w:sz w:val="30"/>
        </w:rPr>
        <w:t xml:space="preserve"> 备用时间：按设计要求，放电终了单体电压</w:t>
      </w:r>
      <w:r>
        <w:rPr>
          <w:sz w:val="30"/>
        </w:rPr>
        <w:t>≥1.75V</w:t>
      </w:r>
      <w:r>
        <w:rPr>
          <w:spacing w:val="-10"/>
          <w:sz w:val="30"/>
        </w:rPr>
        <w:t>。</w:t>
      </w:r>
    </w:p>
    <w:p>
      <w:pPr>
        <w:pStyle w:val="ListParagraph"/>
        <w:numPr>
          <w:ilvl w:val="0"/>
          <w:numId w:val="29"/>
        </w:numPr>
        <w:tabs>
          <w:tab w:val="left" w:pos="1181"/>
        </w:tabs>
        <w:spacing w:before="240" w:after="0" w:line="240" w:lineRule="auto"/>
        <w:ind w:left="1181" w:right="0" w:hanging="601"/>
        <w:jc w:val="left"/>
        <w:rPr>
          <w:sz w:val="30"/>
        </w:rPr>
      </w:pPr>
      <w:r>
        <w:rPr>
          <w:sz w:val="30"/>
        </w:rPr>
        <w:t>UPS</w:t>
      </w:r>
      <w:r>
        <w:rPr>
          <w:spacing w:val="-10"/>
          <w:sz w:val="30"/>
        </w:rPr>
        <w:t xml:space="preserve"> 告警显示：声光信号显示正常</w:t>
      </w:r>
    </w:p>
    <w:p>
      <w:pPr>
        <w:pStyle w:val="ListParagraph"/>
        <w:numPr>
          <w:ilvl w:val="0"/>
          <w:numId w:val="29"/>
        </w:numPr>
        <w:tabs>
          <w:tab w:val="left" w:pos="1188"/>
        </w:tabs>
        <w:spacing w:before="239" w:after="0" w:line="388" w:lineRule="auto"/>
        <w:ind w:left="580" w:right="498" w:firstLine="0"/>
        <w:jc w:val="left"/>
        <w:rPr>
          <w:sz w:val="30"/>
        </w:rPr>
      </w:pPr>
      <w:r>
        <w:rPr>
          <w:spacing w:val="-2"/>
          <w:sz w:val="30"/>
        </w:rPr>
        <w:t xml:space="preserve">蓄电池充电性能：单体电压浮充 </w:t>
      </w:r>
      <w:r>
        <w:rPr>
          <w:sz w:val="30"/>
        </w:rPr>
        <w:t>2.23～2.27V(25±5℃)；组电压(24</w:t>
      </w:r>
      <w:r>
        <w:rPr>
          <w:spacing w:val="-21"/>
          <w:sz w:val="30"/>
        </w:rPr>
        <w:t xml:space="preserve"> 只</w:t>
      </w:r>
      <w:r>
        <w:rPr>
          <w:sz w:val="30"/>
        </w:rPr>
        <w:t>)53.5～54.5V(25±5℃)。</w:t>
      </w:r>
    </w:p>
    <w:p>
      <w:pPr>
        <w:pStyle w:val="ListParagraph"/>
        <w:numPr>
          <w:ilvl w:val="0"/>
          <w:numId w:val="29"/>
        </w:numPr>
        <w:tabs>
          <w:tab w:val="left" w:pos="1181"/>
        </w:tabs>
        <w:spacing w:before="3" w:after="0" w:line="240" w:lineRule="auto"/>
        <w:ind w:left="1181" w:right="0" w:hanging="601"/>
        <w:jc w:val="left"/>
        <w:rPr>
          <w:sz w:val="30"/>
        </w:rPr>
      </w:pPr>
      <w:r>
        <w:rPr>
          <w:spacing w:val="-18"/>
          <w:sz w:val="30"/>
        </w:rPr>
        <w:t xml:space="preserve">蓄电容量：蓄电池放电单体终止电压 </w:t>
      </w:r>
      <w:r>
        <w:rPr>
          <w:sz w:val="30"/>
        </w:rPr>
        <w:t>10h</w:t>
      </w:r>
      <w:r>
        <w:rPr>
          <w:spacing w:val="-20"/>
          <w:sz w:val="30"/>
        </w:rPr>
        <w:t xml:space="preserve"> 放电率</w:t>
      </w:r>
      <w:r>
        <w:rPr>
          <w:spacing w:val="-2"/>
          <w:sz w:val="30"/>
        </w:rPr>
        <w:t>≥1.8V(25±</w:t>
      </w:r>
    </w:p>
    <w:p>
      <w:pPr>
        <w:pStyle w:val="BodyText"/>
      </w:pPr>
      <w:r>
        <w:t>5℃)；</w:t>
      </w:r>
      <w:r>
        <w:rPr>
          <w:spacing w:val="-9"/>
        </w:rPr>
        <w:t xml:space="preserve">蓄电池放电组电压 </w:t>
      </w:r>
      <w:r>
        <w:t>10h</w:t>
      </w:r>
      <w:r>
        <w:rPr>
          <w:spacing w:val="-14"/>
        </w:rPr>
        <w:t xml:space="preserve"> 放电率≥-</w:t>
      </w:r>
      <w:r>
        <w:t>43.2V(25±5℃)</w:t>
      </w:r>
      <w:r>
        <w:rPr>
          <w:spacing w:val="-10"/>
        </w:rPr>
        <w:t>。</w:t>
      </w:r>
    </w:p>
    <w:p>
      <w:pPr>
        <w:pStyle w:val="ListParagraph"/>
        <w:numPr>
          <w:ilvl w:val="0"/>
          <w:numId w:val="29"/>
        </w:numPr>
        <w:tabs>
          <w:tab w:val="left" w:pos="1181"/>
        </w:tabs>
        <w:spacing w:before="239" w:after="0" w:line="240" w:lineRule="auto"/>
        <w:ind w:left="1181" w:right="0" w:hanging="601"/>
        <w:jc w:val="left"/>
        <w:rPr>
          <w:sz w:val="30"/>
        </w:rPr>
      </w:pPr>
      <w:r>
        <w:rPr>
          <w:spacing w:val="-22"/>
          <w:sz w:val="30"/>
        </w:rPr>
        <w:t>电源室接地电阻：联合接地方式</w:t>
      </w:r>
      <w:r>
        <w:rPr>
          <w:spacing w:val="-10"/>
          <w:sz w:val="30"/>
        </w:rPr>
        <w:t>≤1Ω；非联合接地方式≤4Ω。</w:t>
      </w:r>
    </w:p>
    <w:p>
      <w:pPr>
        <w:pStyle w:val="BodyText"/>
        <w:spacing w:line="388" w:lineRule="auto"/>
        <w:ind w:right="4455"/>
      </w:pPr>
      <w:r>
        <w:pict>
          <v:shape id="_x0000_s1026" type="#_x0000_t202" style="width:451.5pt;height:16.6pt;margin-top:68.29pt;margin-left:73.3pt;mso-position-horizontal-relative:page;position:absolute;z-index:25165926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50"/>
                    <w:gridCol w:w="2400"/>
                    <w:gridCol w:w="4583"/>
                    <w:gridCol w:w="737"/>
                    <w:gridCol w:w="650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650" w:type="dxa"/>
                      </w:tcPr>
                      <w:p>
                        <w:pPr>
                          <w:pStyle w:val="TableParagraph"/>
                          <w:spacing w:before="23"/>
                          <w:ind w:left="115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序号</w:t>
                        </w:r>
                      </w:p>
                    </w:tc>
                    <w:tc>
                      <w:tcPr>
                        <w:tcW w:w="2400" w:type="dxa"/>
                      </w:tcPr>
                      <w:p>
                        <w:pPr>
                          <w:pStyle w:val="TableParagraph"/>
                          <w:spacing w:before="23"/>
                          <w:ind w:left="675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质量控制点</w:t>
                        </w:r>
                      </w:p>
                    </w:tc>
                    <w:tc>
                      <w:tcPr>
                        <w:tcW w:w="4583" w:type="dxa"/>
                      </w:tcPr>
                      <w:p>
                        <w:pPr>
                          <w:pStyle w:val="TableParagraph"/>
                          <w:spacing w:before="23"/>
                          <w:ind w:left="1857" w:right="184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检查方法</w:t>
                        </w: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spacing w:before="23"/>
                          <w:ind w:left="158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检查</w:t>
                        </w:r>
                      </w:p>
                    </w:tc>
                    <w:tc>
                      <w:tcPr>
                        <w:tcW w:w="650" w:type="dxa"/>
                      </w:tcPr>
                      <w:p>
                        <w:pPr>
                          <w:pStyle w:val="TableParagraph"/>
                          <w:spacing w:before="23"/>
                          <w:ind w:left="115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备注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</v:shape>
        </w:pict>
      </w:r>
      <w:r>
        <w:rPr>
          <w:spacing w:val="-2"/>
        </w:rPr>
        <w:t>4）电源室设备安装控制检验方法</w:t>
      </w:r>
      <w:r>
        <w:rPr>
          <w:spacing w:val="-2"/>
        </w:rPr>
        <w:t>电源室设备检验方法</w:t>
      </w:r>
    </w:p>
    <w:p>
      <w:pPr>
        <w:spacing w:after="0" w:line="388" w:lineRule="auto"/>
        <w:sectPr>
          <w:type w:val="continuous"/>
          <w:pgSz w:w="11910" w:h="16840"/>
          <w:pgMar w:top="1400" w:right="1300" w:bottom="280" w:left="1220" w:header="708" w:footer="708"/>
          <w:pgNumType w:start="6"/>
          <w:cols w:space="708"/>
        </w:sectPr>
      </w:pPr>
    </w:p>
    <w:tbl>
      <w:tblPr>
        <w:tblStyle w:val="TableNormal2"/>
        <w:tblW w:w="0" w:type="auto"/>
        <w:jc w:val="left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0"/>
        <w:gridCol w:w="2400"/>
        <w:gridCol w:w="550"/>
        <w:gridCol w:w="714"/>
        <w:gridCol w:w="453"/>
        <w:gridCol w:w="467"/>
        <w:gridCol w:w="500"/>
        <w:gridCol w:w="517"/>
        <w:gridCol w:w="656"/>
        <w:gridCol w:w="726"/>
        <w:gridCol w:w="737"/>
        <w:gridCol w:w="650"/>
      </w:tblGrid>
      <w:tr>
        <w:tblPrEx>
          <w:tblW w:w="0" w:type="auto"/>
          <w:jc w:val="left"/>
          <w:tblInd w:w="25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50" w:type="dxa"/>
          </w:tcPr>
          <w:p>
            <w:pPr>
              <w:pStyle w:val="TableParagraph"/>
              <w:spacing w:before="23"/>
              <w:ind w:left="170"/>
              <w:rPr>
                <w:sz w:val="21"/>
              </w:rPr>
            </w:pPr>
            <w:r>
              <w:rPr>
                <w:sz w:val="21"/>
              </w:rPr>
              <w:t>旁</w:t>
            </w:r>
          </w:p>
          <w:p>
            <w:pPr>
              <w:pStyle w:val="TableParagraph"/>
              <w:spacing w:before="43"/>
              <w:ind w:left="170"/>
              <w:rPr>
                <w:sz w:val="21"/>
              </w:rPr>
            </w:pPr>
            <w:r>
              <w:rPr>
                <w:sz w:val="21"/>
              </w:rPr>
              <w:t>站</w:t>
            </w:r>
          </w:p>
        </w:tc>
        <w:tc>
          <w:tcPr>
            <w:tcW w:w="714" w:type="dxa"/>
          </w:tcPr>
          <w:p>
            <w:pPr>
              <w:pStyle w:val="TableParagraph"/>
              <w:spacing w:before="23"/>
              <w:ind w:left="147"/>
              <w:rPr>
                <w:sz w:val="21"/>
              </w:rPr>
            </w:pPr>
            <w:r>
              <w:rPr>
                <w:spacing w:val="-5"/>
                <w:sz w:val="21"/>
              </w:rPr>
              <w:t>随工</w:t>
            </w:r>
          </w:p>
          <w:p>
            <w:pPr>
              <w:pStyle w:val="TableParagraph"/>
              <w:spacing w:before="43"/>
              <w:ind w:left="147"/>
              <w:rPr>
                <w:sz w:val="21"/>
              </w:rPr>
            </w:pPr>
            <w:r>
              <w:rPr>
                <w:spacing w:val="-5"/>
                <w:sz w:val="21"/>
              </w:rPr>
              <w:t>检查</w:t>
            </w:r>
          </w:p>
        </w:tc>
        <w:tc>
          <w:tcPr>
            <w:tcW w:w="453" w:type="dxa"/>
          </w:tcPr>
          <w:p>
            <w:pPr>
              <w:pStyle w:val="TableParagraph"/>
              <w:spacing w:before="23"/>
              <w:ind w:left="121"/>
              <w:rPr>
                <w:sz w:val="21"/>
              </w:rPr>
            </w:pPr>
            <w:r>
              <w:rPr>
                <w:sz w:val="21"/>
              </w:rPr>
              <w:t>测</w:t>
            </w:r>
          </w:p>
          <w:p>
            <w:pPr>
              <w:pStyle w:val="TableParagraph"/>
              <w:spacing w:before="43"/>
              <w:ind w:left="121"/>
              <w:rPr>
                <w:sz w:val="21"/>
              </w:rPr>
            </w:pPr>
            <w:r>
              <w:rPr>
                <w:sz w:val="21"/>
              </w:rPr>
              <w:t>量</w:t>
            </w:r>
          </w:p>
        </w:tc>
        <w:tc>
          <w:tcPr>
            <w:tcW w:w="467" w:type="dxa"/>
          </w:tcPr>
          <w:p>
            <w:pPr>
              <w:pStyle w:val="TableParagraph"/>
              <w:spacing w:before="23"/>
              <w:ind w:left="128"/>
              <w:rPr>
                <w:sz w:val="21"/>
              </w:rPr>
            </w:pPr>
            <w:r>
              <w:rPr>
                <w:sz w:val="21"/>
              </w:rPr>
              <w:t>测</w:t>
            </w:r>
          </w:p>
          <w:p>
            <w:pPr>
              <w:pStyle w:val="TableParagraph"/>
              <w:spacing w:before="43"/>
              <w:ind w:left="128"/>
              <w:rPr>
                <w:sz w:val="21"/>
              </w:rPr>
            </w:pPr>
            <w:r>
              <w:rPr>
                <w:sz w:val="21"/>
              </w:rPr>
              <w:t>试</w:t>
            </w:r>
          </w:p>
        </w:tc>
        <w:tc>
          <w:tcPr>
            <w:tcW w:w="500" w:type="dxa"/>
          </w:tcPr>
          <w:p>
            <w:pPr>
              <w:pStyle w:val="TableParagraph"/>
              <w:spacing w:before="23"/>
              <w:ind w:left="145"/>
              <w:rPr>
                <w:sz w:val="21"/>
              </w:rPr>
            </w:pPr>
            <w:r>
              <w:rPr>
                <w:sz w:val="21"/>
              </w:rPr>
              <w:t>观</w:t>
            </w:r>
          </w:p>
          <w:p>
            <w:pPr>
              <w:pStyle w:val="TableParagraph"/>
              <w:spacing w:before="43"/>
              <w:ind w:left="145"/>
              <w:rPr>
                <w:sz w:val="21"/>
              </w:rPr>
            </w:pPr>
            <w:r>
              <w:rPr>
                <w:sz w:val="21"/>
              </w:rPr>
              <w:t>察</w:t>
            </w:r>
          </w:p>
        </w:tc>
        <w:tc>
          <w:tcPr>
            <w:tcW w:w="517" w:type="dxa"/>
          </w:tcPr>
          <w:p>
            <w:pPr>
              <w:pStyle w:val="TableParagraph"/>
              <w:spacing w:before="23"/>
              <w:ind w:left="153"/>
              <w:rPr>
                <w:sz w:val="21"/>
              </w:rPr>
            </w:pPr>
            <w:r>
              <w:rPr>
                <w:sz w:val="21"/>
              </w:rPr>
              <w:t>试</w:t>
            </w:r>
          </w:p>
          <w:p>
            <w:pPr>
              <w:pStyle w:val="TableParagraph"/>
              <w:spacing w:before="43"/>
              <w:ind w:left="153"/>
              <w:rPr>
                <w:sz w:val="21"/>
              </w:rPr>
            </w:pPr>
            <w:r>
              <w:rPr>
                <w:sz w:val="21"/>
              </w:rPr>
              <w:t>验</w:t>
            </w:r>
          </w:p>
        </w:tc>
        <w:tc>
          <w:tcPr>
            <w:tcW w:w="656" w:type="dxa"/>
          </w:tcPr>
          <w:p>
            <w:pPr>
              <w:pStyle w:val="TableParagraph"/>
              <w:spacing w:before="23"/>
              <w:ind w:left="117"/>
              <w:rPr>
                <w:sz w:val="21"/>
              </w:rPr>
            </w:pPr>
            <w:r>
              <w:rPr>
                <w:spacing w:val="-5"/>
                <w:sz w:val="21"/>
              </w:rPr>
              <w:t>出厂</w:t>
            </w:r>
          </w:p>
          <w:p>
            <w:pPr>
              <w:pStyle w:val="TableParagraph"/>
              <w:spacing w:before="43"/>
              <w:ind w:left="117"/>
              <w:rPr>
                <w:sz w:val="21"/>
              </w:rPr>
            </w:pPr>
            <w:r>
              <w:rPr>
                <w:spacing w:val="-5"/>
                <w:sz w:val="21"/>
              </w:rPr>
              <w:t>资料</w:t>
            </w:r>
          </w:p>
        </w:tc>
        <w:tc>
          <w:tcPr>
            <w:tcW w:w="726" w:type="dxa"/>
          </w:tcPr>
          <w:p>
            <w:pPr>
              <w:pStyle w:val="TableParagraph"/>
              <w:spacing w:before="23"/>
              <w:ind w:left="153"/>
              <w:rPr>
                <w:sz w:val="21"/>
              </w:rPr>
            </w:pPr>
            <w:r>
              <w:rPr>
                <w:spacing w:val="-5"/>
                <w:sz w:val="21"/>
              </w:rPr>
              <w:t>质保</w:t>
            </w:r>
          </w:p>
          <w:p>
            <w:pPr>
              <w:pStyle w:val="TableParagraph"/>
              <w:spacing w:before="43"/>
              <w:ind w:left="153"/>
              <w:rPr>
                <w:sz w:val="21"/>
              </w:rPr>
            </w:pPr>
            <w:r>
              <w:rPr>
                <w:spacing w:val="-5"/>
                <w:sz w:val="21"/>
              </w:rPr>
              <w:t>资料</w:t>
            </w:r>
          </w:p>
        </w:tc>
        <w:tc>
          <w:tcPr>
            <w:tcW w:w="737" w:type="dxa"/>
          </w:tcPr>
          <w:p>
            <w:pPr>
              <w:pStyle w:val="TableParagraph"/>
              <w:spacing w:before="23"/>
              <w:ind w:left="143" w:right="13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频率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650" w:type="dxa"/>
          </w:tcPr>
          <w:p>
            <w:pPr>
              <w:pStyle w:val="TableParagraph"/>
              <w:spacing w:before="23"/>
              <w:ind w:right="260"/>
              <w:jc w:val="right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2400" w:type="dxa"/>
          </w:tcPr>
          <w:p>
            <w:pPr>
              <w:pStyle w:val="TableParagraph"/>
              <w:spacing w:before="23"/>
              <w:ind w:left="135" w:right="125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设备三证检查</w:t>
            </w:r>
          </w:p>
        </w:tc>
        <w:tc>
          <w:tcPr>
            <w:tcW w:w="550" w:type="dxa"/>
          </w:tcPr>
          <w:p>
            <w:pPr>
              <w:pStyle w:val="TableParagraph"/>
              <w:spacing w:before="23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spacing w:before="23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spacing w:before="23"/>
              <w:ind w:left="275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726" w:type="dxa"/>
          </w:tcPr>
          <w:p>
            <w:pPr>
              <w:pStyle w:val="TableParagraph"/>
              <w:spacing w:before="23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737" w:type="dxa"/>
          </w:tcPr>
          <w:p>
            <w:pPr>
              <w:pStyle w:val="TableParagraph"/>
              <w:spacing w:before="23"/>
              <w:ind w:left="143" w:right="13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650" w:type="dxa"/>
          </w:tcPr>
          <w:p>
            <w:pPr>
              <w:pStyle w:val="TableParagraph"/>
              <w:spacing w:before="23"/>
              <w:ind w:right="260"/>
              <w:jc w:val="right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2400" w:type="dxa"/>
          </w:tcPr>
          <w:p>
            <w:pPr>
              <w:pStyle w:val="TableParagraph"/>
              <w:spacing w:before="23"/>
              <w:ind w:left="135" w:right="125"/>
              <w:jc w:val="center"/>
              <w:rPr>
                <w:sz w:val="21"/>
              </w:rPr>
            </w:pPr>
            <w:r>
              <w:rPr>
                <w:spacing w:val="-1"/>
                <w:sz w:val="21"/>
              </w:rPr>
              <w:t>设备数量、型号、规格</w:t>
            </w:r>
          </w:p>
        </w:tc>
        <w:tc>
          <w:tcPr>
            <w:tcW w:w="550" w:type="dxa"/>
          </w:tcPr>
          <w:p>
            <w:pPr>
              <w:pStyle w:val="TableParagraph"/>
              <w:spacing w:before="23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spacing w:before="23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spacing w:before="23"/>
              <w:ind w:left="275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23"/>
              <w:ind w:left="143" w:right="13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650" w:type="dxa"/>
          </w:tcPr>
          <w:p>
            <w:pPr>
              <w:pStyle w:val="TableParagraph"/>
              <w:spacing w:before="23"/>
              <w:ind w:right="260"/>
              <w:jc w:val="right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2400" w:type="dxa"/>
          </w:tcPr>
          <w:p>
            <w:pPr>
              <w:pStyle w:val="TableParagraph"/>
              <w:spacing w:before="23"/>
              <w:ind w:left="134" w:right="125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设备基础</w:t>
            </w:r>
          </w:p>
        </w:tc>
        <w:tc>
          <w:tcPr>
            <w:tcW w:w="550" w:type="dxa"/>
          </w:tcPr>
          <w:p>
            <w:pPr>
              <w:pStyle w:val="TableParagraph"/>
              <w:spacing w:before="23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spacing w:before="23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23"/>
              <w:ind w:left="143" w:right="13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650" w:type="dxa"/>
          </w:tcPr>
          <w:p>
            <w:pPr>
              <w:pStyle w:val="TableParagraph"/>
              <w:spacing w:before="23"/>
              <w:ind w:right="260"/>
              <w:jc w:val="right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2400" w:type="dxa"/>
          </w:tcPr>
          <w:p>
            <w:pPr>
              <w:pStyle w:val="TableParagraph"/>
              <w:spacing w:before="23"/>
              <w:ind w:left="134" w:right="125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设备安装</w:t>
            </w:r>
          </w:p>
        </w:tc>
        <w:tc>
          <w:tcPr>
            <w:tcW w:w="550" w:type="dxa"/>
          </w:tcPr>
          <w:p>
            <w:pPr>
              <w:pStyle w:val="TableParagraph"/>
              <w:spacing w:before="23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spacing w:before="23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23"/>
              <w:ind w:left="143" w:right="13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650" w:type="dxa"/>
          </w:tcPr>
          <w:p>
            <w:pPr>
              <w:pStyle w:val="TableParagraph"/>
              <w:spacing w:before="23"/>
              <w:ind w:right="260"/>
              <w:jc w:val="right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2400" w:type="dxa"/>
          </w:tcPr>
          <w:p>
            <w:pPr>
              <w:pStyle w:val="TableParagraph"/>
              <w:spacing w:before="23"/>
              <w:ind w:left="134" w:right="125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设备配线</w:t>
            </w: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before="23"/>
              <w:ind w:right="292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spacing w:before="23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23"/>
              <w:ind w:left="143" w:right="13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650" w:type="dxa"/>
          </w:tcPr>
          <w:p>
            <w:pPr>
              <w:pStyle w:val="TableParagraph"/>
              <w:spacing w:before="23"/>
              <w:ind w:right="260"/>
              <w:jc w:val="right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2400" w:type="dxa"/>
          </w:tcPr>
          <w:p>
            <w:pPr>
              <w:pStyle w:val="TableParagraph"/>
              <w:spacing w:before="23"/>
              <w:ind w:left="135" w:right="125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交流稳定器容器</w:t>
            </w: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before="23"/>
              <w:ind w:right="292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spacing w:before="23"/>
              <w:ind w:left="275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23"/>
              <w:ind w:left="143" w:right="13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50" w:type="dxa"/>
          </w:tcPr>
          <w:p>
            <w:pPr>
              <w:pStyle w:val="TableParagraph"/>
              <w:spacing w:before="179"/>
              <w:ind w:right="260"/>
              <w:jc w:val="right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  <w:tc>
          <w:tcPr>
            <w:tcW w:w="2400" w:type="dxa"/>
          </w:tcPr>
          <w:p>
            <w:pPr>
              <w:pStyle w:val="TableParagraph"/>
              <w:spacing w:before="23"/>
              <w:ind w:left="135" w:right="125"/>
              <w:jc w:val="center"/>
              <w:rPr>
                <w:sz w:val="21"/>
              </w:rPr>
            </w:pPr>
            <w:r>
              <w:rPr>
                <w:spacing w:val="-1"/>
                <w:sz w:val="21"/>
              </w:rPr>
              <w:t>交流稳压器输出电压精</w:t>
            </w:r>
          </w:p>
          <w:p>
            <w:pPr>
              <w:pStyle w:val="TableParagraph"/>
              <w:spacing w:before="43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度</w:t>
            </w: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before="179"/>
              <w:ind w:right="292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spacing w:before="179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spacing w:before="179"/>
              <w:ind w:left="275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179"/>
              <w:ind w:left="143" w:right="13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650" w:type="dxa"/>
          </w:tcPr>
          <w:p>
            <w:pPr>
              <w:pStyle w:val="TableParagraph"/>
              <w:spacing w:before="23"/>
              <w:ind w:right="260"/>
              <w:jc w:val="right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2400" w:type="dxa"/>
          </w:tcPr>
          <w:p>
            <w:pPr>
              <w:pStyle w:val="TableParagraph"/>
              <w:spacing w:before="23"/>
              <w:ind w:left="135" w:right="125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交流稳压器稳压时间</w:t>
            </w: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before="23"/>
              <w:ind w:right="292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spacing w:before="23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467" w:type="dxa"/>
          </w:tcPr>
          <w:p>
            <w:pPr>
              <w:pStyle w:val="TableParagraph"/>
              <w:spacing w:before="23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spacing w:before="23"/>
              <w:ind w:left="275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23"/>
              <w:ind w:left="143" w:right="13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650" w:type="dxa"/>
          </w:tcPr>
          <w:p>
            <w:pPr>
              <w:pStyle w:val="TableParagraph"/>
              <w:spacing w:before="23"/>
              <w:ind w:right="260"/>
              <w:jc w:val="right"/>
              <w:rPr>
                <w:sz w:val="21"/>
              </w:rPr>
            </w:pPr>
            <w:r>
              <w:rPr>
                <w:sz w:val="21"/>
              </w:rPr>
              <w:t>9</w:t>
            </w:r>
          </w:p>
        </w:tc>
        <w:tc>
          <w:tcPr>
            <w:tcW w:w="2400" w:type="dxa"/>
          </w:tcPr>
          <w:p>
            <w:pPr>
              <w:pStyle w:val="TableParagraph"/>
              <w:spacing w:before="23"/>
              <w:ind w:left="135" w:right="125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交流稳压绝缘电阻</w:t>
            </w: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before="23"/>
              <w:ind w:right="292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spacing w:before="23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467" w:type="dxa"/>
          </w:tcPr>
          <w:p>
            <w:pPr>
              <w:pStyle w:val="TableParagraph"/>
              <w:spacing w:before="23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spacing w:before="23"/>
              <w:ind w:left="275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23"/>
              <w:ind w:left="143" w:right="13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650" w:type="dxa"/>
          </w:tcPr>
          <w:p>
            <w:pPr>
              <w:pStyle w:val="TableParagraph"/>
              <w:spacing w:before="23"/>
              <w:ind w:right="209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2400" w:type="dxa"/>
          </w:tcPr>
          <w:p>
            <w:pPr>
              <w:pStyle w:val="TableParagraph"/>
              <w:spacing w:before="23"/>
              <w:ind w:left="134" w:right="125"/>
              <w:jc w:val="center"/>
              <w:rPr>
                <w:sz w:val="21"/>
              </w:rPr>
            </w:pPr>
            <w:r>
              <w:rPr>
                <w:sz w:val="21"/>
              </w:rPr>
              <w:t>USP</w:t>
            </w:r>
            <w:r>
              <w:rPr>
                <w:spacing w:val="-22"/>
                <w:sz w:val="21"/>
              </w:rPr>
              <w:t xml:space="preserve"> 容器</w:t>
            </w: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before="23"/>
              <w:ind w:right="292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spacing w:before="23"/>
              <w:ind w:left="275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23"/>
              <w:ind w:left="143" w:right="13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65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11</w:t>
            </w:r>
          </w:p>
        </w:tc>
        <w:tc>
          <w:tcPr>
            <w:tcW w:w="2400" w:type="dxa"/>
          </w:tcPr>
          <w:p>
            <w:pPr>
              <w:pStyle w:val="TableParagraph"/>
              <w:spacing w:before="23"/>
              <w:ind w:left="134" w:right="125"/>
              <w:jc w:val="center"/>
              <w:rPr>
                <w:sz w:val="21"/>
              </w:rPr>
            </w:pPr>
            <w:r>
              <w:rPr>
                <w:sz w:val="21"/>
              </w:rPr>
              <w:t>USP</w:t>
            </w:r>
            <w:r>
              <w:rPr>
                <w:spacing w:val="-10"/>
                <w:sz w:val="21"/>
              </w:rPr>
              <w:t xml:space="preserve"> 输出电压精度</w:t>
            </w: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before="23"/>
              <w:ind w:right="292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spacing w:before="23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467" w:type="dxa"/>
          </w:tcPr>
          <w:p>
            <w:pPr>
              <w:pStyle w:val="TableParagraph"/>
              <w:spacing w:before="23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spacing w:before="23"/>
              <w:ind w:left="275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23"/>
              <w:ind w:left="143" w:right="13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65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12</w:t>
            </w:r>
          </w:p>
        </w:tc>
        <w:tc>
          <w:tcPr>
            <w:tcW w:w="2400" w:type="dxa"/>
          </w:tcPr>
          <w:p>
            <w:pPr>
              <w:pStyle w:val="TableParagraph"/>
              <w:spacing w:before="23"/>
              <w:ind w:left="134" w:right="125"/>
              <w:jc w:val="center"/>
              <w:rPr>
                <w:sz w:val="21"/>
              </w:rPr>
            </w:pPr>
            <w:r>
              <w:rPr>
                <w:sz w:val="21"/>
              </w:rPr>
              <w:t>USO</w:t>
            </w:r>
            <w:r>
              <w:rPr>
                <w:spacing w:val="-14"/>
                <w:sz w:val="21"/>
              </w:rPr>
              <w:t xml:space="preserve"> 频率精度</w:t>
            </w: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before="23"/>
              <w:ind w:right="292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spacing w:before="23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467" w:type="dxa"/>
          </w:tcPr>
          <w:p>
            <w:pPr>
              <w:pStyle w:val="TableParagraph"/>
              <w:spacing w:before="23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spacing w:before="23"/>
              <w:ind w:left="275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23"/>
              <w:ind w:left="143" w:right="13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65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13</w:t>
            </w:r>
          </w:p>
        </w:tc>
        <w:tc>
          <w:tcPr>
            <w:tcW w:w="2400" w:type="dxa"/>
          </w:tcPr>
          <w:p>
            <w:pPr>
              <w:pStyle w:val="TableParagraph"/>
              <w:spacing w:before="23"/>
              <w:ind w:left="134" w:right="125"/>
              <w:jc w:val="center"/>
              <w:rPr>
                <w:sz w:val="21"/>
              </w:rPr>
            </w:pPr>
            <w:r>
              <w:rPr>
                <w:sz w:val="21"/>
              </w:rPr>
              <w:t>USP</w:t>
            </w:r>
            <w:r>
              <w:rPr>
                <w:spacing w:val="-14"/>
                <w:sz w:val="21"/>
              </w:rPr>
              <w:t xml:space="preserve"> 转换时间</w:t>
            </w: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before="23"/>
              <w:ind w:right="292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spacing w:before="23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spacing w:before="23"/>
              <w:ind w:left="275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23"/>
              <w:ind w:left="143" w:right="13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65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14</w:t>
            </w:r>
          </w:p>
        </w:tc>
        <w:tc>
          <w:tcPr>
            <w:tcW w:w="2400" w:type="dxa"/>
          </w:tcPr>
          <w:p>
            <w:pPr>
              <w:pStyle w:val="TableParagraph"/>
              <w:spacing w:before="23"/>
              <w:ind w:left="134" w:right="125"/>
              <w:jc w:val="center"/>
              <w:rPr>
                <w:sz w:val="21"/>
              </w:rPr>
            </w:pPr>
            <w:r>
              <w:rPr>
                <w:sz w:val="21"/>
              </w:rPr>
              <w:t>USP</w:t>
            </w:r>
            <w:r>
              <w:rPr>
                <w:spacing w:val="-14"/>
                <w:sz w:val="21"/>
              </w:rPr>
              <w:t xml:space="preserve"> 备用时间</w:t>
            </w: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before="23"/>
              <w:ind w:right="292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spacing w:before="23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spacing w:before="23"/>
              <w:ind w:left="275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23"/>
              <w:ind w:left="143" w:right="13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65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15</w:t>
            </w:r>
          </w:p>
        </w:tc>
        <w:tc>
          <w:tcPr>
            <w:tcW w:w="2400" w:type="dxa"/>
          </w:tcPr>
          <w:p>
            <w:pPr>
              <w:pStyle w:val="TableParagraph"/>
              <w:spacing w:before="23"/>
              <w:ind w:left="134" w:right="125"/>
              <w:jc w:val="center"/>
              <w:rPr>
                <w:sz w:val="21"/>
              </w:rPr>
            </w:pPr>
            <w:r>
              <w:rPr>
                <w:sz w:val="21"/>
              </w:rPr>
              <w:t>USP</w:t>
            </w:r>
            <w:r>
              <w:rPr>
                <w:spacing w:val="-14"/>
                <w:sz w:val="21"/>
              </w:rPr>
              <w:t xml:space="preserve"> 警告时间</w:t>
            </w: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before="23"/>
              <w:ind w:right="292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spacing w:before="23"/>
              <w:ind w:left="275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23"/>
              <w:ind w:left="143" w:right="13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65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16</w:t>
            </w:r>
          </w:p>
        </w:tc>
        <w:tc>
          <w:tcPr>
            <w:tcW w:w="2400" w:type="dxa"/>
          </w:tcPr>
          <w:p>
            <w:pPr>
              <w:pStyle w:val="TableParagraph"/>
              <w:spacing w:before="23"/>
              <w:ind w:left="135" w:right="125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蓄电池充电性能</w:t>
            </w: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before="23"/>
              <w:ind w:right="292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spacing w:before="23"/>
              <w:ind w:left="275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23"/>
              <w:ind w:left="143" w:right="13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65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17</w:t>
            </w:r>
          </w:p>
        </w:tc>
        <w:tc>
          <w:tcPr>
            <w:tcW w:w="2400" w:type="dxa"/>
          </w:tcPr>
          <w:p>
            <w:pPr>
              <w:pStyle w:val="TableParagraph"/>
              <w:spacing w:before="23"/>
              <w:ind w:left="135" w:right="125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蓄电池容量</w:t>
            </w: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before="23"/>
              <w:ind w:right="292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spacing w:before="23"/>
              <w:ind w:left="275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23"/>
              <w:ind w:left="143" w:right="13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5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18</w:t>
            </w:r>
          </w:p>
        </w:tc>
        <w:tc>
          <w:tcPr>
            <w:tcW w:w="2400" w:type="dxa"/>
          </w:tcPr>
          <w:p>
            <w:pPr>
              <w:pStyle w:val="TableParagraph"/>
              <w:spacing w:before="23"/>
              <w:ind w:left="135" w:right="125"/>
              <w:jc w:val="center"/>
              <w:rPr>
                <w:sz w:val="21"/>
              </w:rPr>
            </w:pPr>
            <w:r>
              <w:rPr>
                <w:spacing w:val="-1"/>
                <w:sz w:val="21"/>
              </w:rPr>
              <w:t>电源室接地装置制作及</w:t>
            </w:r>
          </w:p>
          <w:p>
            <w:pPr>
              <w:pStyle w:val="TableParagraph"/>
              <w:spacing w:before="43"/>
              <w:ind w:left="134" w:right="125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接地电阻</w:t>
            </w:r>
          </w:p>
        </w:tc>
        <w:tc>
          <w:tcPr>
            <w:tcW w:w="550" w:type="dxa"/>
          </w:tcPr>
          <w:p>
            <w:pPr>
              <w:pStyle w:val="TableParagraph"/>
              <w:spacing w:before="179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spacing w:before="179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500" w:type="dxa"/>
          </w:tcPr>
          <w:p>
            <w:pPr>
              <w:pStyle w:val="TableParagraph"/>
              <w:spacing w:before="179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179"/>
              <w:ind w:left="143" w:right="13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100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5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19</w:t>
            </w:r>
          </w:p>
        </w:tc>
        <w:tc>
          <w:tcPr>
            <w:tcW w:w="2400" w:type="dxa"/>
          </w:tcPr>
          <w:p>
            <w:pPr>
              <w:pStyle w:val="TableParagraph"/>
              <w:spacing w:before="23"/>
              <w:ind w:left="135" w:right="125"/>
              <w:jc w:val="center"/>
              <w:rPr>
                <w:sz w:val="21"/>
              </w:rPr>
            </w:pPr>
            <w:r>
              <w:rPr>
                <w:spacing w:val="-1"/>
                <w:sz w:val="21"/>
              </w:rPr>
              <w:t>设备门锁、按键、指示</w:t>
            </w:r>
          </w:p>
          <w:p>
            <w:pPr>
              <w:pStyle w:val="TableParagraph"/>
              <w:spacing w:before="43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灯</w:t>
            </w: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before="179"/>
              <w:ind w:right="292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spacing w:before="179"/>
              <w:ind w:left="275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179"/>
              <w:ind w:left="143" w:right="13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65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20</w:t>
            </w:r>
          </w:p>
        </w:tc>
        <w:tc>
          <w:tcPr>
            <w:tcW w:w="2400" w:type="dxa"/>
          </w:tcPr>
          <w:p>
            <w:pPr>
              <w:pStyle w:val="TableParagraph"/>
              <w:spacing w:before="23"/>
              <w:ind w:left="135" w:right="125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设备外观质量</w:t>
            </w: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before="23"/>
              <w:ind w:right="292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spacing w:before="23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*</w:t>
            </w: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23"/>
              <w:ind w:left="143" w:right="13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"/>
        <w:ind w:left="0"/>
        <w:rPr>
          <w:sz w:val="7"/>
        </w:rPr>
      </w:pPr>
    </w:p>
    <w:p>
      <w:pPr>
        <w:pStyle w:val="BodyText"/>
        <w:spacing w:before="58"/>
      </w:pPr>
      <w:r>
        <w:t>2</w:t>
      </w:r>
      <w:r>
        <w:rPr>
          <w:spacing w:val="-1"/>
        </w:rPr>
        <w:t>、电力电缆线路及配电装置控制监理</w:t>
      </w:r>
    </w:p>
    <w:p>
      <w:pPr>
        <w:pStyle w:val="ListParagraph"/>
        <w:numPr>
          <w:ilvl w:val="0"/>
          <w:numId w:val="28"/>
        </w:numPr>
        <w:tabs>
          <w:tab w:val="left" w:pos="1331"/>
        </w:tabs>
        <w:spacing w:before="240" w:after="0" w:line="240" w:lineRule="auto"/>
        <w:ind w:left="1331" w:right="0" w:hanging="751"/>
        <w:jc w:val="left"/>
        <w:rPr>
          <w:sz w:val="30"/>
        </w:rPr>
      </w:pPr>
      <w:r>
        <w:rPr>
          <w:spacing w:val="-1"/>
          <w:sz w:val="30"/>
        </w:rPr>
        <w:t>、电力电缆线路及配电装置控制施工要求</w:t>
      </w:r>
    </w:p>
    <w:p>
      <w:pPr>
        <w:pStyle w:val="ListParagraph"/>
        <w:numPr>
          <w:ilvl w:val="0"/>
          <w:numId w:val="27"/>
        </w:numPr>
        <w:tabs>
          <w:tab w:val="left" w:pos="1033"/>
        </w:tabs>
        <w:spacing w:before="239" w:after="0" w:line="388" w:lineRule="auto"/>
        <w:ind w:left="580" w:right="498" w:firstLine="0"/>
        <w:jc w:val="left"/>
        <w:rPr>
          <w:sz w:val="30"/>
        </w:rPr>
      </w:pPr>
      <w:r>
        <w:rPr>
          <w:spacing w:val="-2"/>
          <w:sz w:val="30"/>
        </w:rPr>
        <w:t>电力电缆及其附件的型号、电压、规格、长度、技术指标应</w:t>
      </w:r>
      <w:r>
        <w:rPr>
          <w:spacing w:val="-2"/>
          <w:sz w:val="30"/>
        </w:rPr>
        <w:t>符合设计要求。</w:t>
      </w:r>
    </w:p>
    <w:p>
      <w:pPr>
        <w:pStyle w:val="ListParagraph"/>
        <w:numPr>
          <w:ilvl w:val="0"/>
          <w:numId w:val="27"/>
        </w:numPr>
        <w:tabs>
          <w:tab w:val="left" w:pos="1033"/>
        </w:tabs>
        <w:spacing w:before="3" w:after="0" w:line="388" w:lineRule="auto"/>
        <w:ind w:left="580" w:right="497" w:firstLine="0"/>
        <w:jc w:val="both"/>
        <w:rPr>
          <w:sz w:val="30"/>
        </w:rPr>
      </w:pPr>
      <w:r>
        <w:rPr>
          <w:spacing w:val="-2"/>
          <w:sz w:val="30"/>
        </w:rPr>
        <w:t>电缆管的加工、连接及敷设、电缆支架、桥架的配制与安装</w:t>
      </w:r>
      <w:r>
        <w:rPr>
          <w:spacing w:val="8"/>
          <w:sz w:val="30"/>
        </w:rPr>
        <w:t>应符合国标</w:t>
      </w:r>
      <w:r>
        <w:rPr>
          <w:sz w:val="30"/>
        </w:rPr>
        <w:t>(GB50168-92)</w:t>
      </w:r>
      <w:r>
        <w:rPr>
          <w:spacing w:val="7"/>
          <w:sz w:val="30"/>
        </w:rPr>
        <w:t>《电气装置安装工程电缆线路施工及</w:t>
      </w:r>
      <w:r>
        <w:rPr>
          <w:spacing w:val="-2"/>
          <w:sz w:val="30"/>
        </w:rPr>
        <w:t>验收规范》中的有关规定。</w:t>
      </w:r>
    </w:p>
    <w:p>
      <w:pPr>
        <w:pStyle w:val="ListParagraph"/>
        <w:numPr>
          <w:ilvl w:val="0"/>
          <w:numId w:val="27"/>
        </w:numPr>
        <w:tabs>
          <w:tab w:val="left" w:pos="1033"/>
        </w:tabs>
        <w:spacing w:before="4" w:after="0" w:line="388" w:lineRule="auto"/>
        <w:ind w:left="580" w:right="498" w:firstLine="0"/>
        <w:jc w:val="left"/>
        <w:rPr>
          <w:sz w:val="30"/>
        </w:rPr>
      </w:pPr>
      <w:r>
        <w:rPr>
          <w:spacing w:val="-2"/>
          <w:sz w:val="30"/>
        </w:rPr>
        <w:t>电力电缆的敷设、径路、数量、埋深、防护、弯曲半径、电</w:t>
      </w:r>
      <w:r>
        <w:rPr>
          <w:spacing w:val="-2"/>
          <w:sz w:val="30"/>
        </w:rPr>
        <w:t>缆终端及电缆头的制作等应符合设计要求及国标(GB50168—92)</w:t>
      </w:r>
    </w:p>
    <w:p>
      <w:pPr>
        <w:spacing w:after="0" w:line="388" w:lineRule="auto"/>
        <w:jc w:val="left"/>
        <w:rPr>
          <w:sz w:val="30"/>
        </w:rPr>
        <w:sectPr>
          <w:pgSz w:w="11910" w:h="16840"/>
          <w:pgMar w:top="1400" w:right="1300" w:bottom="280" w:left="1220" w:header="708" w:footer="708"/>
          <w:pgNumType w:start="7"/>
          <w:cols w:space="708"/>
        </w:sectPr>
      </w:pPr>
    </w:p>
    <w:p>
      <w:pPr>
        <w:pStyle w:val="BodyText"/>
        <w:spacing w:before="44" w:line="388" w:lineRule="auto"/>
        <w:ind w:right="405"/>
        <w:jc w:val="both"/>
      </w:pPr>
      <w:r>
        <w:rPr>
          <w:spacing w:val="-2"/>
        </w:rPr>
        <w:t>《电气装置安装工程电缆线路施工及验收规范》中的有关规定。 4）电缆终端与电气装置的连接应符合国标(GBJl49—90)《电气</w:t>
      </w:r>
      <w:r>
        <w:rPr>
          <w:spacing w:val="-2"/>
        </w:rPr>
        <w:t>装置安装母线装置施工及验收规范》中的有关规定。</w:t>
      </w:r>
    </w:p>
    <w:p>
      <w:pPr>
        <w:pStyle w:val="ListParagraph"/>
        <w:numPr>
          <w:ilvl w:val="0"/>
          <w:numId w:val="26"/>
        </w:numPr>
        <w:tabs>
          <w:tab w:val="left" w:pos="1033"/>
        </w:tabs>
        <w:spacing w:before="4" w:after="0" w:line="388" w:lineRule="auto"/>
        <w:ind w:left="580" w:right="498" w:firstLine="0"/>
        <w:jc w:val="left"/>
        <w:rPr>
          <w:sz w:val="30"/>
        </w:rPr>
      </w:pPr>
      <w:r>
        <w:rPr>
          <w:spacing w:val="-2"/>
          <w:sz w:val="30"/>
        </w:rPr>
        <w:t>直埋电缆、敷设于地下、建筑物墙内等的管道电缆，必须有</w:t>
      </w:r>
      <w:r>
        <w:rPr>
          <w:spacing w:val="-2"/>
          <w:sz w:val="30"/>
        </w:rPr>
        <w:t>隐蔽工程的技术记录，覆盖前应经隐蔽工程验收合格。</w:t>
      </w:r>
    </w:p>
    <w:p>
      <w:pPr>
        <w:pStyle w:val="ListParagraph"/>
        <w:numPr>
          <w:ilvl w:val="0"/>
          <w:numId w:val="26"/>
        </w:numPr>
        <w:tabs>
          <w:tab w:val="left" w:pos="1033"/>
        </w:tabs>
        <w:spacing w:before="2" w:after="0" w:line="388" w:lineRule="auto"/>
        <w:ind w:left="580" w:right="498" w:firstLine="0"/>
        <w:jc w:val="left"/>
        <w:rPr>
          <w:sz w:val="30"/>
        </w:rPr>
      </w:pPr>
      <w:r>
        <w:rPr>
          <w:spacing w:val="-2"/>
          <w:sz w:val="30"/>
        </w:rPr>
        <w:t>配电装置的型号、规格、数量、外形尺寸及安装位置应符合</w:t>
      </w:r>
      <w:r>
        <w:rPr>
          <w:spacing w:val="-2"/>
          <w:sz w:val="30"/>
        </w:rPr>
        <w:t>设计要求。</w:t>
      </w:r>
    </w:p>
    <w:p>
      <w:pPr>
        <w:pStyle w:val="ListParagraph"/>
        <w:numPr>
          <w:ilvl w:val="0"/>
          <w:numId w:val="26"/>
        </w:numPr>
        <w:tabs>
          <w:tab w:val="left" w:pos="1033"/>
        </w:tabs>
        <w:spacing w:before="3" w:after="0" w:line="388" w:lineRule="auto"/>
        <w:ind w:left="580" w:right="498" w:firstLine="0"/>
        <w:jc w:val="left"/>
        <w:rPr>
          <w:sz w:val="30"/>
        </w:rPr>
      </w:pPr>
      <w:r>
        <w:rPr>
          <w:spacing w:val="-2"/>
          <w:sz w:val="30"/>
        </w:rPr>
        <w:t>设备基础的位置、结构、外形尺寸、预埋件及预留孔必须符</w:t>
      </w:r>
      <w:r>
        <w:rPr>
          <w:spacing w:val="-2"/>
          <w:sz w:val="30"/>
        </w:rPr>
        <w:t>合设计要求。</w:t>
      </w:r>
    </w:p>
    <w:p>
      <w:pPr>
        <w:pStyle w:val="ListParagraph"/>
        <w:numPr>
          <w:ilvl w:val="0"/>
          <w:numId w:val="26"/>
        </w:numPr>
        <w:tabs>
          <w:tab w:val="left" w:pos="1033"/>
        </w:tabs>
        <w:spacing w:before="3" w:after="0" w:line="388" w:lineRule="auto"/>
        <w:ind w:left="580" w:right="347" w:firstLine="0"/>
        <w:jc w:val="left"/>
        <w:rPr>
          <w:sz w:val="30"/>
        </w:rPr>
      </w:pPr>
      <w:r>
        <w:rPr>
          <w:spacing w:val="-2"/>
          <w:sz w:val="30"/>
        </w:rPr>
        <w:t>设备基础的抗压强度应符合设计要求，基础的外观光滑、平</w:t>
      </w:r>
      <w:r>
        <w:rPr>
          <w:spacing w:val="-20"/>
          <w:sz w:val="30"/>
        </w:rPr>
        <w:t>整、美观。外露部分的混凝土表面应平整，不允许出现蜂窝麻面。</w:t>
      </w:r>
      <w:r>
        <w:rPr>
          <w:spacing w:val="-2"/>
          <w:sz w:val="30"/>
        </w:rPr>
        <w:t>必须提供基础制作的隐蔽工程记录和有关检测报告。</w:t>
      </w:r>
    </w:p>
    <w:p>
      <w:pPr>
        <w:pStyle w:val="ListParagraph"/>
        <w:numPr>
          <w:ilvl w:val="0"/>
          <w:numId w:val="26"/>
        </w:numPr>
        <w:tabs>
          <w:tab w:val="left" w:pos="1033"/>
        </w:tabs>
        <w:spacing w:before="4" w:after="0" w:line="388" w:lineRule="auto"/>
        <w:ind w:left="580" w:right="497" w:firstLine="0"/>
        <w:jc w:val="both"/>
        <w:rPr>
          <w:sz w:val="30"/>
        </w:rPr>
      </w:pPr>
      <w:r>
        <w:rPr>
          <w:spacing w:val="-2"/>
          <w:sz w:val="30"/>
        </w:rPr>
        <w:t>电源箱、配电箱、分线箱的安装、接线板的制作安装应符合</w:t>
      </w:r>
      <w:r>
        <w:rPr>
          <w:spacing w:val="-2"/>
          <w:sz w:val="30"/>
        </w:rPr>
        <w:t>设计要求及国标(GB50171—92)《电气装置安装工程盘、柜及二</w:t>
      </w:r>
      <w:r>
        <w:rPr>
          <w:spacing w:val="-2"/>
          <w:sz w:val="30"/>
        </w:rPr>
        <w:t>次回路结线施工及验收规范》中的有关规定。</w:t>
      </w:r>
    </w:p>
    <w:p>
      <w:pPr>
        <w:pStyle w:val="ListParagraph"/>
        <w:numPr>
          <w:ilvl w:val="0"/>
          <w:numId w:val="26"/>
        </w:numPr>
        <w:tabs>
          <w:tab w:val="left" w:pos="1181"/>
        </w:tabs>
        <w:spacing w:before="4" w:after="0" w:line="388" w:lineRule="auto"/>
        <w:ind w:left="580" w:right="497" w:firstLine="0"/>
        <w:jc w:val="left"/>
        <w:rPr>
          <w:sz w:val="30"/>
        </w:rPr>
      </w:pPr>
      <w:r>
        <w:rPr>
          <w:spacing w:val="-2"/>
          <w:sz w:val="30"/>
        </w:rPr>
        <w:t>电缆支架、桥架、配电装置应具有良好的接地，接地电阻</w:t>
      </w:r>
      <w:r>
        <w:rPr>
          <w:spacing w:val="-2"/>
          <w:sz w:val="30"/>
        </w:rPr>
        <w:t>应符合设计要求及国家现行有关标准的规定。</w:t>
      </w:r>
    </w:p>
    <w:p>
      <w:pPr>
        <w:pStyle w:val="ListParagraph"/>
        <w:numPr>
          <w:ilvl w:val="0"/>
          <w:numId w:val="28"/>
        </w:numPr>
        <w:tabs>
          <w:tab w:val="left" w:pos="1331"/>
        </w:tabs>
        <w:spacing w:before="2" w:after="0" w:line="240" w:lineRule="auto"/>
        <w:ind w:left="1331" w:right="0" w:hanging="751"/>
        <w:jc w:val="left"/>
        <w:rPr>
          <w:sz w:val="30"/>
        </w:rPr>
      </w:pPr>
      <w:r>
        <w:rPr>
          <w:spacing w:val="-1"/>
          <w:sz w:val="30"/>
        </w:rPr>
        <w:t>、电力电缆线路及配电装置控制监理重点</w:t>
      </w:r>
    </w:p>
    <w:p>
      <w:pPr>
        <w:pStyle w:val="ListParagraph"/>
        <w:numPr>
          <w:ilvl w:val="0"/>
          <w:numId w:val="25"/>
        </w:numPr>
        <w:tabs>
          <w:tab w:val="left" w:pos="1033"/>
        </w:tabs>
        <w:spacing w:before="240" w:after="0" w:line="388" w:lineRule="auto"/>
        <w:ind w:left="580" w:right="405" w:firstLine="0"/>
        <w:jc w:val="both"/>
        <w:rPr>
          <w:sz w:val="30"/>
        </w:rPr>
      </w:pPr>
      <w:r>
        <w:rPr>
          <w:spacing w:val="-2"/>
          <w:sz w:val="30"/>
        </w:rPr>
        <w:t>电力电缆和电源箱、配电箱、分线箱等配电装置的质量应符</w:t>
      </w:r>
      <w:r>
        <w:rPr>
          <w:spacing w:val="-2"/>
          <w:sz w:val="30"/>
        </w:rPr>
        <w:t>合现行国家标准。电缆敷设及设备安装前应首先进行开箱验收，</w:t>
      </w:r>
      <w:r>
        <w:rPr>
          <w:spacing w:val="-2"/>
          <w:sz w:val="30"/>
        </w:rPr>
        <w:t>做好验收记录。重点验收以下内容：电缆型号、电压、规格、长</w:t>
      </w:r>
      <w:r>
        <w:rPr>
          <w:spacing w:val="-2"/>
          <w:sz w:val="30"/>
        </w:rPr>
        <w:t>度，设备型号、规格和数量(与施工合同文件相对照)。检查三证</w:t>
      </w:r>
    </w:p>
    <w:p>
      <w:pPr>
        <w:spacing w:after="0" w:line="388" w:lineRule="auto"/>
        <w:jc w:val="both"/>
        <w:rPr>
          <w:sz w:val="30"/>
        </w:rPr>
        <w:sectPr>
          <w:pgSz w:w="11910" w:h="16840"/>
          <w:pgMar w:top="1500" w:right="1300" w:bottom="280" w:left="1220" w:header="708" w:footer="708"/>
          <w:pgNumType w:start="8"/>
          <w:cols w:space="708"/>
        </w:sectPr>
      </w:pPr>
    </w:p>
    <w:p>
      <w:pPr>
        <w:pStyle w:val="BodyText"/>
        <w:spacing w:before="44" w:line="388" w:lineRule="auto"/>
        <w:ind w:right="497"/>
        <w:jc w:val="both"/>
      </w:pPr>
      <w:r>
        <w:rPr>
          <w:spacing w:val="-4"/>
        </w:rPr>
        <w:t>(合格证、质保单和技术资料)是否齐全；进口设备尚需检查商检</w:t>
      </w:r>
      <w:r>
        <w:rPr>
          <w:spacing w:val="-4"/>
        </w:rPr>
        <w:t>证。设备应有铭牌。观检查：电缆外观应无损伤、绝缘良好。检</w:t>
      </w:r>
      <w:r>
        <w:rPr>
          <w:spacing w:val="-4"/>
        </w:rPr>
        <w:t>查设备有无损伤，镀层、漆层是否完整、无损伤，零配件是否完</w:t>
      </w:r>
      <w:r>
        <w:rPr>
          <w:spacing w:val="-4"/>
        </w:rPr>
        <w:t>好无损。电缆附件、设备配件、附件、备件是否齐全。设备与装</w:t>
      </w:r>
      <w:r>
        <w:rPr>
          <w:spacing w:val="-2"/>
        </w:rPr>
        <w:t>箱清单相符，应无差错。必要时进行电气特性试验。</w:t>
      </w:r>
    </w:p>
    <w:p>
      <w:pPr>
        <w:pStyle w:val="ListParagraph"/>
        <w:numPr>
          <w:ilvl w:val="0"/>
          <w:numId w:val="25"/>
        </w:numPr>
        <w:tabs>
          <w:tab w:val="left" w:pos="1033"/>
        </w:tabs>
        <w:spacing w:before="6" w:after="0" w:line="388" w:lineRule="auto"/>
        <w:ind w:left="580" w:right="405" w:firstLine="0"/>
        <w:jc w:val="left"/>
        <w:rPr>
          <w:sz w:val="30"/>
        </w:rPr>
      </w:pPr>
      <w:r>
        <w:rPr>
          <w:spacing w:val="-2"/>
          <w:sz w:val="30"/>
        </w:rPr>
        <w:t>电力电缆敷设的随工检查，主要检查：电力电缆敷设前应先</w:t>
      </w:r>
      <w:r>
        <w:rPr>
          <w:spacing w:val="-2"/>
          <w:sz w:val="30"/>
        </w:rPr>
        <w:t>测量单盘电缆的直流电阻和绝缘电阻值，是否符合质量标准。按</w:t>
      </w:r>
      <w:r>
        <w:rPr>
          <w:spacing w:val="-2"/>
          <w:sz w:val="30"/>
        </w:rPr>
        <w:t>照施工要求检查电缆管是否有穿孔、裂缝和显着的凹瘪现象，内</w:t>
      </w:r>
      <w:r>
        <w:rPr>
          <w:spacing w:val="-2"/>
          <w:sz w:val="30"/>
        </w:rPr>
        <w:t>壁是否光滑，管口有无毛刺和尖锐棱角。连接套管的长度和连接</w:t>
      </w:r>
      <w:r>
        <w:rPr>
          <w:spacing w:val="-2"/>
          <w:sz w:val="30"/>
        </w:rPr>
        <w:t>工艺、电缆支架、桥架的制作、安装、防腐是否符合设计要求及</w:t>
      </w:r>
      <w:r>
        <w:rPr>
          <w:spacing w:val="-2"/>
          <w:sz w:val="30"/>
        </w:rPr>
        <w:t>施工规范。按照施工要求检查电缆的径路、根数、固定、埋深、</w:t>
      </w:r>
      <w:r>
        <w:rPr>
          <w:spacing w:val="-2"/>
          <w:sz w:val="30"/>
        </w:rPr>
        <w:t>防护、弯曲半径、电缆终端及电缆接头的制作、密封。电缆在手</w:t>
      </w:r>
      <w:r>
        <w:rPr>
          <w:spacing w:val="-2"/>
          <w:sz w:val="30"/>
        </w:rPr>
        <w:t xml:space="preserve"> (人)井中、终端及接头附近的预留长度。检查标志牌装设是否齐</w:t>
      </w:r>
      <w:r>
        <w:rPr>
          <w:spacing w:val="-2"/>
          <w:sz w:val="30"/>
        </w:rPr>
        <w:t>全、正确、清晰。在电缆终端、电缆接头、拐弯处、夹层内、隧</w:t>
      </w:r>
      <w:r>
        <w:rPr>
          <w:spacing w:val="-2"/>
          <w:sz w:val="30"/>
        </w:rPr>
        <w:t>道及竖井两端、电力人井内等地是否装饰标志牌。电缆终端的相</w:t>
      </w:r>
      <w:r>
        <w:rPr>
          <w:spacing w:val="-2"/>
          <w:sz w:val="30"/>
        </w:rPr>
        <w:t xml:space="preserve">色标志是否与系统相位一致。直埋电缆在直线段每隔 </w:t>
      </w:r>
      <w:r>
        <w:rPr>
          <w:sz w:val="30"/>
        </w:rPr>
        <w:t>50～100m</w:t>
      </w:r>
      <w:r>
        <w:rPr>
          <w:spacing w:val="-2"/>
          <w:sz w:val="30"/>
        </w:rPr>
        <w:t>处、电缆接头处、转弯处、进入建筑物等处是否设置有明显的方</w:t>
      </w:r>
      <w:r>
        <w:rPr>
          <w:spacing w:val="-2"/>
          <w:sz w:val="30"/>
        </w:rPr>
        <w:t>位标志或标桩。</w:t>
      </w:r>
    </w:p>
    <w:p>
      <w:pPr>
        <w:pStyle w:val="ListParagraph"/>
        <w:numPr>
          <w:ilvl w:val="0"/>
          <w:numId w:val="25"/>
        </w:numPr>
        <w:tabs>
          <w:tab w:val="left" w:pos="1033"/>
        </w:tabs>
        <w:spacing w:before="17" w:after="0" w:line="388" w:lineRule="auto"/>
        <w:ind w:left="580" w:right="497" w:firstLine="0"/>
        <w:jc w:val="both"/>
        <w:rPr>
          <w:sz w:val="30"/>
        </w:rPr>
      </w:pPr>
      <w:r>
        <w:rPr>
          <w:spacing w:val="-2"/>
          <w:sz w:val="30"/>
        </w:rPr>
        <w:t>配电装置的安装、配线的随时检查。主要检查：是否符合前</w:t>
      </w:r>
      <w:r>
        <w:rPr>
          <w:spacing w:val="-4"/>
          <w:sz w:val="30"/>
        </w:rPr>
        <w:t>述施工要求。电源箱、配电箱、分线箱等设备在基础上安装是否</w:t>
      </w:r>
      <w:r>
        <w:rPr>
          <w:spacing w:val="-4"/>
          <w:sz w:val="30"/>
        </w:rPr>
        <w:t>牢固、垂直、平稳。装置于户外的设备是否具有良好的防水、防</w:t>
      </w:r>
      <w:r>
        <w:rPr>
          <w:spacing w:val="-4"/>
          <w:sz w:val="30"/>
        </w:rPr>
        <w:t>潮、防尘性能。箱内电器元件质量、型号、规格是否符合设计要</w:t>
      </w:r>
    </w:p>
    <w:p>
      <w:pPr>
        <w:spacing w:after="0" w:line="388" w:lineRule="auto"/>
        <w:jc w:val="both"/>
        <w:rPr>
          <w:sz w:val="30"/>
        </w:rPr>
        <w:sectPr>
          <w:pgSz w:w="11910" w:h="16840"/>
          <w:pgMar w:top="1500" w:right="1300" w:bottom="280" w:left="1220" w:header="708" w:footer="708"/>
          <w:pgNumType w:start="9"/>
          <w:cols w:space="708"/>
        </w:sectPr>
      </w:pPr>
    </w:p>
    <w:p>
      <w:pPr>
        <w:pStyle w:val="BodyText"/>
        <w:spacing w:before="44" w:line="388" w:lineRule="auto"/>
        <w:ind w:right="255"/>
      </w:pPr>
      <w:r>
        <w:rPr>
          <w:spacing w:val="-18"/>
        </w:rPr>
        <w:t>求，安装是否牢固、接头有否压紧、接触是否良好，配线应整齐、</w:t>
      </w:r>
      <w:r>
        <w:rPr>
          <w:spacing w:val="-12"/>
        </w:rPr>
        <w:t>清晰、美观，导线绝缘应良好、无损伤，电缆芯线和所配导线的</w:t>
      </w:r>
      <w:r>
        <w:rPr>
          <w:spacing w:val="-15"/>
        </w:rPr>
        <w:t>端部应标明其回路编号，编号应正确，字迹清晰且不易脱色。电</w:t>
      </w:r>
      <w:r>
        <w:rPr>
          <w:spacing w:val="-19"/>
        </w:rPr>
        <w:t>力电缆的技术指标和配电装置各种功能的测试检查。可根据质量标准和设计文件、合同文件所规定的各项功能要求进行逐项测试。</w:t>
      </w:r>
      <w:r>
        <w:rPr>
          <w:spacing w:val="-8"/>
        </w:rPr>
        <w:t>接地系统的测试检查。电缆支架、桥架、配电装置的金属外壳接地是否牢固良好。接地电阻值≤4Ω。</w:t>
      </w:r>
    </w:p>
    <w:p>
      <w:pPr>
        <w:pStyle w:val="ListParagraph"/>
        <w:numPr>
          <w:ilvl w:val="0"/>
          <w:numId w:val="28"/>
        </w:numPr>
        <w:tabs>
          <w:tab w:val="left" w:pos="1331"/>
        </w:tabs>
        <w:spacing w:before="9" w:after="0" w:line="240" w:lineRule="auto"/>
        <w:ind w:left="1331" w:right="0" w:hanging="751"/>
        <w:jc w:val="left"/>
        <w:rPr>
          <w:sz w:val="30"/>
        </w:rPr>
      </w:pPr>
      <w:r>
        <w:rPr>
          <w:spacing w:val="-1"/>
          <w:sz w:val="30"/>
        </w:rPr>
        <w:t>、电力电缆线路及配电装置控制质量标准</w:t>
      </w:r>
    </w:p>
    <w:p>
      <w:pPr>
        <w:pStyle w:val="ListParagraph"/>
        <w:numPr>
          <w:ilvl w:val="0"/>
          <w:numId w:val="24"/>
        </w:numPr>
        <w:tabs>
          <w:tab w:val="left" w:pos="1033"/>
        </w:tabs>
        <w:spacing w:before="240" w:after="0" w:line="388" w:lineRule="auto"/>
        <w:ind w:left="580" w:right="497" w:firstLine="0"/>
        <w:jc w:val="left"/>
        <w:rPr>
          <w:sz w:val="30"/>
        </w:rPr>
      </w:pPr>
      <w:r>
        <w:rPr>
          <w:spacing w:val="-2"/>
          <w:sz w:val="30"/>
        </w:rPr>
        <w:t>电力电缆直流电阻(敷设前)，应符合相应的国家标准及出厂</w:t>
      </w:r>
      <w:r>
        <w:rPr>
          <w:spacing w:val="-2"/>
          <w:sz w:val="30"/>
        </w:rPr>
        <w:t>质量指标。</w:t>
      </w:r>
    </w:p>
    <w:p>
      <w:pPr>
        <w:pStyle w:val="ListParagraph"/>
        <w:numPr>
          <w:ilvl w:val="0"/>
          <w:numId w:val="24"/>
        </w:numPr>
        <w:tabs>
          <w:tab w:val="left" w:pos="1052"/>
        </w:tabs>
        <w:spacing w:before="2" w:after="0" w:line="240" w:lineRule="auto"/>
        <w:ind w:left="1051" w:right="0" w:hanging="472"/>
        <w:jc w:val="left"/>
        <w:rPr>
          <w:sz w:val="30"/>
        </w:rPr>
      </w:pPr>
      <w:r>
        <w:rPr>
          <w:spacing w:val="15"/>
          <w:sz w:val="30"/>
        </w:rPr>
        <w:t>电力电缆绝缘电阻(敷设前)，芯线对地、芯线之间≥</w:t>
      </w:r>
      <w:r>
        <w:rPr>
          <w:spacing w:val="-4"/>
          <w:sz w:val="30"/>
        </w:rPr>
        <w:t>40M</w:t>
      </w:r>
    </w:p>
    <w:p>
      <w:pPr>
        <w:pStyle w:val="BodyText"/>
      </w:pPr>
      <w:r>
        <w:t>Ω?km(20℃)</w:t>
      </w:r>
      <w:r>
        <w:rPr>
          <w:spacing w:val="-10"/>
        </w:rPr>
        <w:t>。</w:t>
      </w:r>
    </w:p>
    <w:p>
      <w:pPr>
        <w:pStyle w:val="ListParagraph"/>
        <w:numPr>
          <w:ilvl w:val="0"/>
          <w:numId w:val="24"/>
        </w:numPr>
        <w:tabs>
          <w:tab w:val="left" w:pos="1031"/>
        </w:tabs>
        <w:spacing w:before="240" w:after="0" w:line="240" w:lineRule="auto"/>
        <w:ind w:left="1031" w:right="0" w:hanging="451"/>
        <w:jc w:val="left"/>
        <w:rPr>
          <w:sz w:val="30"/>
        </w:rPr>
      </w:pPr>
      <w:r>
        <w:rPr>
          <w:spacing w:val="-4"/>
          <w:sz w:val="30"/>
        </w:rPr>
        <w:t>直埋电缆埋深应符合国标(GB50168—</w:t>
      </w:r>
      <w:r>
        <w:rPr>
          <w:spacing w:val="13"/>
          <w:sz w:val="30"/>
        </w:rPr>
        <w:t>≥100mm</w:t>
      </w:r>
      <w:r>
        <w:rPr>
          <w:spacing w:val="-20"/>
          <w:sz w:val="30"/>
        </w:rPr>
        <w:t>，并加盖保护板。</w:t>
      </w:r>
    </w:p>
    <w:p>
      <w:pPr>
        <w:pStyle w:val="ListParagraph"/>
        <w:numPr>
          <w:ilvl w:val="0"/>
          <w:numId w:val="24"/>
        </w:numPr>
        <w:tabs>
          <w:tab w:val="left" w:pos="1031"/>
        </w:tabs>
        <w:spacing w:before="239" w:after="0" w:line="388" w:lineRule="auto"/>
        <w:ind w:left="580" w:right="347" w:firstLine="0"/>
        <w:jc w:val="left"/>
        <w:rPr>
          <w:sz w:val="30"/>
        </w:rPr>
      </w:pPr>
      <w:r>
        <w:rPr>
          <w:spacing w:val="-2"/>
          <w:sz w:val="30"/>
        </w:rPr>
        <w:t>金属电缆管套接短套管的长度≥2.2D(D</w:t>
      </w:r>
      <w:r>
        <w:rPr>
          <w:spacing w:val="-11"/>
          <w:sz w:val="30"/>
        </w:rPr>
        <w:t xml:space="preserve"> 为金属电缆管外径)，</w:t>
      </w:r>
      <w:r>
        <w:rPr>
          <w:spacing w:val="-2"/>
          <w:sz w:val="30"/>
        </w:rPr>
        <w:t>硬质塑料管套接管的长度≥1.5～3d(d：为塑料管内径)。</w:t>
      </w:r>
    </w:p>
    <w:p>
      <w:pPr>
        <w:pStyle w:val="ListParagraph"/>
        <w:numPr>
          <w:ilvl w:val="0"/>
          <w:numId w:val="24"/>
        </w:numPr>
        <w:tabs>
          <w:tab w:val="left" w:pos="1033"/>
        </w:tabs>
        <w:spacing w:before="3" w:after="0" w:line="388" w:lineRule="auto"/>
        <w:ind w:left="580" w:right="498" w:firstLine="0"/>
        <w:jc w:val="both"/>
        <w:rPr>
          <w:sz w:val="30"/>
        </w:rPr>
      </w:pPr>
      <w:r>
        <w:rPr>
          <w:spacing w:val="-2"/>
          <w:sz w:val="30"/>
        </w:rPr>
        <w:t>套管电缆埋深。水泥管、塑料管、石棉水泥管、路面至管顶</w:t>
      </w:r>
      <w:r>
        <w:rPr>
          <w:spacing w:val="-5"/>
          <w:sz w:val="30"/>
        </w:rPr>
        <w:t xml:space="preserve">的最小深度：人行道下 </w:t>
      </w:r>
      <w:r>
        <w:rPr>
          <w:spacing w:val="-2"/>
          <w:sz w:val="30"/>
        </w:rPr>
        <w:t>0.5m，</w:t>
      </w:r>
      <w:r>
        <w:rPr>
          <w:spacing w:val="-9"/>
          <w:sz w:val="30"/>
        </w:rPr>
        <w:t xml:space="preserve">车行道下 </w:t>
      </w:r>
      <w:r>
        <w:rPr>
          <w:spacing w:val="-2"/>
          <w:sz w:val="30"/>
        </w:rPr>
        <w:t>0.7m；钢管：人行道下</w:t>
      </w:r>
      <w:r>
        <w:rPr>
          <w:spacing w:val="-2"/>
          <w:sz w:val="30"/>
        </w:rPr>
        <w:t xml:space="preserve"> </w:t>
      </w:r>
      <w:r>
        <w:rPr>
          <w:sz w:val="30"/>
        </w:rPr>
        <w:t>0.2m，</w:t>
      </w:r>
      <w:r>
        <w:rPr>
          <w:spacing w:val="-9"/>
          <w:sz w:val="30"/>
        </w:rPr>
        <w:t xml:space="preserve">车行道下 </w:t>
      </w:r>
      <w:r>
        <w:rPr>
          <w:sz w:val="30"/>
        </w:rPr>
        <w:t>0.4m。</w:t>
      </w:r>
    </w:p>
    <w:p>
      <w:pPr>
        <w:pStyle w:val="ListParagraph"/>
        <w:numPr>
          <w:ilvl w:val="0"/>
          <w:numId w:val="24"/>
        </w:numPr>
        <w:tabs>
          <w:tab w:val="left" w:pos="1031"/>
        </w:tabs>
        <w:spacing w:before="0" w:after="0" w:line="324" w:lineRule="auto"/>
        <w:ind w:left="580" w:right="497" w:firstLine="0"/>
        <w:jc w:val="both"/>
        <w:rPr>
          <w:sz w:val="30"/>
        </w:rPr>
      </w:pPr>
      <w:r>
        <w:rPr>
          <w:sz w:val="30"/>
        </w:rPr>
        <w:t>电装置及馈电线路绝缘电阻(相间、对 N 线、对 PE 线</w:t>
      </w:r>
      <w:r>
        <w:rPr>
          <w:sz w:val="30"/>
        </w:rPr>
        <w:t>)≥O．5 Ω(测量馈电线路绝缘电阻时应将断路器、用电设备、</w:t>
      </w:r>
      <w:r>
        <w:rPr>
          <w:spacing w:val="-2"/>
          <w:sz w:val="30"/>
        </w:rPr>
        <w:t>电器和仪表等断开)。</w:t>
      </w:r>
    </w:p>
    <w:p>
      <w:pPr>
        <w:pStyle w:val="ListParagraph"/>
        <w:numPr>
          <w:ilvl w:val="0"/>
          <w:numId w:val="24"/>
        </w:numPr>
        <w:tabs>
          <w:tab w:val="left" w:pos="1033"/>
        </w:tabs>
        <w:spacing w:before="1" w:after="0" w:line="324" w:lineRule="auto"/>
        <w:ind w:left="580" w:right="498" w:firstLine="0"/>
        <w:jc w:val="left"/>
        <w:rPr>
          <w:sz w:val="30"/>
        </w:rPr>
      </w:pPr>
      <w:r>
        <w:rPr>
          <w:spacing w:val="-2"/>
          <w:sz w:val="30"/>
        </w:rPr>
        <w:t>缆支架、桥架的外形尺寸、安装尺寸、，配电装置基础的外</w:t>
      </w:r>
      <w:r>
        <w:rPr>
          <w:spacing w:val="-2"/>
          <w:sz w:val="30"/>
        </w:rPr>
        <w:t>形尺寸、安装尺寸、预埋件及预留孔尺寸，应符合设计要求。</w:t>
      </w:r>
    </w:p>
    <w:p>
      <w:pPr>
        <w:spacing w:after="0" w:line="324" w:lineRule="auto"/>
        <w:jc w:val="left"/>
        <w:rPr>
          <w:sz w:val="30"/>
        </w:rPr>
        <w:sectPr>
          <w:pgSz w:w="11910" w:h="16840"/>
          <w:pgMar w:top="1500" w:right="1300" w:bottom="280" w:left="122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24"/>
        </w:numPr>
        <w:tabs>
          <w:tab w:val="left" w:pos="1031"/>
        </w:tabs>
        <w:spacing w:before="38" w:after="0" w:line="324" w:lineRule="auto"/>
        <w:ind w:left="580" w:right="497" w:firstLine="0"/>
        <w:jc w:val="left"/>
        <w:rPr>
          <w:sz w:val="30"/>
        </w:rPr>
      </w:pPr>
      <w:r>
        <w:rPr>
          <w:spacing w:val="-8"/>
          <w:sz w:val="30"/>
        </w:rPr>
        <w:t xml:space="preserve">源箱、配电箱、分线箱等箱体垂直度：当箱体高在 </w:t>
      </w:r>
      <w:r>
        <w:rPr>
          <w:spacing w:val="-4"/>
          <w:sz w:val="30"/>
        </w:rPr>
        <w:t>50cm</w:t>
      </w:r>
      <w:r>
        <w:rPr>
          <w:spacing w:val="-28"/>
          <w:sz w:val="30"/>
        </w:rPr>
        <w:t xml:space="preserve"> 以下</w:t>
      </w:r>
      <w:r>
        <w:rPr>
          <w:sz w:val="30"/>
        </w:rPr>
        <w:t>时≤1.5mm；</w:t>
      </w:r>
      <w:r>
        <w:rPr>
          <w:spacing w:val="-4"/>
          <w:sz w:val="30"/>
        </w:rPr>
        <w:t xml:space="preserve">当箱体高在 </w:t>
      </w:r>
      <w:r>
        <w:rPr>
          <w:sz w:val="30"/>
        </w:rPr>
        <w:t>50cm</w:t>
      </w:r>
      <w:r>
        <w:rPr>
          <w:spacing w:val="-5"/>
          <w:sz w:val="30"/>
        </w:rPr>
        <w:t xml:space="preserve"> 及其以上时</w:t>
      </w:r>
      <w:r>
        <w:rPr>
          <w:sz w:val="30"/>
        </w:rPr>
        <w:t>≤3mm。</w:t>
      </w:r>
    </w:p>
    <w:p>
      <w:pPr>
        <w:pStyle w:val="ListParagraph"/>
        <w:numPr>
          <w:ilvl w:val="0"/>
          <w:numId w:val="24"/>
        </w:numPr>
        <w:tabs>
          <w:tab w:val="left" w:pos="1031"/>
        </w:tabs>
        <w:spacing w:before="2" w:after="0" w:line="240" w:lineRule="auto"/>
        <w:ind w:left="1031" w:right="0" w:hanging="451"/>
        <w:jc w:val="left"/>
        <w:rPr>
          <w:sz w:val="30"/>
        </w:rPr>
      </w:pPr>
      <w:r>
        <w:rPr>
          <w:spacing w:val="-8"/>
          <w:sz w:val="30"/>
        </w:rPr>
        <w:t>缆支架、桥架、电源箱、配电箱、分线箱箱体接地电阻≤4Ω</w:t>
      </w:r>
      <w:r>
        <w:rPr>
          <w:spacing w:val="-10"/>
          <w:sz w:val="30"/>
        </w:rPr>
        <w:t>。</w:t>
      </w:r>
    </w:p>
    <w:p>
      <w:pPr>
        <w:pStyle w:val="ListParagraph"/>
        <w:numPr>
          <w:ilvl w:val="0"/>
          <w:numId w:val="28"/>
        </w:numPr>
        <w:tabs>
          <w:tab w:val="left" w:pos="1331"/>
        </w:tabs>
        <w:spacing w:before="136" w:after="0" w:line="240" w:lineRule="auto"/>
        <w:ind w:left="1331" w:right="0" w:hanging="751"/>
        <w:jc w:val="left"/>
        <w:rPr>
          <w:sz w:val="30"/>
        </w:rPr>
      </w:pPr>
      <w:r>
        <w:rPr>
          <w:spacing w:val="-1"/>
          <w:sz w:val="30"/>
        </w:rPr>
        <w:t>、电力电缆线路及配电装置控制检验方法见下表：</w:t>
      </w:r>
    </w:p>
    <w:p>
      <w:pPr>
        <w:pStyle w:val="BodyText"/>
        <w:spacing w:before="135" w:after="20"/>
      </w:pPr>
      <w:r>
        <w:rPr>
          <w:spacing w:val="-7"/>
        </w:rPr>
        <w:t>电力电缆线路及配电装置检验方法，见表盘柜安装的允许偏差表</w:t>
      </w:r>
    </w:p>
    <w:tbl>
      <w:tblPr>
        <w:tblStyle w:val="TableNormal3"/>
        <w:tblW w:w="0" w:type="auto"/>
        <w:jc w:val="left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7"/>
        <w:gridCol w:w="2594"/>
        <w:gridCol w:w="469"/>
        <w:gridCol w:w="714"/>
        <w:gridCol w:w="453"/>
        <w:gridCol w:w="467"/>
        <w:gridCol w:w="500"/>
        <w:gridCol w:w="517"/>
        <w:gridCol w:w="656"/>
        <w:gridCol w:w="726"/>
        <w:gridCol w:w="737"/>
        <w:gridCol w:w="650"/>
      </w:tblGrid>
      <w:tr>
        <w:tblPrEx>
          <w:tblW w:w="0" w:type="auto"/>
          <w:jc w:val="left"/>
          <w:tblInd w:w="25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37" w:type="dxa"/>
            <w:vMerge w:val="restart"/>
          </w:tcPr>
          <w:p>
            <w:pPr>
              <w:pStyle w:val="TableParagraph"/>
              <w:spacing w:before="4"/>
              <w:rPr>
                <w:sz w:val="14"/>
              </w:rPr>
            </w:pPr>
          </w:p>
          <w:p>
            <w:pPr>
              <w:pStyle w:val="TableParagraph"/>
              <w:spacing w:line="278" w:lineRule="auto"/>
              <w:ind w:left="163" w:right="151"/>
              <w:rPr>
                <w:sz w:val="21"/>
              </w:rPr>
            </w:pPr>
            <w:r>
              <w:rPr>
                <w:spacing w:val="-10"/>
                <w:sz w:val="21"/>
              </w:rPr>
              <w:t>序</w:t>
            </w:r>
            <w:r>
              <w:rPr>
                <w:spacing w:val="-10"/>
                <w:sz w:val="21"/>
              </w:rPr>
              <w:t>号</w:t>
            </w:r>
          </w:p>
        </w:tc>
        <w:tc>
          <w:tcPr>
            <w:tcW w:w="2594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8"/>
              <w:ind w:left="847"/>
              <w:rPr>
                <w:sz w:val="18"/>
              </w:rPr>
            </w:pPr>
            <w:r>
              <w:rPr>
                <w:spacing w:val="-2"/>
                <w:sz w:val="18"/>
              </w:rPr>
              <w:t>质量控制点</w:t>
            </w:r>
          </w:p>
        </w:tc>
        <w:tc>
          <w:tcPr>
            <w:tcW w:w="4502" w:type="dxa"/>
            <w:gridSpan w:val="8"/>
          </w:tcPr>
          <w:p>
            <w:pPr>
              <w:pStyle w:val="TableParagraph"/>
              <w:spacing w:before="42"/>
              <w:ind w:left="1877" w:right="1867"/>
              <w:jc w:val="center"/>
              <w:rPr>
                <w:sz w:val="18"/>
              </w:rPr>
            </w:pPr>
            <w:r>
              <w:rPr>
                <w:spacing w:val="-3"/>
                <w:sz w:val="18"/>
              </w:rPr>
              <w:t>检查方法</w:t>
            </w:r>
          </w:p>
        </w:tc>
        <w:tc>
          <w:tcPr>
            <w:tcW w:w="737" w:type="dxa"/>
            <w:vMerge w:val="restart"/>
          </w:tcPr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spacing w:before="1" w:line="324" w:lineRule="auto"/>
              <w:ind w:left="188" w:right="176"/>
              <w:rPr>
                <w:sz w:val="18"/>
              </w:rPr>
            </w:pPr>
            <w:r>
              <w:rPr>
                <w:spacing w:val="-6"/>
                <w:sz w:val="18"/>
              </w:rPr>
              <w:t>检查</w:t>
            </w:r>
            <w:r>
              <w:rPr>
                <w:spacing w:val="-5"/>
                <w:sz w:val="18"/>
              </w:rPr>
              <w:t>频率</w:t>
            </w:r>
          </w:p>
        </w:tc>
        <w:tc>
          <w:tcPr>
            <w:tcW w:w="650" w:type="dxa"/>
            <w:vMerge w:val="restart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8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备注</w:t>
            </w: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5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42"/>
              <w:ind w:left="144"/>
              <w:rPr>
                <w:sz w:val="18"/>
              </w:rPr>
            </w:pPr>
            <w:r>
              <w:rPr>
                <w:sz w:val="18"/>
              </w:rPr>
              <w:t>旁</w:t>
            </w:r>
          </w:p>
          <w:p>
            <w:pPr>
              <w:pStyle w:val="TableParagraph"/>
              <w:spacing w:before="81"/>
              <w:ind w:left="144"/>
              <w:rPr>
                <w:sz w:val="18"/>
              </w:rPr>
            </w:pPr>
            <w:r>
              <w:rPr>
                <w:sz w:val="18"/>
              </w:rPr>
              <w:t>站</w:t>
            </w:r>
          </w:p>
        </w:tc>
        <w:tc>
          <w:tcPr>
            <w:tcW w:w="714" w:type="dxa"/>
          </w:tcPr>
          <w:p>
            <w:pPr>
              <w:pStyle w:val="TableParagraph"/>
              <w:spacing w:before="42"/>
              <w:ind w:left="177"/>
              <w:rPr>
                <w:sz w:val="18"/>
              </w:rPr>
            </w:pPr>
            <w:r>
              <w:rPr>
                <w:spacing w:val="-5"/>
                <w:sz w:val="18"/>
              </w:rPr>
              <w:t>随工</w:t>
            </w:r>
          </w:p>
          <w:p>
            <w:pPr>
              <w:pStyle w:val="TableParagraph"/>
              <w:spacing w:before="81"/>
              <w:ind w:left="177"/>
              <w:rPr>
                <w:sz w:val="18"/>
              </w:rPr>
            </w:pPr>
            <w:r>
              <w:rPr>
                <w:spacing w:val="-5"/>
                <w:sz w:val="18"/>
              </w:rPr>
              <w:t>检查</w:t>
            </w:r>
          </w:p>
        </w:tc>
        <w:tc>
          <w:tcPr>
            <w:tcW w:w="453" w:type="dxa"/>
          </w:tcPr>
          <w:p>
            <w:pPr>
              <w:pStyle w:val="TableParagraph"/>
              <w:spacing w:before="42"/>
              <w:ind w:left="136"/>
              <w:rPr>
                <w:sz w:val="18"/>
              </w:rPr>
            </w:pPr>
            <w:r>
              <w:rPr>
                <w:sz w:val="18"/>
              </w:rPr>
              <w:t>测</w:t>
            </w:r>
          </w:p>
          <w:p>
            <w:pPr>
              <w:pStyle w:val="TableParagraph"/>
              <w:spacing w:before="81"/>
              <w:ind w:left="136"/>
              <w:rPr>
                <w:sz w:val="18"/>
              </w:rPr>
            </w:pPr>
            <w:r>
              <w:rPr>
                <w:sz w:val="18"/>
              </w:rPr>
              <w:t>量</w:t>
            </w:r>
          </w:p>
        </w:tc>
        <w:tc>
          <w:tcPr>
            <w:tcW w:w="467" w:type="dxa"/>
          </w:tcPr>
          <w:p>
            <w:pPr>
              <w:pStyle w:val="TableParagraph"/>
              <w:spacing w:before="42"/>
              <w:ind w:left="143"/>
              <w:rPr>
                <w:sz w:val="18"/>
              </w:rPr>
            </w:pPr>
            <w:r>
              <w:rPr>
                <w:sz w:val="18"/>
              </w:rPr>
              <w:t>测</w:t>
            </w:r>
          </w:p>
          <w:p>
            <w:pPr>
              <w:pStyle w:val="TableParagraph"/>
              <w:spacing w:before="81"/>
              <w:ind w:left="143"/>
              <w:rPr>
                <w:sz w:val="18"/>
              </w:rPr>
            </w:pPr>
            <w:r>
              <w:rPr>
                <w:sz w:val="18"/>
              </w:rPr>
              <w:t>试</w:t>
            </w:r>
          </w:p>
        </w:tc>
        <w:tc>
          <w:tcPr>
            <w:tcW w:w="500" w:type="dxa"/>
          </w:tcPr>
          <w:p>
            <w:pPr>
              <w:pStyle w:val="TableParagraph"/>
              <w:spacing w:before="42"/>
              <w:ind w:left="160"/>
              <w:rPr>
                <w:sz w:val="18"/>
              </w:rPr>
            </w:pPr>
            <w:r>
              <w:rPr>
                <w:sz w:val="18"/>
              </w:rPr>
              <w:t>观</w:t>
            </w:r>
          </w:p>
          <w:p>
            <w:pPr>
              <w:pStyle w:val="TableParagraph"/>
              <w:spacing w:before="81"/>
              <w:ind w:left="160"/>
              <w:rPr>
                <w:sz w:val="18"/>
              </w:rPr>
            </w:pPr>
            <w:r>
              <w:rPr>
                <w:sz w:val="18"/>
              </w:rPr>
              <w:t>察</w:t>
            </w:r>
          </w:p>
        </w:tc>
        <w:tc>
          <w:tcPr>
            <w:tcW w:w="517" w:type="dxa"/>
          </w:tcPr>
          <w:p>
            <w:pPr>
              <w:pStyle w:val="TableParagraph"/>
              <w:spacing w:before="42"/>
              <w:ind w:left="168"/>
              <w:rPr>
                <w:sz w:val="18"/>
              </w:rPr>
            </w:pPr>
            <w:r>
              <w:rPr>
                <w:sz w:val="18"/>
              </w:rPr>
              <w:t>试</w:t>
            </w:r>
          </w:p>
          <w:p>
            <w:pPr>
              <w:pStyle w:val="TableParagraph"/>
              <w:spacing w:before="81"/>
              <w:ind w:left="168"/>
              <w:rPr>
                <w:sz w:val="18"/>
              </w:rPr>
            </w:pPr>
            <w:r>
              <w:rPr>
                <w:sz w:val="18"/>
              </w:rPr>
              <w:t>验</w:t>
            </w:r>
          </w:p>
        </w:tc>
        <w:tc>
          <w:tcPr>
            <w:tcW w:w="656" w:type="dxa"/>
          </w:tcPr>
          <w:p>
            <w:pPr>
              <w:pStyle w:val="TableParagraph"/>
              <w:spacing w:before="42"/>
              <w:ind w:left="147"/>
              <w:rPr>
                <w:sz w:val="18"/>
              </w:rPr>
            </w:pPr>
            <w:r>
              <w:rPr>
                <w:spacing w:val="-5"/>
                <w:sz w:val="18"/>
              </w:rPr>
              <w:t>出厂</w:t>
            </w:r>
          </w:p>
          <w:p>
            <w:pPr>
              <w:pStyle w:val="TableParagraph"/>
              <w:spacing w:before="81"/>
              <w:ind w:left="147"/>
              <w:rPr>
                <w:sz w:val="18"/>
              </w:rPr>
            </w:pPr>
            <w:r>
              <w:rPr>
                <w:spacing w:val="-5"/>
                <w:sz w:val="18"/>
              </w:rPr>
              <w:t>资料</w:t>
            </w:r>
          </w:p>
        </w:tc>
        <w:tc>
          <w:tcPr>
            <w:tcW w:w="726" w:type="dxa"/>
          </w:tcPr>
          <w:p>
            <w:pPr>
              <w:pStyle w:val="TableParagraph"/>
              <w:spacing w:before="42"/>
              <w:ind w:left="183"/>
              <w:rPr>
                <w:sz w:val="18"/>
              </w:rPr>
            </w:pPr>
            <w:r>
              <w:rPr>
                <w:spacing w:val="-5"/>
                <w:sz w:val="18"/>
              </w:rPr>
              <w:t>质保</w:t>
            </w:r>
          </w:p>
          <w:p>
            <w:pPr>
              <w:pStyle w:val="TableParagraph"/>
              <w:spacing w:before="81"/>
              <w:ind w:left="183"/>
              <w:rPr>
                <w:sz w:val="18"/>
              </w:rPr>
            </w:pPr>
            <w:r>
              <w:rPr>
                <w:spacing w:val="-5"/>
                <w:sz w:val="18"/>
              </w:rPr>
              <w:t>资料</w:t>
            </w:r>
          </w:p>
        </w:tc>
        <w:tc>
          <w:tcPr>
            <w:tcW w:w="7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537" w:type="dxa"/>
          </w:tcPr>
          <w:p>
            <w:pPr>
              <w:pStyle w:val="TableParagraph"/>
              <w:spacing w:before="23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2594" w:type="dxa"/>
          </w:tcPr>
          <w:p>
            <w:pPr>
              <w:pStyle w:val="TableParagraph"/>
              <w:spacing w:before="42"/>
              <w:ind w:left="1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电力电缆三证检查</w:t>
            </w:r>
          </w:p>
        </w:tc>
        <w:tc>
          <w:tcPr>
            <w:tcW w:w="469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spacing w:before="42"/>
              <w:ind w:left="282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726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737" w:type="dxa"/>
          </w:tcPr>
          <w:p>
            <w:pPr>
              <w:pStyle w:val="TableParagraph"/>
              <w:spacing w:before="42"/>
              <w:ind w:left="143" w:right="13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537" w:type="dxa"/>
          </w:tcPr>
          <w:p>
            <w:pPr>
              <w:pStyle w:val="TableParagraph"/>
              <w:spacing w:before="23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2594" w:type="dxa"/>
          </w:tcPr>
          <w:p>
            <w:pPr>
              <w:pStyle w:val="TableParagraph"/>
              <w:spacing w:before="42"/>
              <w:ind w:left="10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>电力电缆数量、型号、规格</w:t>
            </w:r>
          </w:p>
        </w:tc>
        <w:tc>
          <w:tcPr>
            <w:tcW w:w="469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spacing w:before="42"/>
              <w:ind w:left="282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42"/>
              <w:ind w:left="143" w:right="13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37" w:type="dxa"/>
          </w:tcPr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2594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3"/>
              <w:ind w:left="99"/>
              <w:jc w:val="center"/>
              <w:rPr>
                <w:rFonts w:ascii="宋体" w:eastAsia="宋体"/>
                <w:sz w:val="18"/>
              </w:rPr>
            </w:pPr>
            <w:r>
              <w:rPr>
                <w:rFonts w:ascii="宋体" w:eastAsia="宋体"/>
                <w:spacing w:val="-6"/>
                <w:sz w:val="18"/>
              </w:rPr>
              <w:t>单盘电缆直流电阻值</w:t>
            </w:r>
            <w:r>
              <w:rPr>
                <w:rFonts w:ascii="宋体" w:eastAsia="宋体"/>
                <w:sz w:val="18"/>
              </w:rPr>
              <w:t>（敷设前</w:t>
            </w:r>
            <w:r>
              <w:rPr>
                <w:rFonts w:ascii="宋体" w:eastAsia="宋体"/>
                <w:spacing w:val="-10"/>
                <w:sz w:val="18"/>
              </w:rPr>
              <w:t>）</w:t>
            </w:r>
          </w:p>
        </w:tc>
        <w:tc>
          <w:tcPr>
            <w:tcW w:w="46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3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3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3"/>
              <w:ind w:left="282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3"/>
              <w:ind w:left="143" w:right="13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20</w:t>
            </w:r>
          </w:p>
        </w:tc>
        <w:tc>
          <w:tcPr>
            <w:tcW w:w="650" w:type="dxa"/>
          </w:tcPr>
          <w:p>
            <w:pPr>
              <w:pStyle w:val="TableParagraph"/>
              <w:spacing w:before="42" w:line="324" w:lineRule="auto"/>
              <w:ind w:left="122" w:right="110"/>
              <w:jc w:val="center"/>
              <w:rPr>
                <w:sz w:val="18"/>
              </w:rPr>
            </w:pPr>
            <w:r>
              <w:rPr>
                <w:spacing w:val="-6"/>
                <w:sz w:val="18"/>
              </w:rPr>
              <w:t>折算</w:t>
            </w:r>
            <w:r>
              <w:rPr>
                <w:spacing w:val="-23"/>
                <w:sz w:val="18"/>
              </w:rPr>
              <w:t xml:space="preserve">至 </w:t>
            </w:r>
            <w:r>
              <w:rPr>
                <w:spacing w:val="-5"/>
                <w:sz w:val="18"/>
              </w:rPr>
              <w:t>20</w:t>
            </w:r>
          </w:p>
          <w:p>
            <w:pPr>
              <w:pStyle w:val="TableParagraph"/>
              <w:spacing w:before="1"/>
              <w:ind w:left="10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℃</w:t>
            </w: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37" w:type="dxa"/>
          </w:tcPr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2594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3"/>
              <w:ind w:left="99"/>
              <w:jc w:val="center"/>
              <w:rPr>
                <w:rFonts w:ascii="宋体" w:eastAsia="宋体"/>
                <w:sz w:val="18"/>
              </w:rPr>
            </w:pPr>
            <w:r>
              <w:rPr>
                <w:rFonts w:ascii="宋体" w:eastAsia="宋体"/>
                <w:spacing w:val="-6"/>
                <w:sz w:val="18"/>
              </w:rPr>
              <w:t>单盘电缆绝缘电阻值</w:t>
            </w:r>
            <w:r>
              <w:rPr>
                <w:rFonts w:ascii="宋体" w:eastAsia="宋体"/>
                <w:sz w:val="18"/>
              </w:rPr>
              <w:t>（敷设前</w:t>
            </w:r>
            <w:r>
              <w:rPr>
                <w:rFonts w:ascii="宋体" w:eastAsia="宋体"/>
                <w:spacing w:val="-10"/>
                <w:sz w:val="18"/>
              </w:rPr>
              <w:t>）</w:t>
            </w:r>
          </w:p>
        </w:tc>
        <w:tc>
          <w:tcPr>
            <w:tcW w:w="46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3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3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3"/>
              <w:ind w:left="282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3"/>
              <w:ind w:left="143" w:right="13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20</w:t>
            </w:r>
          </w:p>
        </w:tc>
        <w:tc>
          <w:tcPr>
            <w:tcW w:w="650" w:type="dxa"/>
          </w:tcPr>
          <w:p>
            <w:pPr>
              <w:pStyle w:val="TableParagraph"/>
              <w:spacing w:before="42" w:line="324" w:lineRule="auto"/>
              <w:ind w:left="122" w:right="110"/>
              <w:jc w:val="center"/>
              <w:rPr>
                <w:sz w:val="18"/>
              </w:rPr>
            </w:pPr>
            <w:r>
              <w:rPr>
                <w:spacing w:val="-6"/>
                <w:sz w:val="18"/>
              </w:rPr>
              <w:t>折算</w:t>
            </w:r>
            <w:r>
              <w:rPr>
                <w:spacing w:val="-23"/>
                <w:sz w:val="18"/>
              </w:rPr>
              <w:t xml:space="preserve">至 </w:t>
            </w:r>
            <w:r>
              <w:rPr>
                <w:spacing w:val="-5"/>
                <w:sz w:val="18"/>
              </w:rPr>
              <w:t>20</w:t>
            </w:r>
          </w:p>
          <w:p>
            <w:pPr>
              <w:pStyle w:val="TableParagraph"/>
              <w:spacing w:before="1"/>
              <w:ind w:left="10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℃</w:t>
            </w: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37" w:type="dxa"/>
          </w:tcPr>
          <w:p>
            <w:pPr>
              <w:pStyle w:val="TableParagraph"/>
              <w:spacing w:before="23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2594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 w:eastAsia="宋体"/>
                <w:sz w:val="18"/>
              </w:rPr>
            </w:pPr>
            <w:r>
              <w:rPr>
                <w:rFonts w:ascii="宋体" w:eastAsia="宋体"/>
                <w:spacing w:val="-2"/>
                <w:sz w:val="18"/>
              </w:rPr>
              <w:t>电缆管套接管</w:t>
            </w:r>
          </w:p>
        </w:tc>
        <w:tc>
          <w:tcPr>
            <w:tcW w:w="46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spacing w:before="42"/>
              <w:ind w:right="169"/>
              <w:jc w:val="right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42"/>
              <w:ind w:left="143" w:right="13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37" w:type="dxa"/>
          </w:tcPr>
          <w:p>
            <w:pPr>
              <w:pStyle w:val="TableParagraph"/>
              <w:spacing w:before="23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2594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 w:eastAsia="宋体"/>
                <w:sz w:val="18"/>
              </w:rPr>
            </w:pPr>
            <w:r>
              <w:rPr>
                <w:rFonts w:ascii="宋体" w:eastAsia="宋体"/>
                <w:spacing w:val="-2"/>
                <w:sz w:val="18"/>
              </w:rPr>
              <w:t>电力电缆的布放敷设</w:t>
            </w:r>
          </w:p>
        </w:tc>
        <w:tc>
          <w:tcPr>
            <w:tcW w:w="469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42"/>
              <w:ind w:right="169"/>
              <w:jc w:val="right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42"/>
              <w:ind w:left="143" w:right="13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537" w:type="dxa"/>
          </w:tcPr>
          <w:p>
            <w:pPr>
              <w:pStyle w:val="TableParagraph"/>
              <w:spacing w:before="179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  <w:tc>
          <w:tcPr>
            <w:tcW w:w="2594" w:type="dxa"/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rFonts w:ascii="宋体" w:eastAsia="宋体"/>
                <w:sz w:val="18"/>
              </w:rPr>
            </w:pPr>
            <w:r>
              <w:rPr>
                <w:rFonts w:ascii="宋体" w:eastAsia="宋体"/>
                <w:spacing w:val="-1"/>
                <w:sz w:val="18"/>
              </w:rPr>
              <w:t>配电装置及馈电线绝缘电阻</w:t>
            </w:r>
          </w:p>
        </w:tc>
        <w:tc>
          <w:tcPr>
            <w:tcW w:w="46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before="1"/>
              <w:ind w:left="282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42"/>
              <w:ind w:left="188"/>
              <w:rPr>
                <w:sz w:val="18"/>
              </w:rPr>
            </w:pPr>
            <w:r>
              <w:rPr>
                <w:spacing w:val="-5"/>
                <w:sz w:val="18"/>
              </w:rPr>
              <w:t>抽测</w:t>
            </w:r>
          </w:p>
          <w:p>
            <w:pPr>
              <w:pStyle w:val="TableParagraph"/>
              <w:spacing w:before="81"/>
              <w:ind w:left="210"/>
              <w:rPr>
                <w:sz w:val="18"/>
              </w:rPr>
            </w:pPr>
            <w:r>
              <w:rPr>
                <w:sz w:val="18"/>
              </w:rPr>
              <w:t>5</w:t>
            </w:r>
            <w:r>
              <w:rPr>
                <w:spacing w:val="-28"/>
                <w:sz w:val="18"/>
              </w:rPr>
              <w:t xml:space="preserve"> 处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537" w:type="dxa"/>
          </w:tcPr>
          <w:p>
            <w:pPr>
              <w:pStyle w:val="TableParagraph"/>
              <w:spacing w:before="179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2594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 w:eastAsia="宋体"/>
                <w:sz w:val="18"/>
              </w:rPr>
            </w:pPr>
            <w:r>
              <w:rPr>
                <w:rFonts w:ascii="宋体" w:eastAsia="宋体"/>
                <w:spacing w:val="-1"/>
                <w:sz w:val="18"/>
              </w:rPr>
              <w:t>电缆支架、桥架、接地装置及</w:t>
            </w:r>
          </w:p>
          <w:p>
            <w:pPr>
              <w:pStyle w:val="TableParagraph"/>
              <w:spacing w:before="81"/>
              <w:ind w:left="10"/>
              <w:jc w:val="center"/>
              <w:rPr>
                <w:rFonts w:ascii="宋体" w:eastAsia="宋体"/>
                <w:sz w:val="18"/>
              </w:rPr>
            </w:pPr>
            <w:r>
              <w:rPr>
                <w:rFonts w:ascii="宋体" w:eastAsia="宋体"/>
                <w:spacing w:val="-2"/>
                <w:sz w:val="18"/>
              </w:rPr>
              <w:t>接地电阻值</w:t>
            </w:r>
          </w:p>
        </w:tc>
        <w:tc>
          <w:tcPr>
            <w:tcW w:w="46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before="1"/>
              <w:ind w:left="188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500" w:type="dxa"/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before="1"/>
              <w:ind w:left="143" w:right="13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37" w:type="dxa"/>
          </w:tcPr>
          <w:p>
            <w:pPr>
              <w:pStyle w:val="TableParagraph"/>
              <w:spacing w:before="23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9</w:t>
            </w:r>
          </w:p>
        </w:tc>
        <w:tc>
          <w:tcPr>
            <w:tcW w:w="2594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 w:eastAsia="宋体"/>
                <w:sz w:val="18"/>
              </w:rPr>
            </w:pPr>
            <w:r>
              <w:rPr>
                <w:rFonts w:ascii="宋体" w:eastAsia="宋体"/>
                <w:spacing w:val="-2"/>
                <w:sz w:val="18"/>
              </w:rPr>
              <w:t>配电装置三证检查</w:t>
            </w:r>
          </w:p>
        </w:tc>
        <w:tc>
          <w:tcPr>
            <w:tcW w:w="469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spacing w:before="42"/>
              <w:ind w:left="282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726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737" w:type="dxa"/>
          </w:tcPr>
          <w:p>
            <w:pPr>
              <w:pStyle w:val="TableParagraph"/>
              <w:spacing w:before="42"/>
              <w:ind w:left="143" w:right="13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37" w:type="dxa"/>
          </w:tcPr>
          <w:p>
            <w:pPr>
              <w:pStyle w:val="TableParagraph"/>
              <w:spacing w:before="23"/>
              <w:ind w:left="93" w:right="8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2594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 w:eastAsia="宋体"/>
                <w:sz w:val="18"/>
              </w:rPr>
            </w:pPr>
            <w:r>
              <w:rPr>
                <w:rFonts w:ascii="宋体" w:eastAsia="宋体"/>
                <w:spacing w:val="-1"/>
                <w:sz w:val="18"/>
              </w:rPr>
              <w:t>配电装置型号、规格、数量</w:t>
            </w:r>
          </w:p>
        </w:tc>
        <w:tc>
          <w:tcPr>
            <w:tcW w:w="469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spacing w:before="42"/>
              <w:ind w:left="282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42"/>
              <w:ind w:left="143" w:right="13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37" w:type="dxa"/>
          </w:tcPr>
          <w:p>
            <w:pPr>
              <w:pStyle w:val="TableParagraph"/>
              <w:spacing w:before="23"/>
              <w:ind w:left="38" w:right="13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11</w:t>
            </w:r>
          </w:p>
        </w:tc>
        <w:tc>
          <w:tcPr>
            <w:tcW w:w="2594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 w:eastAsia="宋体"/>
                <w:sz w:val="18"/>
              </w:rPr>
            </w:pPr>
            <w:r>
              <w:rPr>
                <w:rFonts w:ascii="宋体" w:eastAsia="宋体"/>
                <w:spacing w:val="-2"/>
                <w:sz w:val="18"/>
              </w:rPr>
              <w:t>配电装置基础设施</w:t>
            </w:r>
          </w:p>
        </w:tc>
        <w:tc>
          <w:tcPr>
            <w:tcW w:w="46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spacing w:before="42"/>
              <w:ind w:right="169"/>
              <w:jc w:val="right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42"/>
              <w:ind w:left="143" w:right="13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37" w:type="dxa"/>
          </w:tcPr>
          <w:p>
            <w:pPr>
              <w:pStyle w:val="TableParagraph"/>
              <w:spacing w:before="23"/>
              <w:ind w:left="38" w:right="13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12</w:t>
            </w:r>
          </w:p>
        </w:tc>
        <w:tc>
          <w:tcPr>
            <w:tcW w:w="2594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 w:eastAsia="宋体"/>
                <w:sz w:val="18"/>
              </w:rPr>
            </w:pPr>
            <w:r>
              <w:rPr>
                <w:rFonts w:ascii="宋体" w:eastAsia="宋体"/>
                <w:spacing w:val="-1"/>
                <w:sz w:val="18"/>
              </w:rPr>
              <w:t>配电装置安装牢固、垂直</w:t>
            </w:r>
          </w:p>
        </w:tc>
        <w:tc>
          <w:tcPr>
            <w:tcW w:w="469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42"/>
              <w:ind w:right="169"/>
              <w:jc w:val="right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42"/>
              <w:ind w:left="143" w:right="13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537" w:type="dxa"/>
          </w:tcPr>
          <w:p>
            <w:pPr>
              <w:pStyle w:val="TableParagraph"/>
              <w:spacing w:before="23"/>
              <w:ind w:left="38" w:right="13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13</w:t>
            </w:r>
          </w:p>
        </w:tc>
        <w:tc>
          <w:tcPr>
            <w:tcW w:w="2594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 w:eastAsia="宋体"/>
                <w:sz w:val="18"/>
              </w:rPr>
            </w:pPr>
            <w:r>
              <w:rPr>
                <w:rFonts w:ascii="宋体" w:eastAsia="宋体"/>
                <w:spacing w:val="-1"/>
                <w:sz w:val="18"/>
              </w:rPr>
              <w:t>电源箱、配电箱、分线箱接地</w:t>
            </w:r>
          </w:p>
          <w:p>
            <w:pPr>
              <w:pStyle w:val="TableParagraph"/>
              <w:spacing w:before="81"/>
              <w:ind w:left="10"/>
              <w:jc w:val="center"/>
              <w:rPr>
                <w:rFonts w:ascii="宋体" w:eastAsia="宋体"/>
                <w:sz w:val="18"/>
              </w:rPr>
            </w:pPr>
            <w:r>
              <w:rPr>
                <w:rFonts w:ascii="宋体" w:eastAsia="宋体"/>
                <w:spacing w:val="-5"/>
                <w:sz w:val="18"/>
              </w:rPr>
              <w:t>电阻</w:t>
            </w:r>
          </w:p>
        </w:tc>
        <w:tc>
          <w:tcPr>
            <w:tcW w:w="46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before="1"/>
              <w:ind w:left="188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before="1"/>
              <w:ind w:left="143" w:right="13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37" w:type="dxa"/>
          </w:tcPr>
          <w:p>
            <w:pPr>
              <w:pStyle w:val="TableParagraph"/>
              <w:spacing w:before="23"/>
              <w:ind w:left="38" w:right="13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14</w:t>
            </w:r>
          </w:p>
        </w:tc>
        <w:tc>
          <w:tcPr>
            <w:tcW w:w="2594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 w:eastAsia="宋体"/>
                <w:sz w:val="18"/>
              </w:rPr>
            </w:pPr>
            <w:r>
              <w:rPr>
                <w:rFonts w:ascii="宋体" w:eastAsia="宋体"/>
                <w:spacing w:val="-1"/>
                <w:sz w:val="18"/>
              </w:rPr>
              <w:t>配电装置元件固定及配线</w:t>
            </w:r>
          </w:p>
        </w:tc>
        <w:tc>
          <w:tcPr>
            <w:tcW w:w="46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42"/>
              <w:ind w:left="143" w:right="13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37" w:type="dxa"/>
          </w:tcPr>
          <w:p>
            <w:pPr>
              <w:pStyle w:val="TableParagraph"/>
              <w:spacing w:before="23"/>
              <w:ind w:left="38" w:right="13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15</w:t>
            </w:r>
          </w:p>
        </w:tc>
        <w:tc>
          <w:tcPr>
            <w:tcW w:w="2594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 w:eastAsia="宋体"/>
                <w:sz w:val="18"/>
              </w:rPr>
            </w:pPr>
            <w:r>
              <w:rPr>
                <w:rFonts w:ascii="宋体" w:eastAsia="宋体"/>
                <w:spacing w:val="-2"/>
                <w:sz w:val="18"/>
              </w:rPr>
              <w:t>配电装置外观质量</w:t>
            </w:r>
          </w:p>
        </w:tc>
        <w:tc>
          <w:tcPr>
            <w:tcW w:w="46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4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spacing w:before="42"/>
              <w:ind w:left="10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*</w:t>
            </w:r>
          </w:p>
        </w:tc>
        <w:tc>
          <w:tcPr>
            <w:tcW w:w="5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2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before="42"/>
              <w:ind w:left="143" w:right="13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26"/>
      </w:pPr>
      <w:r>
        <w:t>3</w:t>
      </w:r>
      <w:r>
        <w:rPr>
          <w:spacing w:val="-2"/>
        </w:rPr>
        <w:t>、道路照明质量控制</w:t>
      </w:r>
    </w:p>
    <w:p>
      <w:pPr>
        <w:pStyle w:val="ListParagraph"/>
        <w:numPr>
          <w:ilvl w:val="0"/>
          <w:numId w:val="23"/>
        </w:numPr>
        <w:tabs>
          <w:tab w:val="left" w:pos="1331"/>
        </w:tabs>
        <w:spacing w:before="239" w:after="0" w:line="240" w:lineRule="auto"/>
        <w:ind w:left="1331" w:right="0" w:hanging="751"/>
        <w:jc w:val="left"/>
        <w:rPr>
          <w:sz w:val="30"/>
        </w:rPr>
      </w:pPr>
      <w:r>
        <w:rPr>
          <w:spacing w:val="-1"/>
          <w:sz w:val="30"/>
        </w:rPr>
        <w:t>、道路照明控制施工要求</w:t>
      </w:r>
    </w:p>
    <w:p>
      <w:pPr>
        <w:pStyle w:val="ListParagraph"/>
        <w:numPr>
          <w:ilvl w:val="0"/>
          <w:numId w:val="22"/>
        </w:numPr>
        <w:tabs>
          <w:tab w:val="left" w:pos="1180"/>
        </w:tabs>
        <w:spacing w:before="240" w:after="0" w:line="388" w:lineRule="auto"/>
        <w:ind w:left="580" w:right="497" w:firstLine="0"/>
        <w:jc w:val="both"/>
        <w:rPr>
          <w:sz w:val="30"/>
        </w:rPr>
      </w:pPr>
      <w:r>
        <w:rPr>
          <w:spacing w:val="-4"/>
          <w:sz w:val="30"/>
        </w:rPr>
        <w:t>路照明设备(照明光源、照明灯具、照明灯杆)及其附件的型</w:t>
      </w:r>
      <w:r>
        <w:rPr>
          <w:spacing w:val="-4"/>
          <w:sz w:val="30"/>
        </w:rPr>
        <w:t>号、规格、数量、技术指标应符合设计要求，随机技术文件应齐</w:t>
      </w:r>
      <w:r>
        <w:rPr>
          <w:spacing w:val="-6"/>
          <w:sz w:val="30"/>
        </w:rPr>
        <w:t>全。</w:t>
      </w:r>
    </w:p>
    <w:p>
      <w:pPr>
        <w:spacing w:after="0" w:line="388" w:lineRule="auto"/>
        <w:jc w:val="both"/>
        <w:rPr>
          <w:sz w:val="30"/>
        </w:rPr>
        <w:sectPr>
          <w:pgSz w:w="11910" w:h="16840"/>
          <w:pgMar w:top="1500" w:right="1300" w:bottom="280" w:left="122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22"/>
        </w:numPr>
        <w:tabs>
          <w:tab w:val="left" w:pos="1180"/>
        </w:tabs>
        <w:spacing w:before="44" w:after="0" w:line="388" w:lineRule="auto"/>
        <w:ind w:left="580" w:right="347" w:firstLine="0"/>
        <w:jc w:val="left"/>
        <w:rPr>
          <w:sz w:val="30"/>
        </w:rPr>
      </w:pPr>
      <w:r>
        <w:rPr>
          <w:spacing w:val="-20"/>
          <w:sz w:val="30"/>
        </w:rPr>
        <w:t>灯基础的位置、结构、外形尺寸、预埋件、底脚螺栓的规格、</w:t>
      </w:r>
      <w:r>
        <w:rPr>
          <w:spacing w:val="-2"/>
          <w:sz w:val="30"/>
        </w:rPr>
        <w:t>间距必须符合设计要求。预埋件铁板必须保持水平，底脚螺栓的</w:t>
      </w:r>
      <w:r>
        <w:rPr>
          <w:spacing w:val="-2"/>
          <w:sz w:val="30"/>
        </w:rPr>
        <w:t>螺纹应完整无损、无锈蚀现象。</w:t>
      </w:r>
    </w:p>
    <w:p>
      <w:pPr>
        <w:pStyle w:val="ListParagraph"/>
        <w:numPr>
          <w:ilvl w:val="0"/>
          <w:numId w:val="22"/>
        </w:numPr>
        <w:tabs>
          <w:tab w:val="left" w:pos="1186"/>
        </w:tabs>
        <w:spacing w:before="4" w:after="0" w:line="388" w:lineRule="auto"/>
        <w:ind w:left="580" w:right="347" w:firstLine="0"/>
        <w:jc w:val="left"/>
        <w:rPr>
          <w:sz w:val="30"/>
        </w:rPr>
      </w:pPr>
      <w:r>
        <w:rPr>
          <w:spacing w:val="-2"/>
          <w:sz w:val="30"/>
        </w:rPr>
        <w:t>灯基础的混凝土强度应符合(JTJ091-97)《公路工程质量检</w:t>
      </w:r>
      <w:r>
        <w:rPr>
          <w:spacing w:val="-19"/>
          <w:sz w:val="30"/>
        </w:rPr>
        <w:t>验评定标准》附录中有关的规定。基础的外观光滑、平直、美观。</w:t>
      </w:r>
      <w:r>
        <w:rPr>
          <w:spacing w:val="-2"/>
          <w:sz w:val="30"/>
        </w:rPr>
        <w:t>外露部分的混凝土表面应平整，不允许出现蜂窝麻面。必须提供</w:t>
      </w:r>
      <w:r>
        <w:rPr>
          <w:spacing w:val="-2"/>
          <w:sz w:val="30"/>
        </w:rPr>
        <w:t>基础制作的隐蔽工程记录和有关检查报告。</w:t>
      </w:r>
    </w:p>
    <w:p>
      <w:pPr>
        <w:pStyle w:val="ListParagraph"/>
        <w:numPr>
          <w:ilvl w:val="0"/>
          <w:numId w:val="22"/>
        </w:numPr>
        <w:tabs>
          <w:tab w:val="left" w:pos="1180"/>
        </w:tabs>
        <w:spacing w:before="5" w:after="0" w:line="388" w:lineRule="auto"/>
        <w:ind w:left="580" w:right="497" w:firstLine="0"/>
        <w:jc w:val="left"/>
        <w:rPr>
          <w:sz w:val="30"/>
        </w:rPr>
      </w:pPr>
      <w:r>
        <w:rPr>
          <w:spacing w:val="-7"/>
          <w:sz w:val="30"/>
        </w:rPr>
        <w:t>灯供电电缆工程的施工及质量应符合第二点《电力电缆线路</w:t>
      </w:r>
      <w:r>
        <w:rPr>
          <w:spacing w:val="-2"/>
          <w:sz w:val="30"/>
        </w:rPr>
        <w:t>及配电装置》中的施工要求。</w:t>
      </w:r>
    </w:p>
    <w:p>
      <w:pPr>
        <w:pStyle w:val="ListParagraph"/>
        <w:numPr>
          <w:ilvl w:val="0"/>
          <w:numId w:val="22"/>
        </w:numPr>
        <w:tabs>
          <w:tab w:val="left" w:pos="1180"/>
        </w:tabs>
        <w:spacing w:before="3" w:after="0" w:line="388" w:lineRule="auto"/>
        <w:ind w:left="580" w:right="497" w:firstLine="0"/>
        <w:jc w:val="both"/>
        <w:rPr>
          <w:sz w:val="30"/>
        </w:rPr>
      </w:pPr>
      <w:r>
        <w:rPr>
          <w:spacing w:val="-4"/>
          <w:sz w:val="30"/>
        </w:rPr>
        <w:t>灯杆应挺直，无弯曲，表面无裂纹。金属杆表面应有防腐措</w:t>
      </w:r>
      <w:r>
        <w:rPr>
          <w:spacing w:val="-4"/>
          <w:sz w:val="30"/>
        </w:rPr>
        <w:t>施。防护层的厚度应符合设计要求，防护层应光滑、牢固，不应</w:t>
      </w:r>
      <w:r>
        <w:rPr>
          <w:spacing w:val="-2"/>
          <w:sz w:val="30"/>
        </w:rPr>
        <w:t>有剥落现象。</w:t>
      </w:r>
    </w:p>
    <w:p>
      <w:pPr>
        <w:pStyle w:val="ListParagraph"/>
        <w:numPr>
          <w:ilvl w:val="0"/>
          <w:numId w:val="22"/>
        </w:numPr>
        <w:tabs>
          <w:tab w:val="left" w:pos="1191"/>
        </w:tabs>
        <w:spacing w:before="4" w:after="0" w:line="388" w:lineRule="auto"/>
        <w:ind w:left="580" w:right="497" w:firstLine="0"/>
        <w:jc w:val="both"/>
        <w:rPr>
          <w:sz w:val="30"/>
        </w:rPr>
      </w:pPr>
      <w:r>
        <w:rPr>
          <w:sz w:val="30"/>
        </w:rPr>
        <w:t>灯杆的安装位置应正确，灯杆偏离中心线不应超过 50mm。</w:t>
      </w:r>
      <w:r>
        <w:rPr>
          <w:spacing w:val="-4"/>
          <w:sz w:val="30"/>
        </w:rPr>
        <w:t>灯杆安装应牢固、垂直，悬臂伸向交通流方向。灯杆的维修门不</w:t>
      </w:r>
      <w:r>
        <w:rPr>
          <w:spacing w:val="-4"/>
          <w:sz w:val="30"/>
        </w:rPr>
        <w:t>应设置在靠近交通流的一侧。安装完毕后，底座法兰和固紧螺栓</w:t>
      </w:r>
      <w:r>
        <w:rPr>
          <w:spacing w:val="-2"/>
          <w:sz w:val="30"/>
        </w:rPr>
        <w:t>应用水泥砂浆包封。</w:t>
      </w:r>
    </w:p>
    <w:p>
      <w:pPr>
        <w:pStyle w:val="ListParagraph"/>
        <w:numPr>
          <w:ilvl w:val="0"/>
          <w:numId w:val="22"/>
        </w:numPr>
        <w:tabs>
          <w:tab w:val="left" w:pos="1031"/>
        </w:tabs>
        <w:spacing w:before="5" w:after="0" w:line="240" w:lineRule="auto"/>
        <w:ind w:left="1031" w:right="0" w:hanging="451"/>
        <w:jc w:val="left"/>
        <w:rPr>
          <w:sz w:val="30"/>
        </w:rPr>
      </w:pPr>
      <w:r>
        <w:rPr>
          <w:spacing w:val="-10"/>
          <w:sz w:val="30"/>
        </w:rPr>
        <w:t>触及的金属杆等金属照明设备均需保护接地，接地电阻</w:t>
      </w:r>
      <w:r>
        <w:rPr>
          <w:spacing w:val="-2"/>
          <w:sz w:val="30"/>
        </w:rPr>
        <w:t>≤10Ω</w:t>
      </w:r>
      <w:r>
        <w:rPr>
          <w:spacing w:val="-10"/>
          <w:sz w:val="30"/>
        </w:rPr>
        <w:t>。</w:t>
      </w:r>
    </w:p>
    <w:p>
      <w:pPr>
        <w:pStyle w:val="ListParagraph"/>
        <w:numPr>
          <w:ilvl w:val="0"/>
          <w:numId w:val="22"/>
        </w:numPr>
        <w:tabs>
          <w:tab w:val="left" w:pos="1033"/>
        </w:tabs>
        <w:spacing w:before="239" w:after="0" w:line="388" w:lineRule="auto"/>
        <w:ind w:left="580" w:right="497" w:firstLine="0"/>
        <w:jc w:val="both"/>
        <w:rPr>
          <w:sz w:val="30"/>
        </w:rPr>
      </w:pPr>
      <w:r>
        <w:rPr>
          <w:spacing w:val="-2"/>
          <w:sz w:val="30"/>
        </w:rPr>
        <w:t>灯具型号、安装高度应符合设计要求。灯具应完整无损、安</w:t>
      </w:r>
      <w:r>
        <w:rPr>
          <w:spacing w:val="-4"/>
          <w:sz w:val="30"/>
        </w:rPr>
        <w:t>装牢固、俯角正确。所有室外灯具必须是全天候。防护等级应符</w:t>
      </w:r>
      <w:r>
        <w:rPr>
          <w:spacing w:val="-2"/>
          <w:sz w:val="30"/>
        </w:rPr>
        <w:t>合(GB4208—84)</w:t>
      </w:r>
      <w:r>
        <w:rPr>
          <w:spacing w:val="-4"/>
          <w:sz w:val="30"/>
        </w:rPr>
        <w:t xml:space="preserve">《外壳防护等级的分类》标准中的 </w:t>
      </w:r>
      <w:r>
        <w:rPr>
          <w:spacing w:val="-2"/>
          <w:sz w:val="30"/>
        </w:rPr>
        <w:t>IP55</w:t>
      </w:r>
      <w:r>
        <w:rPr>
          <w:spacing w:val="-10"/>
          <w:sz w:val="30"/>
        </w:rPr>
        <w:t xml:space="preserve"> 以上的</w:t>
      </w:r>
      <w:r>
        <w:rPr>
          <w:spacing w:val="-4"/>
          <w:sz w:val="30"/>
        </w:rPr>
        <w:t>要求，金属部件应防腐，灯具的可拆卸部分应安装密封垫圈，以</w:t>
      </w:r>
      <w:r>
        <w:rPr>
          <w:spacing w:val="-2"/>
          <w:sz w:val="30"/>
        </w:rPr>
        <w:t>防止水汽和灰尘进入。</w:t>
      </w:r>
    </w:p>
    <w:p>
      <w:pPr>
        <w:spacing w:after="0" w:line="388" w:lineRule="auto"/>
        <w:jc w:val="both"/>
        <w:rPr>
          <w:sz w:val="30"/>
        </w:rPr>
        <w:sectPr>
          <w:pgSz w:w="11910" w:h="16840"/>
          <w:pgMar w:top="1500" w:right="1300" w:bottom="280" w:left="1220" w:header="708" w:footer="708"/>
          <w:pgNumType w:start="12"/>
          <w:cols w:space="708"/>
        </w:sectPr>
      </w:pPr>
    </w:p>
    <w:p>
      <w:pPr>
        <w:pStyle w:val="ListParagraph"/>
        <w:numPr>
          <w:ilvl w:val="0"/>
          <w:numId w:val="22"/>
        </w:numPr>
        <w:tabs>
          <w:tab w:val="left" w:pos="1031"/>
        </w:tabs>
        <w:spacing w:before="44" w:after="0" w:line="240" w:lineRule="auto"/>
        <w:ind w:left="1031" w:right="0" w:hanging="451"/>
        <w:jc w:val="left"/>
        <w:rPr>
          <w:sz w:val="30"/>
        </w:rPr>
      </w:pPr>
      <w:r>
        <w:rPr>
          <w:spacing w:val="-1"/>
          <w:sz w:val="30"/>
        </w:rPr>
        <w:t>电源的功率、灯具的功率因数应符合设计要求。</w:t>
      </w:r>
    </w:p>
    <w:p>
      <w:pPr>
        <w:pStyle w:val="ListParagraph"/>
        <w:numPr>
          <w:ilvl w:val="0"/>
          <w:numId w:val="22"/>
        </w:numPr>
        <w:tabs>
          <w:tab w:val="left" w:pos="1181"/>
        </w:tabs>
        <w:spacing w:before="239" w:after="0" w:line="388" w:lineRule="auto"/>
        <w:ind w:left="580" w:right="497" w:firstLine="0"/>
        <w:jc w:val="both"/>
        <w:rPr>
          <w:sz w:val="30"/>
        </w:rPr>
      </w:pPr>
      <w:r>
        <w:rPr>
          <w:spacing w:val="-2"/>
          <w:sz w:val="30"/>
        </w:rPr>
        <w:t>照明控制应符合设计要求。户外照明控制设备和器件应安</w:t>
      </w:r>
      <w:r>
        <w:rPr>
          <w:spacing w:val="-10"/>
          <w:sz w:val="30"/>
        </w:rPr>
        <w:t>装在具有防水措施的箱体内。箱体必须用优质镀锌钢板或不锈钢</w:t>
      </w:r>
      <w:r>
        <w:rPr>
          <w:spacing w:val="-4"/>
          <w:sz w:val="30"/>
        </w:rPr>
        <w:t>板制成，箱门要防水密封，箱体防护等级不低于(GB4208—84)《</w:t>
      </w:r>
      <w:r>
        <w:rPr>
          <w:spacing w:val="-3"/>
          <w:sz w:val="30"/>
        </w:rPr>
        <w:t xml:space="preserve">外壳防护等级的分类》标准中 </w:t>
      </w:r>
      <w:r>
        <w:rPr>
          <w:sz w:val="30"/>
        </w:rPr>
        <w:t>IP55。</w:t>
      </w:r>
    </w:p>
    <w:p>
      <w:pPr>
        <w:pStyle w:val="ListParagraph"/>
        <w:numPr>
          <w:ilvl w:val="0"/>
          <w:numId w:val="22"/>
        </w:numPr>
        <w:tabs>
          <w:tab w:val="left" w:pos="1227"/>
        </w:tabs>
        <w:spacing w:before="6" w:after="0" w:line="388" w:lineRule="auto"/>
        <w:ind w:left="580" w:right="498" w:firstLine="0"/>
        <w:jc w:val="both"/>
        <w:rPr>
          <w:sz w:val="30"/>
        </w:rPr>
      </w:pPr>
      <w:r>
        <w:rPr>
          <w:spacing w:val="42"/>
          <w:sz w:val="30"/>
        </w:rPr>
        <w:t>照明控制箱或配电箱的安装应符合设计要求及国标</w:t>
      </w:r>
      <w:r>
        <w:rPr>
          <w:sz w:val="30"/>
        </w:rPr>
        <w:t xml:space="preserve"> </w:t>
      </w:r>
      <w:r>
        <w:rPr>
          <w:spacing w:val="-2"/>
          <w:sz w:val="30"/>
        </w:rPr>
        <w:t>GB50171—92《电气装置安装工程盘、柜及二次回路结线施工及</w:t>
      </w:r>
      <w:r>
        <w:rPr>
          <w:spacing w:val="-2"/>
          <w:sz w:val="30"/>
        </w:rPr>
        <w:t>验收规范》中的有关规定。</w:t>
      </w:r>
    </w:p>
    <w:p>
      <w:pPr>
        <w:pStyle w:val="ListParagraph"/>
        <w:numPr>
          <w:ilvl w:val="0"/>
          <w:numId w:val="22"/>
        </w:numPr>
        <w:tabs>
          <w:tab w:val="left" w:pos="1181"/>
        </w:tabs>
        <w:spacing w:before="4" w:after="0" w:line="388" w:lineRule="auto"/>
        <w:ind w:left="580" w:right="347" w:firstLine="0"/>
        <w:jc w:val="left"/>
        <w:rPr>
          <w:sz w:val="30"/>
        </w:rPr>
      </w:pPr>
      <w:r>
        <w:rPr>
          <w:spacing w:val="-8"/>
          <w:sz w:val="30"/>
        </w:rPr>
        <w:t>照明控制箱或配电箱内各电气元件布置整齐合理、安装牢固</w:t>
      </w:r>
      <w:r>
        <w:rPr>
          <w:spacing w:val="-2"/>
          <w:sz w:val="30"/>
        </w:rPr>
        <w:t>、接线可靠、配线整齐美观，绝缘电阻值≥O．5MΩ。箱内各紧固元件无松动。箱体支架及非导电金属构件均需保护接地，接地</w:t>
      </w:r>
      <w:r>
        <w:rPr>
          <w:spacing w:val="-2"/>
          <w:sz w:val="30"/>
        </w:rPr>
        <w:t>电阻≤4Ω。</w:t>
      </w:r>
    </w:p>
    <w:p>
      <w:pPr>
        <w:pStyle w:val="ListParagraph"/>
        <w:numPr>
          <w:ilvl w:val="0"/>
          <w:numId w:val="23"/>
        </w:numPr>
        <w:tabs>
          <w:tab w:val="left" w:pos="1331"/>
        </w:tabs>
        <w:spacing w:before="5" w:after="0" w:line="240" w:lineRule="auto"/>
        <w:ind w:left="1331" w:right="0" w:hanging="751"/>
        <w:jc w:val="left"/>
        <w:rPr>
          <w:sz w:val="30"/>
        </w:rPr>
      </w:pPr>
      <w:r>
        <w:rPr>
          <w:spacing w:val="-1"/>
          <w:sz w:val="30"/>
        </w:rPr>
        <w:t>、道路照明控制监理重点</w:t>
      </w:r>
    </w:p>
    <w:p>
      <w:pPr>
        <w:pStyle w:val="BodyText"/>
        <w:spacing w:line="388" w:lineRule="auto"/>
        <w:ind w:right="255"/>
      </w:pPr>
      <w:r>
        <w:t>1</w:t>
      </w:r>
      <w:r>
        <w:rPr>
          <w:spacing w:val="2"/>
        </w:rPr>
        <w:t>）</w:t>
      </w:r>
      <w:r>
        <w:rPr>
          <w:spacing w:val="1"/>
        </w:rPr>
        <w:t>各种设备的质量应符合现行国家有关标准。设备在安装前应</w:t>
      </w:r>
      <w:r>
        <w:rPr>
          <w:spacing w:val="-3"/>
        </w:rPr>
        <w:t>首先对其进行开箱验收，做好验收记录。重点验收以下内容：设</w:t>
      </w:r>
      <w:r>
        <w:rPr>
          <w:spacing w:val="-10"/>
        </w:rPr>
        <w:t>备规格、型号和数量与施工合同文件相对照。检查三证(合格证、</w:t>
      </w:r>
      <w:r>
        <w:t>质保单和技术资料)是否齐全，进口设备尚需检查商检证。另外设备应有铭牌。设备外观检查。主要检查设备有无损伤，镀层、漆层、零配件是否完好无损。设备配件、附件、备件是否齐全。</w:t>
      </w:r>
      <w:r>
        <w:rPr>
          <w:spacing w:val="-11"/>
        </w:rPr>
        <w:t>设备与装箱清单相对照有无差错。必要时应进行电气特性的试验。</w:t>
      </w:r>
      <w:r>
        <w:t xml:space="preserve"> 2）</w:t>
      </w:r>
      <w:r>
        <w:rPr>
          <w:spacing w:val="-4"/>
        </w:rPr>
        <w:t xml:space="preserve">路灯供电电缆的验收与第二点监理重点的第 </w:t>
      </w:r>
      <w:r>
        <w:t>1)条相同。</w:t>
      </w:r>
    </w:p>
    <w:p>
      <w:pPr>
        <w:pStyle w:val="ListParagraph"/>
        <w:numPr>
          <w:ilvl w:val="0"/>
          <w:numId w:val="21"/>
        </w:numPr>
        <w:tabs>
          <w:tab w:val="left" w:pos="1033"/>
        </w:tabs>
        <w:spacing w:before="10" w:after="0" w:line="240" w:lineRule="auto"/>
        <w:ind w:left="1032" w:right="0" w:hanging="453"/>
        <w:jc w:val="left"/>
        <w:rPr>
          <w:sz w:val="30"/>
        </w:rPr>
      </w:pPr>
      <w:r>
        <w:rPr>
          <w:spacing w:val="-1"/>
          <w:sz w:val="30"/>
        </w:rPr>
        <w:t>路灯安装的随时检查，主要检查：路灯基础的施工是否符合</w:t>
      </w:r>
    </w:p>
    <w:p>
      <w:pPr>
        <w:spacing w:after="0" w:line="240" w:lineRule="auto"/>
        <w:jc w:val="left"/>
        <w:rPr>
          <w:sz w:val="30"/>
        </w:rPr>
        <w:sectPr>
          <w:pgSz w:w="11910" w:h="16840"/>
          <w:pgMar w:top="1500" w:right="1300" w:bottom="280" w:left="1220" w:header="708" w:footer="708"/>
          <w:pgNumType w:start="13"/>
          <w:cols w:space="708"/>
        </w:sectPr>
      </w:pPr>
    </w:p>
    <w:p>
      <w:pPr>
        <w:pStyle w:val="BodyText"/>
        <w:spacing w:before="44" w:line="388" w:lineRule="auto"/>
        <w:ind w:right="497"/>
      </w:pPr>
      <w:r>
        <w:rPr>
          <w:spacing w:val="-4"/>
        </w:rPr>
        <w:t>施工规范的要求。路灯立杆是否符合施工要求。灯具的安装是否</w:t>
      </w:r>
      <w:r>
        <w:rPr>
          <w:spacing w:val="-2"/>
        </w:rPr>
        <w:t>符合施工要求。</w:t>
      </w:r>
    </w:p>
    <w:p>
      <w:pPr>
        <w:pStyle w:val="ListParagraph"/>
        <w:numPr>
          <w:ilvl w:val="0"/>
          <w:numId w:val="21"/>
        </w:numPr>
        <w:tabs>
          <w:tab w:val="left" w:pos="1031"/>
        </w:tabs>
        <w:spacing w:before="2" w:after="0" w:line="240" w:lineRule="auto"/>
        <w:ind w:left="1031" w:right="0" w:hanging="451"/>
        <w:jc w:val="left"/>
        <w:rPr>
          <w:sz w:val="30"/>
        </w:rPr>
      </w:pPr>
      <w:r>
        <w:rPr>
          <w:spacing w:val="-1"/>
          <w:sz w:val="30"/>
        </w:rPr>
        <w:t>路灯供电电缆敷设的随时检查。</w:t>
      </w:r>
    </w:p>
    <w:p>
      <w:pPr>
        <w:pStyle w:val="ListParagraph"/>
        <w:numPr>
          <w:ilvl w:val="0"/>
          <w:numId w:val="21"/>
        </w:numPr>
        <w:tabs>
          <w:tab w:val="left" w:pos="1033"/>
        </w:tabs>
        <w:spacing w:before="240" w:after="0" w:line="388" w:lineRule="auto"/>
        <w:ind w:left="580" w:right="347" w:firstLine="0"/>
        <w:jc w:val="left"/>
        <w:rPr>
          <w:sz w:val="30"/>
        </w:rPr>
      </w:pPr>
      <w:r>
        <w:rPr>
          <w:spacing w:val="-2"/>
          <w:sz w:val="30"/>
        </w:rPr>
        <w:t>照明控制箱或配电箱安装的随时检查，主要检查：否符合施</w:t>
      </w:r>
      <w:r>
        <w:rPr>
          <w:spacing w:val="-9"/>
          <w:sz w:val="30"/>
        </w:rPr>
        <w:t xml:space="preserve">工要求第 </w:t>
      </w:r>
      <w:r>
        <w:rPr>
          <w:sz w:val="30"/>
        </w:rPr>
        <w:t>10)、11)、12)条施工规范的要求。箱子在基础上安装</w:t>
      </w:r>
      <w:r>
        <w:rPr>
          <w:spacing w:val="-19"/>
          <w:sz w:val="30"/>
        </w:rPr>
        <w:t>是否牢固、垂直、平稳，装置于户外的设备是否具有良好的防水、</w:t>
      </w:r>
      <w:r>
        <w:rPr>
          <w:spacing w:val="-2"/>
          <w:sz w:val="30"/>
        </w:rPr>
        <w:t>防潮、防尘性能。</w:t>
      </w:r>
    </w:p>
    <w:p>
      <w:pPr>
        <w:pStyle w:val="ListParagraph"/>
        <w:numPr>
          <w:ilvl w:val="0"/>
          <w:numId w:val="21"/>
        </w:numPr>
        <w:tabs>
          <w:tab w:val="left" w:pos="1033"/>
        </w:tabs>
        <w:spacing w:before="5" w:after="0" w:line="388" w:lineRule="auto"/>
        <w:ind w:left="580" w:right="497" w:firstLine="0"/>
        <w:jc w:val="both"/>
        <w:rPr>
          <w:sz w:val="30"/>
        </w:rPr>
      </w:pPr>
      <w:r>
        <w:rPr>
          <w:spacing w:val="-2"/>
          <w:sz w:val="30"/>
        </w:rPr>
        <w:t>照明设备、供电电缆、照明控制设备的技术指标和功能的测</w:t>
      </w:r>
      <w:r>
        <w:rPr>
          <w:spacing w:val="-4"/>
          <w:sz w:val="30"/>
        </w:rPr>
        <w:t>试检查。可根据质量标准和设计文件、合同文件所规定的各项功</w:t>
      </w:r>
      <w:r>
        <w:rPr>
          <w:spacing w:val="-2"/>
          <w:sz w:val="30"/>
        </w:rPr>
        <w:t>能要求进行逐项测试。</w:t>
      </w:r>
    </w:p>
    <w:p>
      <w:pPr>
        <w:pStyle w:val="ListParagraph"/>
        <w:numPr>
          <w:ilvl w:val="0"/>
          <w:numId w:val="21"/>
        </w:numPr>
        <w:tabs>
          <w:tab w:val="left" w:pos="1033"/>
        </w:tabs>
        <w:spacing w:before="4" w:after="0" w:line="388" w:lineRule="auto"/>
        <w:ind w:left="580" w:right="498" w:firstLine="0"/>
        <w:jc w:val="left"/>
        <w:rPr>
          <w:sz w:val="30"/>
        </w:rPr>
      </w:pPr>
      <w:r>
        <w:rPr>
          <w:spacing w:val="-2"/>
          <w:sz w:val="30"/>
        </w:rPr>
        <w:t>接地要求的检查金属灯杆、路灯控制箱、配电箱金属外壳的</w:t>
      </w:r>
      <w:r>
        <w:rPr>
          <w:spacing w:val="-2"/>
          <w:sz w:val="30"/>
        </w:rPr>
        <w:t>接地是否牢固、良好。接地电阻是否符合设计要求。</w:t>
      </w:r>
    </w:p>
    <w:p>
      <w:pPr>
        <w:pStyle w:val="ListParagraph"/>
        <w:numPr>
          <w:ilvl w:val="0"/>
          <w:numId w:val="23"/>
        </w:numPr>
        <w:tabs>
          <w:tab w:val="left" w:pos="1331"/>
        </w:tabs>
        <w:spacing w:before="3" w:after="0" w:line="240" w:lineRule="auto"/>
        <w:ind w:left="1331" w:right="0" w:hanging="751"/>
        <w:jc w:val="left"/>
        <w:rPr>
          <w:sz w:val="30"/>
        </w:rPr>
      </w:pPr>
      <w:r>
        <w:rPr>
          <w:spacing w:val="-1"/>
          <w:sz w:val="30"/>
        </w:rPr>
        <w:t>、道路照明控制质量标准</w:t>
      </w:r>
    </w:p>
    <w:p>
      <w:pPr>
        <w:pStyle w:val="ListParagraph"/>
        <w:numPr>
          <w:ilvl w:val="0"/>
          <w:numId w:val="20"/>
        </w:numPr>
        <w:tabs>
          <w:tab w:val="left" w:pos="1033"/>
        </w:tabs>
        <w:spacing w:before="240" w:after="0" w:line="388" w:lineRule="auto"/>
        <w:ind w:left="580" w:right="498" w:firstLine="0"/>
        <w:jc w:val="left"/>
        <w:rPr>
          <w:sz w:val="30"/>
        </w:rPr>
      </w:pPr>
      <w:r>
        <w:rPr>
          <w:spacing w:val="-2"/>
          <w:sz w:val="30"/>
        </w:rPr>
        <w:t>路灯基础、设备基础的外形尺寸、预埋件、预留孔、底脚螺</w:t>
      </w:r>
      <w:r>
        <w:rPr>
          <w:spacing w:val="-2"/>
          <w:sz w:val="30"/>
        </w:rPr>
        <w:t>栓的规格、间距应符合设计要求。</w:t>
      </w:r>
    </w:p>
    <w:p>
      <w:pPr>
        <w:pStyle w:val="ListParagraph"/>
        <w:numPr>
          <w:ilvl w:val="0"/>
          <w:numId w:val="20"/>
        </w:numPr>
        <w:tabs>
          <w:tab w:val="left" w:pos="1031"/>
        </w:tabs>
        <w:spacing w:before="2" w:after="0" w:line="240" w:lineRule="auto"/>
        <w:ind w:left="1031" w:right="0" w:hanging="451"/>
        <w:jc w:val="left"/>
        <w:rPr>
          <w:sz w:val="30"/>
        </w:rPr>
      </w:pPr>
      <w:r>
        <w:rPr>
          <w:sz w:val="30"/>
        </w:rPr>
        <w:t>灯杆的垂直度≤3mm/m</w:t>
      </w:r>
      <w:r>
        <w:rPr>
          <w:spacing w:val="-10"/>
          <w:sz w:val="30"/>
        </w:rPr>
        <w:t>。</w:t>
      </w:r>
    </w:p>
    <w:p>
      <w:pPr>
        <w:pStyle w:val="ListParagraph"/>
        <w:numPr>
          <w:ilvl w:val="0"/>
          <w:numId w:val="20"/>
        </w:numPr>
        <w:tabs>
          <w:tab w:val="left" w:pos="1031"/>
        </w:tabs>
        <w:spacing w:before="186" w:after="0" w:line="240" w:lineRule="auto"/>
        <w:ind w:left="1031" w:right="0" w:hanging="451"/>
        <w:jc w:val="left"/>
        <w:rPr>
          <w:sz w:val="30"/>
        </w:rPr>
      </w:pPr>
      <w:r>
        <w:rPr>
          <w:sz w:val="30"/>
        </w:rPr>
        <w:t>路灯杆的安装位置：灯杆偏离中心线≤50mm</w:t>
      </w:r>
      <w:r>
        <w:rPr>
          <w:spacing w:val="-10"/>
          <w:sz w:val="30"/>
        </w:rPr>
        <w:t>。</w:t>
      </w:r>
    </w:p>
    <w:p>
      <w:pPr>
        <w:pStyle w:val="ListParagraph"/>
        <w:numPr>
          <w:ilvl w:val="0"/>
          <w:numId w:val="20"/>
        </w:numPr>
        <w:tabs>
          <w:tab w:val="left" w:pos="1031"/>
        </w:tabs>
        <w:spacing w:before="75" w:after="0" w:line="240" w:lineRule="auto"/>
        <w:ind w:left="1031" w:right="0" w:hanging="451"/>
        <w:jc w:val="left"/>
        <w:rPr>
          <w:sz w:val="30"/>
        </w:rPr>
      </w:pPr>
      <w:r>
        <w:rPr>
          <w:sz w:val="30"/>
        </w:rPr>
        <w:t>路灯金属灯杆的接地电阻≤10Ω</w:t>
      </w:r>
      <w:r>
        <w:rPr>
          <w:spacing w:val="-10"/>
          <w:sz w:val="30"/>
        </w:rPr>
        <w:t>。</w:t>
      </w:r>
    </w:p>
    <w:p>
      <w:pPr>
        <w:pStyle w:val="ListParagraph"/>
        <w:numPr>
          <w:ilvl w:val="0"/>
          <w:numId w:val="20"/>
        </w:numPr>
        <w:tabs>
          <w:tab w:val="left" w:pos="1031"/>
        </w:tabs>
        <w:spacing w:before="76" w:after="0" w:line="240" w:lineRule="auto"/>
        <w:ind w:left="1031" w:right="0" w:hanging="451"/>
        <w:jc w:val="left"/>
        <w:rPr>
          <w:sz w:val="30"/>
        </w:rPr>
      </w:pPr>
      <w:r>
        <w:rPr>
          <w:sz w:val="30"/>
        </w:rPr>
        <w:t>路灯控制箱、配电箱的接地电阻≤4Ω</w:t>
      </w:r>
      <w:r>
        <w:rPr>
          <w:spacing w:val="-10"/>
          <w:sz w:val="30"/>
        </w:rPr>
        <w:t>。</w:t>
      </w:r>
    </w:p>
    <w:p>
      <w:pPr>
        <w:pStyle w:val="ListParagraph"/>
        <w:numPr>
          <w:ilvl w:val="0"/>
          <w:numId w:val="20"/>
        </w:numPr>
        <w:tabs>
          <w:tab w:val="left" w:pos="1031"/>
        </w:tabs>
        <w:spacing w:before="76" w:after="0" w:line="288" w:lineRule="auto"/>
        <w:ind w:left="580" w:right="497" w:firstLine="0"/>
        <w:jc w:val="left"/>
        <w:rPr>
          <w:sz w:val="30"/>
        </w:rPr>
      </w:pPr>
      <w:r>
        <w:rPr>
          <w:spacing w:val="-14"/>
          <w:sz w:val="30"/>
        </w:rPr>
        <w:t>路灯控制箱、配电箱及馈电线路的绝缘电阻值(相间、对地</w:t>
      </w:r>
      <w:r>
        <w:rPr>
          <w:sz w:val="30"/>
        </w:rPr>
        <w:t>)≥ O．5MΩ。</w:t>
      </w:r>
    </w:p>
    <w:p>
      <w:pPr>
        <w:pStyle w:val="ListParagraph"/>
        <w:numPr>
          <w:ilvl w:val="0"/>
          <w:numId w:val="20"/>
        </w:numPr>
        <w:tabs>
          <w:tab w:val="left" w:pos="1031"/>
        </w:tabs>
        <w:spacing w:before="0" w:after="0" w:line="382" w:lineRule="exact"/>
        <w:ind w:left="1031" w:right="0" w:hanging="451"/>
        <w:jc w:val="left"/>
        <w:rPr>
          <w:sz w:val="30"/>
        </w:rPr>
      </w:pPr>
      <w:r>
        <w:rPr>
          <w:spacing w:val="-1"/>
          <w:sz w:val="30"/>
        </w:rPr>
        <w:t>路灯供电相序应符合设计要求。</w:t>
      </w:r>
    </w:p>
    <w:p>
      <w:pPr>
        <w:pStyle w:val="ListParagraph"/>
        <w:numPr>
          <w:ilvl w:val="0"/>
          <w:numId w:val="20"/>
        </w:numPr>
        <w:tabs>
          <w:tab w:val="left" w:pos="1031"/>
        </w:tabs>
        <w:spacing w:before="75" w:after="0" w:line="240" w:lineRule="auto"/>
        <w:ind w:left="1031" w:right="0" w:hanging="451"/>
        <w:jc w:val="left"/>
        <w:rPr>
          <w:sz w:val="30"/>
        </w:rPr>
      </w:pPr>
      <w:r>
        <w:rPr>
          <w:spacing w:val="-1"/>
          <w:sz w:val="30"/>
        </w:rPr>
        <w:t>路灯启动后应正常点亮。</w:t>
      </w:r>
    </w:p>
    <w:p>
      <w:pPr>
        <w:pStyle w:val="ListParagraph"/>
        <w:numPr>
          <w:ilvl w:val="0"/>
          <w:numId w:val="20"/>
        </w:numPr>
        <w:tabs>
          <w:tab w:val="left" w:pos="1031"/>
        </w:tabs>
        <w:spacing w:before="76" w:after="0" w:line="240" w:lineRule="auto"/>
        <w:ind w:left="1031" w:right="0" w:hanging="451"/>
        <w:jc w:val="left"/>
        <w:rPr>
          <w:sz w:val="30"/>
        </w:rPr>
      </w:pPr>
      <w:r>
        <w:rPr>
          <w:spacing w:val="-1"/>
          <w:sz w:val="30"/>
        </w:rPr>
        <w:t>路灯的光控、时控功能应符合设计要求。</w:t>
      </w:r>
    </w:p>
    <w:p>
      <w:pPr>
        <w:spacing w:after="0" w:line="240" w:lineRule="auto"/>
        <w:jc w:val="left"/>
        <w:rPr>
          <w:sz w:val="30"/>
        </w:rPr>
        <w:sectPr>
          <w:pgSz w:w="11910" w:h="16840"/>
          <w:pgMar w:top="1500" w:right="1300" w:bottom="280" w:left="1220" w:header="708" w:footer="708"/>
          <w:pgNumType w:start="14"/>
          <w:cols w:space="708"/>
        </w:sectPr>
      </w:pPr>
    </w:p>
    <w:p>
      <w:pPr>
        <w:pStyle w:val="ListParagraph"/>
        <w:numPr>
          <w:ilvl w:val="0"/>
          <w:numId w:val="20"/>
        </w:numPr>
        <w:tabs>
          <w:tab w:val="left" w:pos="1181"/>
        </w:tabs>
        <w:spacing w:before="30" w:after="0" w:line="240" w:lineRule="auto"/>
        <w:ind w:left="1181" w:right="0" w:hanging="601"/>
        <w:jc w:val="left"/>
        <w:rPr>
          <w:sz w:val="30"/>
        </w:rPr>
      </w:pPr>
      <w:r>
        <w:pict>
          <v:shape id="_x0000_s1027" type="#_x0000_t202" style="width:56pt;height:14pt;margin-top:702.83pt;margin-left:84.52pt;mso-position-horizontal-relative:page;mso-position-vertical-relative:page;position:absolute;z-index:-251654144" filled="f" stroked="f">
            <v:textbox inset="0,0,0,0">
              <w:txbxContent>
                <w:p>
                  <w:pPr>
                    <w:spacing w:before="0" w:line="280" w:lineRule="exact"/>
                    <w:ind w:left="0" w:right="0" w:firstLine="0"/>
                    <w:jc w:val="left"/>
                    <w:rPr>
                      <w:sz w:val="28"/>
                    </w:rPr>
                  </w:pPr>
                  <w:r>
                    <w:rPr>
                      <w:spacing w:val="-3"/>
                      <w:sz w:val="28"/>
                    </w:rPr>
                    <w:t>控制要点</w:t>
                  </w:r>
                </w:p>
              </w:txbxContent>
            </v:textbox>
          </v:shape>
        </w:pict>
      </w:r>
      <w:r>
        <w:pict>
          <v:shape id="_x0000_s1028" type="#_x0000_t202" style="width:98.45pt;height:77.25pt;margin-top:702.13pt;margin-left:218.68pt;mso-position-horizontal-relative:page;mso-position-vertical-relative:page;position:absolute;z-index:-251653120" filled="f" stroked="f">
            <v:textbox inset="0,0,0,0">
              <w:txbxContent>
                <w:p>
                  <w:pPr>
                    <w:spacing w:before="0" w:line="319" w:lineRule="exact"/>
                    <w:ind w:left="77" w:right="0" w:firstLine="0"/>
                    <w:jc w:val="left"/>
                    <w:rPr>
                      <w:sz w:val="28"/>
                    </w:rPr>
                  </w:pPr>
                  <w:r>
                    <w:rPr>
                      <w:spacing w:val="-3"/>
                      <w:sz w:val="28"/>
                    </w:rPr>
                    <w:t>前的准备</w:t>
                  </w:r>
                </w:p>
                <w:p>
                  <w:pPr>
                    <w:spacing w:before="1" w:line="620" w:lineRule="atLeast"/>
                    <w:ind w:left="0" w:right="0" w:firstLine="0"/>
                    <w:jc w:val="left"/>
                    <w:rPr>
                      <w:sz w:val="28"/>
                    </w:rPr>
                  </w:pPr>
                  <w:r>
                    <w:rPr>
                      <w:spacing w:val="-2"/>
                      <w:sz w:val="28"/>
                    </w:rPr>
                    <w:t>对本专业各分项</w:t>
                  </w:r>
                  <w:r>
                    <w:rPr>
                      <w:spacing w:val="-2"/>
                      <w:sz w:val="28"/>
                    </w:rPr>
                    <w:t>工程进行验评</w:t>
                  </w:r>
                </w:p>
              </w:txbxContent>
            </v:textbox>
          </v:shape>
        </w:pict>
      </w:r>
      <w:r>
        <w:pict>
          <v:shape id="_x0000_s1029" type="#_x0000_t202" style="width:98.25pt;height:45.55pt;margin-top:702.63pt;margin-left:379.43pt;mso-position-horizontal-relative:page;mso-position-vertical-relative:page;position:absolute;z-index:-251652096" filled="f" stroked="f">
            <v:textbox inset="0,0,0,0">
              <w:txbxContent>
                <w:p>
                  <w:pPr>
                    <w:spacing w:before="0" w:line="319" w:lineRule="exact"/>
                    <w:ind w:left="0" w:right="0" w:firstLine="0"/>
                    <w:jc w:val="left"/>
                    <w:rPr>
                      <w:sz w:val="28"/>
                    </w:rPr>
                  </w:pPr>
                  <w:r>
                    <w:rPr>
                      <w:spacing w:val="-2"/>
                      <w:sz w:val="28"/>
                    </w:rPr>
                    <w:t>行施工前的交流</w:t>
                  </w:r>
                </w:p>
                <w:p>
                  <w:pPr>
                    <w:pStyle w:val="BodyText"/>
                    <w:spacing w:before="3"/>
                    <w:ind w:left="0"/>
                    <w:rPr>
                      <w:sz w:val="21"/>
                    </w:rPr>
                  </w:pPr>
                </w:p>
                <w:p>
                  <w:pPr>
                    <w:spacing w:before="0" w:line="319" w:lineRule="exact"/>
                    <w:ind w:left="61" w:right="0" w:firstLine="0"/>
                    <w:jc w:val="left"/>
                    <w:rPr>
                      <w:sz w:val="28"/>
                    </w:rPr>
                  </w:pPr>
                  <w:r>
                    <w:rPr>
                      <w:spacing w:val="35"/>
                      <w:sz w:val="28"/>
                    </w:rPr>
                    <w:t>已完成分项工</w:t>
                  </w:r>
                </w:p>
              </w:txbxContent>
            </v:textbox>
          </v:shape>
        </w:pict>
      </w:r>
      <w:r>
        <w:pict>
          <v:shape id="_x0000_s1030" type="#_x0000_t202" style="width:94.45pt;height:45.2pt;margin-top:721.38pt;margin-left:82.57pt;mso-position-horizontal-relative:page;mso-position-vertical-relative:page;position:absolute;z-index:-251651072" filled="f" stroked="f">
            <v:textbox inset="0,0,0,0">
              <w:txbxContent>
                <w:p>
                  <w:pPr>
                    <w:spacing w:before="0" w:line="319" w:lineRule="exact"/>
                    <w:ind w:left="0" w:right="0" w:firstLine="0"/>
                    <w:jc w:val="left"/>
                    <w:rPr>
                      <w:sz w:val="28"/>
                    </w:rPr>
                  </w:pPr>
                  <w:r>
                    <w:rPr>
                      <w:spacing w:val="32"/>
                      <w:sz w:val="28"/>
                    </w:rPr>
                    <w:t>对施工过程进</w:t>
                  </w:r>
                </w:p>
                <w:p>
                  <w:pPr>
                    <w:pStyle w:val="BodyText"/>
                    <w:spacing w:before="9"/>
                    <w:ind w:left="0"/>
                    <w:rPr>
                      <w:sz w:val="20"/>
                    </w:rPr>
                  </w:pPr>
                </w:p>
                <w:p>
                  <w:pPr>
                    <w:spacing w:before="0" w:line="319" w:lineRule="exact"/>
                    <w:ind w:left="0" w:right="0" w:firstLine="0"/>
                    <w:jc w:val="left"/>
                    <w:rPr>
                      <w:sz w:val="28"/>
                    </w:rPr>
                  </w:pPr>
                  <w:r>
                    <w:rPr>
                      <w:spacing w:val="-2"/>
                      <w:sz w:val="28"/>
                    </w:rPr>
                    <w:t>行跟踪检查</w:t>
                  </w:r>
                </w:p>
              </w:txbxContent>
            </v:textbox>
          </v:shape>
        </w:pict>
      </w:r>
      <w:r>
        <w:rPr>
          <w:spacing w:val="-1"/>
          <w:sz w:val="30"/>
        </w:rPr>
        <w:t>路灯供电电缆工程质量标准与第二点质量标准相同。</w:t>
      </w:r>
    </w:p>
    <w:p>
      <w:pPr>
        <w:pStyle w:val="ListParagraph"/>
        <w:numPr>
          <w:ilvl w:val="0"/>
          <w:numId w:val="23"/>
        </w:numPr>
        <w:tabs>
          <w:tab w:val="left" w:pos="1331"/>
        </w:tabs>
        <w:spacing w:before="75" w:after="0" w:line="288" w:lineRule="auto"/>
        <w:ind w:left="580" w:right="4605" w:firstLine="0"/>
        <w:jc w:val="left"/>
        <w:rPr>
          <w:sz w:val="30"/>
        </w:rPr>
      </w:pPr>
      <w:r>
        <w:pict>
          <v:shape id="_x0000_s1031" type="#_x0000_t202" style="width:451.5pt;height:392.65pt;margin-top:46.35pt;margin-left:73.3pt;mso-position-horizontal-relative:page;position:absolute;z-index:251661312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37"/>
                    <w:gridCol w:w="2594"/>
                    <w:gridCol w:w="469"/>
                    <w:gridCol w:w="714"/>
                    <w:gridCol w:w="453"/>
                    <w:gridCol w:w="467"/>
                    <w:gridCol w:w="500"/>
                    <w:gridCol w:w="517"/>
                    <w:gridCol w:w="656"/>
                    <w:gridCol w:w="726"/>
                    <w:gridCol w:w="737"/>
                    <w:gridCol w:w="650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537" w:type="dxa"/>
                        <w:vMerge w:val="restart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278" w:lineRule="auto"/>
                          <w:ind w:left="163" w:right="151"/>
                          <w:rPr>
                            <w:sz w:val="21"/>
                          </w:rPr>
                        </w:pPr>
                        <w:r>
                          <w:rPr>
                            <w:spacing w:val="-10"/>
                            <w:sz w:val="21"/>
                          </w:rPr>
                          <w:t>序</w:t>
                        </w:r>
                        <w:r>
                          <w:rPr>
                            <w:spacing w:val="-10"/>
                            <w:sz w:val="21"/>
                          </w:rPr>
                          <w:t>号</w:t>
                        </w:r>
                      </w:p>
                    </w:tc>
                    <w:tc>
                      <w:tcPr>
                        <w:tcW w:w="2594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28"/>
                          <w:ind w:left="84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质量控制点</w:t>
                        </w:r>
                      </w:p>
                    </w:tc>
                    <w:tc>
                      <w:tcPr>
                        <w:tcW w:w="4502" w:type="dxa"/>
                        <w:gridSpan w:val="8"/>
                      </w:tcPr>
                      <w:p>
                        <w:pPr>
                          <w:pStyle w:val="TableParagraph"/>
                          <w:spacing w:before="42"/>
                          <w:ind w:left="1877" w:right="186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sz w:val="18"/>
                          </w:rPr>
                          <w:t>检查方法</w:t>
                        </w:r>
                      </w:p>
                    </w:tc>
                    <w:tc>
                      <w:tcPr>
                        <w:tcW w:w="737" w:type="dxa"/>
                        <w:vMerge w:val="restart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324" w:lineRule="auto"/>
                          <w:ind w:left="188" w:right="176"/>
                          <w:rPr>
                            <w:sz w:val="18"/>
                          </w:rPr>
                        </w:pPr>
                        <w:r>
                          <w:rPr>
                            <w:spacing w:val="-6"/>
                            <w:sz w:val="18"/>
                          </w:rPr>
                          <w:t>检查</w:t>
                        </w:r>
                        <w:r>
                          <w:rPr>
                            <w:spacing w:val="-5"/>
                            <w:sz w:val="18"/>
                          </w:rPr>
                          <w:t>频率</w:t>
                        </w:r>
                      </w:p>
                    </w:tc>
                    <w:tc>
                      <w:tcPr>
                        <w:tcW w:w="65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28"/>
                          <w:ind w:left="145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备注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4"/>
                      <w:jc w:val="left"/>
                    </w:trPr>
                    <w:tc>
                      <w:tcPr>
                        <w:tcW w:w="5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9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2"/>
                          <w:ind w:left="14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旁</w:t>
                        </w:r>
                      </w:p>
                      <w:p>
                        <w:pPr>
                          <w:pStyle w:val="TableParagraph"/>
                          <w:spacing w:before="81"/>
                          <w:ind w:left="14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站</w:t>
                        </w:r>
                      </w:p>
                    </w:tc>
                    <w:tc>
                      <w:tcPr>
                        <w:tcW w:w="714" w:type="dxa"/>
                      </w:tcPr>
                      <w:p>
                        <w:pPr>
                          <w:pStyle w:val="TableParagraph"/>
                          <w:spacing w:before="42"/>
                          <w:ind w:left="177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随工</w:t>
                        </w:r>
                      </w:p>
                      <w:p>
                        <w:pPr>
                          <w:pStyle w:val="TableParagraph"/>
                          <w:spacing w:before="81"/>
                          <w:ind w:left="177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检查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42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测</w:t>
                        </w:r>
                      </w:p>
                      <w:p>
                        <w:pPr>
                          <w:pStyle w:val="TableParagraph"/>
                          <w:spacing w:before="81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量</w:t>
                        </w:r>
                      </w:p>
                    </w:tc>
                    <w:tc>
                      <w:tcPr>
                        <w:tcW w:w="467" w:type="dxa"/>
                      </w:tcPr>
                      <w:p>
                        <w:pPr>
                          <w:pStyle w:val="TableParagraph"/>
                          <w:spacing w:before="42"/>
                          <w:ind w:left="14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测</w:t>
                        </w:r>
                      </w:p>
                      <w:p>
                        <w:pPr>
                          <w:pStyle w:val="TableParagraph"/>
                          <w:spacing w:before="81"/>
                          <w:ind w:left="14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试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观</w:t>
                        </w:r>
                      </w:p>
                      <w:p>
                        <w:pPr>
                          <w:pStyle w:val="TableParagraph"/>
                          <w:spacing w:before="81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察</w:t>
                        </w:r>
                      </w:p>
                    </w:tc>
                    <w:tc>
                      <w:tcPr>
                        <w:tcW w:w="517" w:type="dxa"/>
                      </w:tcPr>
                      <w:p>
                        <w:pPr>
                          <w:pStyle w:val="TableParagraph"/>
                          <w:spacing w:before="42"/>
                          <w:ind w:left="1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试</w:t>
                        </w:r>
                      </w:p>
                      <w:p>
                        <w:pPr>
                          <w:pStyle w:val="TableParagraph"/>
                          <w:spacing w:before="81"/>
                          <w:ind w:left="1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验</w:t>
                        </w: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spacing w:before="42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出厂</w:t>
                        </w:r>
                      </w:p>
                      <w:p>
                        <w:pPr>
                          <w:pStyle w:val="TableParagraph"/>
                          <w:spacing w:before="81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资料</w:t>
                        </w:r>
                      </w:p>
                    </w:tc>
                    <w:tc>
                      <w:tcPr>
                        <w:tcW w:w="726" w:type="dxa"/>
                      </w:tcPr>
                      <w:p>
                        <w:pPr>
                          <w:pStyle w:val="TableParagraph"/>
                          <w:spacing w:before="42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质保</w:t>
                        </w:r>
                      </w:p>
                      <w:p>
                        <w:pPr>
                          <w:pStyle w:val="TableParagraph"/>
                          <w:spacing w:before="81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资料</w:t>
                        </w:r>
                      </w:p>
                    </w:tc>
                    <w:tc>
                      <w:tcPr>
                        <w:tcW w:w="7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5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1"/>
                      <w:jc w:val="left"/>
                    </w:trPr>
                    <w:tc>
                      <w:tcPr>
                        <w:tcW w:w="537" w:type="dxa"/>
                      </w:tcPr>
                      <w:p>
                        <w:pPr>
                          <w:pStyle w:val="TableParagraph"/>
                          <w:spacing w:before="23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2594" w:type="dxa"/>
                      </w:tcPr>
                      <w:p>
                        <w:pPr>
                          <w:pStyle w:val="TableParagraph"/>
                          <w:spacing w:before="23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设备三证检查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7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spacing w:before="42"/>
                          <w:ind w:left="282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726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spacing w:before="42"/>
                          <w:ind w:left="143" w:right="1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100</w:t>
                        </w:r>
                      </w:p>
                    </w:tc>
                    <w:tc>
                      <w:tcPr>
                        <w:tcW w:w="6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1"/>
                      <w:jc w:val="left"/>
                    </w:trPr>
                    <w:tc>
                      <w:tcPr>
                        <w:tcW w:w="537" w:type="dxa"/>
                      </w:tcPr>
                      <w:p>
                        <w:pPr>
                          <w:pStyle w:val="TableParagraph"/>
                          <w:spacing w:before="23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2594" w:type="dxa"/>
                      </w:tcPr>
                      <w:p>
                        <w:pPr>
                          <w:pStyle w:val="TableParagraph"/>
                          <w:spacing w:before="23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1"/>
                            <w:sz w:val="21"/>
                          </w:rPr>
                          <w:t>设备数量、型号、规格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7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42"/>
                          <w:ind w:right="169"/>
                          <w:jc w:val="right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4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spacing w:before="42"/>
                          <w:ind w:left="282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7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spacing w:before="42"/>
                          <w:ind w:left="143" w:right="1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100</w:t>
                        </w:r>
                      </w:p>
                    </w:tc>
                    <w:tc>
                      <w:tcPr>
                        <w:tcW w:w="6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6"/>
                      <w:jc w:val="left"/>
                    </w:trPr>
                    <w:tc>
                      <w:tcPr>
                        <w:tcW w:w="537" w:type="dxa"/>
                      </w:tcPr>
                      <w:p>
                        <w:pPr>
                          <w:pStyle w:val="TableParagraph"/>
                          <w:spacing w:before="160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2594" w:type="dxa"/>
                      </w:tcPr>
                      <w:p>
                        <w:pPr>
                          <w:pStyle w:val="TableParagraph"/>
                          <w:spacing w:before="160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设备基础实施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7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right="169"/>
                          <w:jc w:val="right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4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143" w:right="1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6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537" w:type="dxa"/>
                      </w:tcPr>
                      <w:p>
                        <w:pPr>
                          <w:pStyle w:val="TableParagraph"/>
                          <w:spacing w:before="137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2594" w:type="dxa"/>
                      </w:tcPr>
                      <w:p>
                        <w:pPr>
                          <w:pStyle w:val="TableParagraph"/>
                          <w:spacing w:before="137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设备安装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156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7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156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spacing w:before="156"/>
                          <w:ind w:left="143" w:right="1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100</w:t>
                        </w:r>
                      </w:p>
                    </w:tc>
                    <w:tc>
                      <w:tcPr>
                        <w:tcW w:w="6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537" w:type="dxa"/>
                      </w:tcPr>
                      <w:p>
                        <w:pPr>
                          <w:pStyle w:val="TableParagraph"/>
                          <w:spacing w:before="23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2594" w:type="dxa"/>
                      </w:tcPr>
                      <w:p>
                        <w:pPr>
                          <w:pStyle w:val="TableParagraph"/>
                          <w:spacing w:before="23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设备配线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14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42"/>
                          <w:ind w:right="169"/>
                          <w:jc w:val="right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4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spacing w:before="42"/>
                          <w:ind w:left="143" w:right="1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50</w:t>
                        </w:r>
                      </w:p>
                    </w:tc>
                    <w:tc>
                      <w:tcPr>
                        <w:tcW w:w="6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537" w:type="dxa"/>
                      </w:tcPr>
                      <w:p>
                        <w:pPr>
                          <w:pStyle w:val="TableParagraph"/>
                          <w:spacing w:before="23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2594" w:type="dxa"/>
                      </w:tcPr>
                      <w:p>
                        <w:pPr>
                          <w:pStyle w:val="TableParagraph"/>
                          <w:spacing w:before="23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路灯灯杆的垂直度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14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42"/>
                          <w:ind w:right="169"/>
                          <w:jc w:val="right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4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spacing w:before="42"/>
                          <w:ind w:left="143" w:right="1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6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3"/>
                      <w:jc w:val="left"/>
                    </w:trPr>
                    <w:tc>
                      <w:tcPr>
                        <w:tcW w:w="537" w:type="dxa"/>
                      </w:tcPr>
                      <w:p>
                        <w:pPr>
                          <w:pStyle w:val="TableParagraph"/>
                          <w:spacing w:before="179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2594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 w:eastAsia="宋体"/>
                            <w:sz w:val="18"/>
                          </w:rPr>
                        </w:pPr>
                        <w:r>
                          <w:rPr>
                            <w:rFonts w:ascii="宋体" w:eastAsia="宋体"/>
                            <w:sz w:val="18"/>
                          </w:rPr>
                          <w:t>路灯灯杆的安装位置（</w:t>
                        </w:r>
                        <w:r>
                          <w:rPr>
                            <w:rFonts w:ascii="宋体" w:eastAsia="宋体"/>
                            <w:spacing w:val="-4"/>
                            <w:sz w:val="18"/>
                          </w:rPr>
                          <w:t>偏离中</w:t>
                        </w:r>
                      </w:p>
                      <w:p>
                        <w:pPr>
                          <w:pStyle w:val="TableParagraph"/>
                          <w:spacing w:before="81"/>
                          <w:ind w:left="10"/>
                          <w:jc w:val="center"/>
                          <w:rPr>
                            <w:rFonts w:ascii="宋体" w:eastAsia="宋体"/>
                            <w:sz w:val="18"/>
                          </w:rPr>
                        </w:pPr>
                        <w:r>
                          <w:rPr>
                            <w:rFonts w:ascii="宋体" w:eastAsia="宋体"/>
                            <w:sz w:val="18"/>
                          </w:rPr>
                          <w:t>心的距离</w:t>
                        </w:r>
                        <w:r>
                          <w:rPr>
                            <w:rFonts w:ascii="宋体" w:eastAsia="宋体"/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14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43" w:right="1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6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537" w:type="dxa"/>
                      </w:tcPr>
                      <w:p>
                        <w:pPr>
                          <w:pStyle w:val="TableParagraph"/>
                          <w:spacing w:before="23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2594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 w:eastAsia="宋体"/>
                            <w:sz w:val="18"/>
                          </w:rPr>
                        </w:pPr>
                        <w:r>
                          <w:rPr>
                            <w:rFonts w:ascii="宋体" w:eastAsia="宋体"/>
                            <w:spacing w:val="-1"/>
                            <w:sz w:val="18"/>
                          </w:rPr>
                          <w:t>路灯金属灯杆的接地电阻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14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7" w:type="dxa"/>
                      </w:tcPr>
                      <w:p>
                        <w:pPr>
                          <w:pStyle w:val="TableParagraph"/>
                          <w:spacing w:before="42"/>
                          <w:ind w:left="188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spacing w:before="42"/>
                          <w:ind w:left="143" w:right="1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6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3"/>
                      <w:jc w:val="left"/>
                    </w:trPr>
                    <w:tc>
                      <w:tcPr>
                        <w:tcW w:w="537" w:type="dxa"/>
                      </w:tcPr>
                      <w:p>
                        <w:pPr>
                          <w:pStyle w:val="TableParagraph"/>
                          <w:spacing w:before="179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2594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 w:eastAsia="宋体"/>
                            <w:sz w:val="18"/>
                          </w:rPr>
                        </w:pPr>
                        <w:r>
                          <w:rPr>
                            <w:rFonts w:ascii="宋体" w:eastAsia="宋体"/>
                            <w:spacing w:val="-1"/>
                            <w:sz w:val="18"/>
                          </w:rPr>
                          <w:t>路灯控制箱、配电箱的接地电</w:t>
                        </w:r>
                      </w:p>
                      <w:p>
                        <w:pPr>
                          <w:pStyle w:val="TableParagraph"/>
                          <w:spacing w:before="81"/>
                          <w:ind w:left="10"/>
                          <w:jc w:val="center"/>
                          <w:rPr>
                            <w:rFonts w:ascii="宋体" w:eastAsia="宋体"/>
                            <w:sz w:val="18"/>
                          </w:rPr>
                        </w:pPr>
                        <w:r>
                          <w:rPr>
                            <w:rFonts w:ascii="宋体" w:eastAsia="宋体"/>
                            <w:sz w:val="18"/>
                          </w:rPr>
                          <w:t>阻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14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7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88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43" w:right="1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100</w:t>
                        </w:r>
                      </w:p>
                    </w:tc>
                    <w:tc>
                      <w:tcPr>
                        <w:tcW w:w="6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47"/>
                      <w:jc w:val="left"/>
                    </w:trPr>
                    <w:tc>
                      <w:tcPr>
                        <w:tcW w:w="537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93" w:right="8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2594" w:type="dxa"/>
                      </w:tcPr>
                      <w:p>
                        <w:pPr>
                          <w:pStyle w:val="TableParagraph"/>
                          <w:spacing w:before="42" w:line="324" w:lineRule="auto"/>
                          <w:ind w:left="108" w:right="96" w:firstLine="19"/>
                          <w:jc w:val="both"/>
                          <w:rPr>
                            <w:rFonts w:ascii="宋体" w:eastAsia="宋体"/>
                            <w:sz w:val="18"/>
                          </w:rPr>
                        </w:pPr>
                        <w:r>
                          <w:rPr>
                            <w:rFonts w:ascii="宋体" w:eastAsia="宋体"/>
                            <w:spacing w:val="-2"/>
                            <w:sz w:val="18"/>
                          </w:rPr>
                          <w:t>路灯控制箱、配电箱及馈电线</w:t>
                        </w:r>
                        <w:r>
                          <w:rPr>
                            <w:rFonts w:ascii="宋体" w:eastAsia="宋体"/>
                            <w:spacing w:val="-12"/>
                            <w:sz w:val="18"/>
                          </w:rPr>
                          <w:t>路绝缘电阻（相间、对地）（</w:t>
                        </w:r>
                        <w:r>
                          <w:rPr>
                            <w:rFonts w:ascii="宋体" w:eastAsia="宋体"/>
                            <w:spacing w:val="-12"/>
                            <w:sz w:val="18"/>
                          </w:rPr>
                          <w:t>测</w:t>
                        </w:r>
                        <w:r>
                          <w:rPr>
                            <w:rFonts w:ascii="宋体" w:eastAsia="宋体"/>
                            <w:spacing w:val="-1"/>
                            <w:sz w:val="18"/>
                          </w:rPr>
                          <w:t>量时应将断路器、用电设备、</w:t>
                        </w:r>
                      </w:p>
                      <w:p>
                        <w:pPr>
                          <w:pStyle w:val="TableParagraph"/>
                          <w:spacing w:before="2"/>
                          <w:ind w:left="487"/>
                          <w:rPr>
                            <w:rFonts w:ascii="宋体" w:eastAsia="宋体"/>
                            <w:sz w:val="18"/>
                          </w:rPr>
                        </w:pPr>
                        <w:r>
                          <w:rPr>
                            <w:rFonts w:ascii="宋体" w:eastAsia="宋体"/>
                            <w:sz w:val="18"/>
                          </w:rPr>
                          <w:t>电器和仪表等断开</w:t>
                        </w:r>
                        <w:r>
                          <w:rPr>
                            <w:rFonts w:ascii="宋体" w:eastAsia="宋体"/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14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7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188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17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23"/>
                          <w:ind w:left="188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抽测</w:t>
                        </w:r>
                      </w:p>
                      <w:p>
                        <w:pPr>
                          <w:pStyle w:val="TableParagraph"/>
                          <w:spacing w:before="82"/>
                          <w:ind w:left="2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  <w:r>
                          <w:rPr>
                            <w:spacing w:val="-28"/>
                            <w:sz w:val="18"/>
                          </w:rPr>
                          <w:t xml:space="preserve"> 处</w:t>
                        </w:r>
                      </w:p>
                    </w:tc>
                    <w:tc>
                      <w:tcPr>
                        <w:tcW w:w="6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537" w:type="dxa"/>
                      </w:tcPr>
                      <w:p>
                        <w:pPr>
                          <w:pStyle w:val="TableParagraph"/>
                          <w:spacing w:before="23"/>
                          <w:ind w:left="38" w:right="13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2594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 w:eastAsia="宋体"/>
                            <w:sz w:val="18"/>
                          </w:rPr>
                        </w:pPr>
                        <w:r>
                          <w:rPr>
                            <w:rFonts w:ascii="宋体" w:eastAsia="宋体"/>
                            <w:spacing w:val="-2"/>
                            <w:sz w:val="18"/>
                          </w:rPr>
                          <w:t>路灯供电相序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14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517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spacing w:before="42"/>
                          <w:ind w:left="143" w:right="1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100</w:t>
                        </w:r>
                      </w:p>
                    </w:tc>
                    <w:tc>
                      <w:tcPr>
                        <w:tcW w:w="6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537" w:type="dxa"/>
                      </w:tcPr>
                      <w:p>
                        <w:pPr>
                          <w:pStyle w:val="TableParagraph"/>
                          <w:spacing w:before="23"/>
                          <w:ind w:left="38" w:right="13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2594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 w:eastAsia="宋体"/>
                            <w:sz w:val="18"/>
                          </w:rPr>
                        </w:pPr>
                        <w:r>
                          <w:rPr>
                            <w:rFonts w:ascii="宋体" w:eastAsia="宋体"/>
                            <w:spacing w:val="-1"/>
                            <w:sz w:val="18"/>
                          </w:rPr>
                          <w:t>路灯启动后应正常点亮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14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17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spacing w:before="42"/>
                          <w:ind w:left="143" w:right="1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100</w:t>
                        </w:r>
                      </w:p>
                    </w:tc>
                    <w:tc>
                      <w:tcPr>
                        <w:tcW w:w="6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537" w:type="dxa"/>
                      </w:tcPr>
                      <w:p>
                        <w:pPr>
                          <w:pStyle w:val="TableParagraph"/>
                          <w:spacing w:before="23"/>
                          <w:ind w:left="38" w:right="13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2594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 w:eastAsia="宋体"/>
                            <w:sz w:val="18"/>
                          </w:rPr>
                        </w:pPr>
                        <w:r>
                          <w:rPr>
                            <w:rFonts w:ascii="宋体" w:eastAsia="宋体"/>
                            <w:spacing w:val="-3"/>
                            <w:sz w:val="18"/>
                          </w:rPr>
                          <w:t>光控功能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14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517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spacing w:before="42"/>
                          <w:ind w:left="143" w:right="1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100</w:t>
                        </w:r>
                      </w:p>
                    </w:tc>
                    <w:tc>
                      <w:tcPr>
                        <w:tcW w:w="6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537" w:type="dxa"/>
                      </w:tcPr>
                      <w:p>
                        <w:pPr>
                          <w:pStyle w:val="TableParagraph"/>
                          <w:spacing w:before="23"/>
                          <w:ind w:left="38" w:right="13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2594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 w:eastAsia="宋体"/>
                            <w:sz w:val="18"/>
                          </w:rPr>
                        </w:pPr>
                        <w:r>
                          <w:rPr>
                            <w:rFonts w:ascii="宋体" w:eastAsia="宋体"/>
                            <w:spacing w:val="-3"/>
                            <w:sz w:val="18"/>
                          </w:rPr>
                          <w:t>时控功能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14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517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spacing w:before="42"/>
                          <w:ind w:left="143" w:right="1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100</w:t>
                        </w:r>
                      </w:p>
                    </w:tc>
                    <w:tc>
                      <w:tcPr>
                        <w:tcW w:w="6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537" w:type="dxa"/>
                      </w:tcPr>
                      <w:p>
                        <w:pPr>
                          <w:pStyle w:val="TableParagraph"/>
                          <w:spacing w:before="23"/>
                          <w:ind w:left="38" w:right="13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2594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 w:eastAsia="宋体"/>
                            <w:sz w:val="18"/>
                          </w:rPr>
                        </w:pPr>
                        <w:r>
                          <w:rPr>
                            <w:rFonts w:ascii="宋体" w:eastAsia="宋体"/>
                            <w:spacing w:val="-2"/>
                            <w:sz w:val="18"/>
                          </w:rPr>
                          <w:t>设备外观检查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14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42"/>
                          <w:ind w:left="10"/>
                          <w:jc w:val="center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>*</w:t>
                        </w:r>
                      </w:p>
                    </w:tc>
                    <w:tc>
                      <w:tcPr>
                        <w:tcW w:w="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spacing w:before="42"/>
                          <w:ind w:left="143" w:right="1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100</w:t>
                        </w:r>
                      </w:p>
                    </w:tc>
                    <w:tc>
                      <w:tcPr>
                        <w:tcW w:w="6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</v:shape>
        </w:pict>
      </w:r>
      <w:r>
        <w:rPr>
          <w:spacing w:val="-2"/>
          <w:sz w:val="30"/>
        </w:rPr>
        <w:t>、道路照明控制检验方法</w:t>
      </w:r>
      <w:r>
        <w:rPr>
          <w:spacing w:val="-2"/>
          <w:sz w:val="30"/>
        </w:rPr>
        <w:t>道路照明设备检验方法，见下表</w:t>
      </w: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224"/>
      </w:pPr>
      <w:r>
        <w:pict>
          <v:group id="_x0000_s1032" style="width:437.8pt;height:191.6pt;margin-top:65.32pt;margin-left:58.38pt;mso-position-horizontal-relative:page;position:absolute;z-index:251660288" coordorigin="1168,1306" coordsize="8756,3832">
            <v:rect id="_x0000_s1033" style="width:2530;height:1260;left:7174;position:absolute;top:3851" filled="f" stroked="t" strokecolor="black" strokeweight="0.75pt">
              <v:stroke dashstyle="solid"/>
            </v:rect>
            <v:rect id="_x0000_s1034" style="width:2192;height:1260;left:7246;position:absolute;top:1313" filled="f" stroked="t" strokecolor="black" strokeweight="0.75pt">
              <v:stroke dashstyle="solid"/>
            </v:rect>
            <v:rect id="_x0000_s1035" style="width:2707;height:1260;left:7157;position:absolute;top:2596" filled="f" stroked="t" strokecolor="black" strokeweight="0.75pt">
              <v:stroke dashstyle="solid"/>
            </v:rect>
            <v:rect id="_x0000_s1036" style="width:2272;height:1260;left:4222;position:absolute;top:3851" filled="f" stroked="t" strokecolor="black" strokeweight="0.75pt">
              <v:stroke dashstyle="solid"/>
            </v:rect>
            <v:rect id="_x0000_s1037" style="width:2508;height:1260;left:4152;position:absolute;top:1343" filled="f" stroked="t" strokecolor="black" strokeweight="0.75pt">
              <v:stroke dashstyle="solid"/>
            </v:rect>
            <v:rect id="_x0000_s1038" style="width:2192;height:1260;left:4300;position:absolute;top:2586" filled="t" fillcolor="white" stroked="f">
              <v:fill type="solid"/>
            </v:rect>
            <v:rect id="_x0000_s1039" style="width:2192;height:1260;left:4300;position:absolute;top:2586" filled="f" stroked="t" strokecolor="black" strokeweight="0.75pt">
              <v:stroke dashstyle="solid"/>
            </v:rect>
            <v:rect id="_x0000_s1040" style="width:2833;height:1323;left:4345;position:absolute;top:3588" filled="t" fillcolor="white" stroked="f">
              <v:fill type="solid"/>
            </v:rect>
            <v:rect id="_x0000_s1041" style="width:2833;height:1323;left:4345;position:absolute;top:3588" filled="f" stroked="t" strokecolor="black" strokeweight="0.75pt">
              <v:stroke dashstyle="solid"/>
            </v:rect>
            <v:rect id="_x0000_s1042" style="width:2295;height:1260;left:7621;position:absolute;top:3529" filled="t" fillcolor="white" stroked="f">
              <v:fill type="solid"/>
            </v:rect>
            <v:rect id="_x0000_s1043" style="width:2295;height:1260;left:7621;position:absolute;top:3529" filled="f" stroked="t" strokecolor="black" strokeweight="0.75pt">
              <v:stroke dashstyle="solid"/>
            </v:rect>
            <v:shape id="_x0000_s1044" style="width:122;height:120;left:4214;position:absolute;top:3127" coordorigin="4215,3127" coordsize="122,120" path="m4217,3247l4215,3127,4336,3185,4217,3247xe" filled="t" fillcolor="black" stroked="f">
              <v:fill type="solid"/>
              <v:path arrowok="t"/>
            </v:shape>
            <v:rect id="_x0000_s1045" style="width:1910;height:1260;left:1656;position:absolute;top:1429" filled="f" stroked="t" strokecolor="black" strokeweight="0.75pt">
              <v:stroke dashstyle="solid"/>
            </v:rect>
            <v:rect id="_x0000_s1046" style="width:2192;height:1260;left:1539;position:absolute;top:2600" filled="t" fillcolor="white" stroked="f">
              <v:fill type="solid"/>
            </v:rect>
            <v:rect id="_x0000_s1047" style="width:2192;height:1260;left:1539;position:absolute;top:2600" filled="f" stroked="t" strokecolor="black" strokeweight="0.75pt">
              <v:stroke dashstyle="solid"/>
            </v:rect>
            <v:rect id="_x0000_s1048" style="width:2192;height:1260;left:1500;position:absolute;top:3595" filled="t" fillcolor="white" stroked="f">
              <v:fill type="solid"/>
            </v:rect>
            <v:rect id="_x0000_s1049" style="width:2192;height:1260;left:1500;position:absolute;top:3595" filled="f" stroked="t" strokecolor="black" strokeweight="0.75pt">
              <v:stroke dashstyle="solid"/>
            </v:rect>
            <v:line id="_x0000_s1050" style="position:absolute" from="3746,3196" to="4314,3185" stroked="t" strokecolor="black" strokeweight="0.75pt">
              <v:stroke dashstyle="solid"/>
            </v:line>
            <v:shape id="_x0000_s1051" style="width:122;height:120;left:6989;position:absolute;top:3127" coordorigin="6990,3127" coordsize="122,120" path="m6992,3247l6990,3127,7111,3185,6992,3247xe" filled="t" fillcolor="black" stroked="f">
              <v:fill type="solid"/>
              <v:path arrowok="t"/>
            </v:shape>
            <v:line id="_x0000_s1052" style="position:absolute" from="6521,3196" to="7089,3185" stroked="t" strokecolor="black" strokeweight="0.75pt">
              <v:stroke dashstyle="solid"/>
            </v:line>
            <v:rect id="_x0000_s1053" style="width:2563;height:1260;left:1175;position:absolute;top:3870" filled="t" fillcolor="white" stroked="f">
              <v:fill type="solid"/>
            </v:rect>
            <v:rect id="_x0000_s1054" style="width:2563;height:1260;left:1175;position:absolute;top:3870" filled="f" stroked="t" strokecolor="black" strokeweight="0.75pt">
              <v:stroke dashstyle="solid"/>
            </v:rect>
            <v:shape id="_x0000_s1055" style="width:122;height:120;left:4110;position:absolute;top:4359" coordorigin="4111,4359" coordsize="122,120" path="m4113,4479l4111,4359,4232,4417,4113,4479xe" filled="t" fillcolor="black" stroked="f">
              <v:fill type="solid"/>
              <v:path arrowok="t"/>
            </v:shape>
            <v:line id="_x0000_s1056" style="position:absolute" from="3725,4428" to="4210,4417" stroked="t" strokecolor="black" strokeweight="0.75pt">
              <v:stroke dashstyle="solid"/>
            </v:line>
            <v:shape id="_x0000_s1057" type="#_x0000_t202" style="width:2424;height:904;left:7308;position:absolute;top:2850" filled="f" stroked="f">
              <v:textbox inset="0,0,0,0">
                <w:txbxContent>
                  <w:p>
                    <w:pPr>
                      <w:spacing w:before="0" w:line="319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18"/>
                        <w:sz w:val="28"/>
                      </w:rPr>
                      <w:t>与本工程相关专业</w:t>
                    </w:r>
                  </w:p>
                  <w:p>
                    <w:pPr>
                      <w:spacing w:before="9" w:line="240" w:lineRule="auto"/>
                      <w:rPr>
                        <w:sz w:val="20"/>
                      </w:rPr>
                    </w:pPr>
                  </w:p>
                  <w:p>
                    <w:pPr>
                      <w:spacing w:before="0" w:line="319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进</w:t>
                    </w:r>
                  </w:p>
                </w:txbxContent>
              </v:textbox>
            </v:shape>
            <v:shape id="_x0000_s1058" type="#_x0000_t202" style="width:2550;height:280;left:4496;position:absolute;top:3842" filled="f" stroked="f">
              <v:textbox inset="0,0,0,0">
                <w:txbxContent>
                  <w:p>
                    <w:pPr>
                      <w:spacing w:before="0" w:line="28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施工特殊过程和质量</w:t>
                    </w:r>
                  </w:p>
                </w:txbxContent>
              </v:textbox>
            </v:shape>
            <v:shape id="_x0000_s1059" type="#_x0000_t202" style="width:2012;height:280;left:7772;position:absolute;top:3783" filled="f" stroked="f">
              <v:textbox inset="0,0,0,0">
                <w:txbxContent>
                  <w:p>
                    <w:pPr>
                      <w:spacing w:before="0" w:line="28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做好本专业各检</w:t>
                    </w:r>
                  </w:p>
                </w:txbxContent>
              </v:textbox>
            </v:shape>
            <v:shape id="_x0000_s1060" type="#_x0000_t202" style="width:2280;height:280;left:1326;position:absolute;top:4124" filled="f" stroked="f">
              <v:textbox inset="0,0,0,0">
                <w:txbxContent>
                  <w:p>
                    <w:pPr>
                      <w:spacing w:before="0" w:line="28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做好本专业的各分</w:t>
                    </w:r>
                  </w:p>
                </w:txbxContent>
              </v:textbox>
            </v:shape>
            <v:shape id="_x0000_s1061" type="#_x0000_t202" style="width:300;height:280;left:7325;position:absolute;top:4105" filled="f" stroked="f">
              <v:textbox inset="0,0,0,0">
                <w:txbxContent>
                  <w:p>
                    <w:pPr>
                      <w:spacing w:before="0" w:line="28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对</w:t>
                    </w:r>
                  </w:p>
                </w:txbxContent>
              </v:textbox>
            </v:shape>
            <v:shape id="_x0000_s1062" type="#_x0000_t202" style="width:2540;height:280;left:4496;position:absolute;top:4466" filled="f" stroked="f">
              <v:textbox inset="0,0,0,0">
                <w:txbxContent>
                  <w:p>
                    <w:pPr>
                      <w:spacing w:before="0" w:line="28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控制点实行旁站监理</w:t>
                    </w:r>
                  </w:p>
                </w:txbxContent>
              </v:textbox>
            </v:shape>
            <v:shape id="_x0000_s1063" type="#_x0000_t202" style="width:1980;height:280;left:7772;position:absolute;top:4407" filled="f" stroked="f">
              <v:textbox inset="0,0,0,0">
                <w:txbxContent>
                  <w:p>
                    <w:pPr>
                      <w:spacing w:before="0" w:line="28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验批的检查抽检</w:t>
                    </w:r>
                  </w:p>
                </w:txbxContent>
              </v:textbox>
            </v:shape>
            <v:shape id="_x0000_s1064" type="#_x0000_t202" style="width:2260;height:280;left:1326;position:absolute;top:4748" filled="f" stroked="f">
              <v:textbox inset="0,0,0,0">
                <w:txbxContent>
                  <w:p>
                    <w:pPr>
                      <w:spacing w:before="0" w:line="28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项的平行检验记录</w:t>
                    </w:r>
                  </w:p>
                </w:txbxContent>
              </v:textbox>
            </v:shape>
            <v:shape id="_x0000_s1065" type="#_x0000_t202" style="width:2537;height:327;left:7167;position:absolute;top:4789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0" w:line="252" w:lineRule="exact"/>
                      <w:ind w:left="15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程进行计量</w:t>
                    </w:r>
                  </w:p>
                </w:txbxContent>
              </v:textbox>
            </v:shape>
            <v:shape id="_x0000_s1066" type="#_x0000_t202" style="width:2156;height:955;left:4330;position:absolute;top:2607" filled="f" stroked="f">
              <v:textbox inset="0,0,0,0">
                <w:txbxContent>
                  <w:p>
                    <w:pPr>
                      <w:spacing w:before="193"/>
                      <w:ind w:left="121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32"/>
                        <w:sz w:val="28"/>
                      </w:rPr>
                      <w:t>做好相关开工</w:t>
                    </w:r>
                  </w:p>
                </w:txbxContent>
              </v:textbox>
            </v:shape>
            <v:shape id="_x0000_s1067" type="#_x0000_t202" style="width:2215;height:985;left:1519;position:absolute;top:259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16"/>
                      <w:ind w:left="16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32"/>
                        <w:sz w:val="28"/>
                      </w:rPr>
                      <w:t>确定工程质量</w:t>
                    </w:r>
                  </w:p>
                </w:txbxContent>
              </v:textbox>
            </v:shape>
            <v:shape id="_x0000_s1068" type="#_x0000_t202" style="width:1910;height:1162;left:1656;position:absolute;top:1429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07"/>
                      <w:ind w:left="14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38"/>
                        <w:sz w:val="28"/>
                      </w:rPr>
                      <w:t>熟悉路灯相</w:t>
                    </w:r>
                  </w:p>
                  <w:p>
                    <w:pPr>
                      <w:spacing w:before="8" w:line="240" w:lineRule="auto"/>
                      <w:rPr>
                        <w:sz w:val="20"/>
                      </w:rPr>
                    </w:pPr>
                  </w:p>
                  <w:p>
                    <w:pPr>
                      <w:spacing w:before="1" w:line="316" w:lineRule="exact"/>
                      <w:ind w:left="14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关施工图纸</w:t>
                    </w:r>
                  </w:p>
                </w:txbxContent>
              </v:textbox>
            </v:shape>
            <v:shape id="_x0000_s1069" type="#_x0000_t202" style="width:2256;height:1248;left:7175;position:absolute;top:1336" filled="f" stroked="f">
              <v:textbox inset="0,0,0,0">
                <w:txbxContent>
                  <w:p>
                    <w:pPr>
                      <w:spacing w:before="192"/>
                      <w:ind w:left="222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32"/>
                        <w:sz w:val="28"/>
                      </w:rPr>
                      <w:t>确定本专业的</w:t>
                    </w:r>
                  </w:p>
                  <w:p>
                    <w:pPr>
                      <w:spacing w:before="8" w:line="240" w:lineRule="auto"/>
                      <w:rPr>
                        <w:sz w:val="20"/>
                      </w:rPr>
                    </w:pPr>
                  </w:p>
                  <w:p>
                    <w:pPr>
                      <w:spacing w:before="1"/>
                      <w:ind w:left="222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监理质量目标</w:t>
                    </w:r>
                  </w:p>
                </w:txbxContent>
              </v:textbox>
            </v:shape>
            <v:shape id="_x0000_s1070" type="#_x0000_t202" style="width:2458;height:1240;left:4194;position:absolute;top:1336" filled="f" stroked="f">
              <v:textbox inset="0,0,0,0">
                <w:txbxContent>
                  <w:p>
                    <w:pPr>
                      <w:spacing w:before="0" w:line="624" w:lineRule="exact"/>
                      <w:ind w:left="108" w:right="143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15"/>
                        <w:sz w:val="28"/>
                      </w:rPr>
                      <w:t>参与图纸</w:t>
                    </w:r>
                    <w:r>
                      <w:rPr>
                        <w:sz w:val="28"/>
                      </w:rPr>
                      <w:t>`</w:t>
                    </w:r>
                    <w:r>
                      <w:rPr>
                        <w:spacing w:val="10"/>
                        <w:sz w:val="28"/>
                      </w:rPr>
                      <w:t>会审提</w:t>
                    </w:r>
                    <w:r>
                      <w:rPr>
                        <w:spacing w:val="-2"/>
                        <w:sz w:val="28"/>
                      </w:rPr>
                      <w:t>出相关问题</w:t>
                    </w:r>
                  </w:p>
                </w:txbxContent>
              </v:textbox>
            </v:shape>
          </v:group>
        </w:pict>
      </w:r>
      <w:r>
        <w:rPr>
          <w:spacing w:val="-1"/>
        </w:rPr>
        <w:t>五、监理程序控制图，文字描述报验流程</w:t>
      </w:r>
    </w:p>
    <w:p>
      <w:pPr>
        <w:spacing w:after="0"/>
        <w:sectPr>
          <w:pgSz w:w="11910" w:h="16840"/>
          <w:pgMar w:top="1460" w:right="1300" w:bottom="280" w:left="1220" w:header="708" w:footer="708"/>
          <w:pgNumType w:start="15"/>
          <w:cols w:space="708"/>
        </w:sect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5"/>
        <w:ind w:left="0"/>
        <w:rPr>
          <w:sz w:val="17"/>
        </w:rPr>
      </w:pPr>
    </w:p>
    <w:p>
      <w:pPr>
        <w:spacing w:before="61" w:line="313" w:lineRule="exact"/>
        <w:ind w:left="282" w:right="0" w:firstLine="0"/>
        <w:jc w:val="left"/>
        <w:rPr>
          <w:sz w:val="28"/>
        </w:rPr>
      </w:pPr>
      <w:r>
        <w:pict>
          <v:shape id="_x0000_s1071" type="#_x0000_t202" style="width:98pt;height:14pt;margin-top:-18.18pt;margin-left:78.32pt;mso-position-horizontal-relative:page;position:absolute;z-index:-251645952" filled="f" stroked="f">
            <v:textbox inset="0,0,0,0">
              <w:txbxContent>
                <w:p>
                  <w:pPr>
                    <w:spacing w:before="0" w:line="280" w:lineRule="exact"/>
                    <w:ind w:left="0" w:right="0" w:firstLine="0"/>
                    <w:jc w:val="left"/>
                    <w:rPr>
                      <w:sz w:val="28"/>
                    </w:rPr>
                  </w:pPr>
                  <w:r>
                    <w:rPr>
                      <w:spacing w:val="-2"/>
                      <w:sz w:val="28"/>
                    </w:rPr>
                    <w:t>程质量评估报告</w:t>
                  </w:r>
                </w:p>
              </w:txbxContent>
            </v:textbox>
          </v:shape>
        </w:pict>
      </w:r>
      <w:r>
        <w:pict>
          <v:group id="_x0000_s1072" style="width:132.8pt;height:86.95pt;margin-top:-62.44pt;margin-left:67.18pt;mso-position-horizontal-relative:page;position:absolute;z-index:-251644928" coordorigin="1344,-1249" coordsize="2656,1739">
            <v:rect id="_x0000_s1073" style="width:2577;height:1260;left:1415;position:absolute;top:-1242" filled="f" stroked="t" strokecolor="black" strokeweight="0.75pt">
              <v:stroke dashstyle="solid"/>
            </v:rect>
            <v:rect id="_x0000_s1074" style="width:2577;height:1260;left:1351;position:absolute;top:-778" filled="t" fillcolor="white" stroked="f">
              <v:fill type="solid"/>
            </v:rect>
            <v:rect id="_x0000_s1075" style="width:2577;height:1260;left:1351;position:absolute;top:-778" filled="f" stroked="t" strokecolor="black" strokeweight="0.75pt">
              <v:stroke dashstyle="solid"/>
            </v:rect>
          </v:group>
        </w:pict>
      </w:r>
      <w:r>
        <w:pict>
          <v:shape id="_x0000_s1076" type="#_x0000_t202" style="width:128.1pt;height:39.05pt;margin-top:-38.49pt;margin-left:69.53pt;mso-position-horizontal-relative:page;position:absolute;z-index:251666432" filled="f" stroked="f">
            <v:textbox inset="0,0,0,0">
              <w:txbxContent>
                <w:p>
                  <w:pPr>
                    <w:spacing w:before="207" w:line="313" w:lineRule="exact"/>
                    <w:ind w:left="112" w:right="0" w:firstLine="0"/>
                    <w:jc w:val="left"/>
                    <w:rPr>
                      <w:sz w:val="28"/>
                    </w:rPr>
                  </w:pPr>
                  <w:r>
                    <w:rPr>
                      <w:spacing w:val="-2"/>
                      <w:sz w:val="28"/>
                    </w:rPr>
                    <w:t>审核本专业竣工工</w:t>
                  </w:r>
                </w:p>
                <w:p>
                  <w:pPr>
                    <w:pStyle w:val="BodyText"/>
                    <w:spacing w:before="0" w:line="261" w:lineRule="exact"/>
                    <w:ind w:left="409"/>
                  </w:pPr>
                  <w:r>
                    <w:rPr>
                      <w:spacing w:val="-2"/>
                    </w:rPr>
                    <w:t>施工报验流程：</w:t>
                  </w:r>
                </w:p>
              </w:txbxContent>
            </v:textbox>
          </v:shape>
        </w:pict>
      </w:r>
      <w:r>
        <w:pict>
          <v:shape id="_x0000_s1077" type="#_x0000_t202" style="width:128.85pt;height:23.2pt;margin-top:-62.07pt;margin-left:69.15pt;mso-position-horizontal-relative:page;position:absolute;z-index:251667456" filled="f" stroked="t" strokecolor="black" strokeweight="0.75pt">
            <v:stroke dashstyle="solid"/>
            <v:textbox inset="0,0,0,0">
              <w:txbxContent>
                <w:p>
                  <w:pPr>
                    <w:spacing w:before="207" w:line="242" w:lineRule="exact"/>
                    <w:ind w:left="175" w:right="0" w:firstLine="0"/>
                    <w:jc w:val="left"/>
                    <w:rPr>
                      <w:sz w:val="28"/>
                    </w:rPr>
                  </w:pPr>
                  <w:r>
                    <w:rPr>
                      <w:spacing w:val="-2"/>
                      <w:sz w:val="28"/>
                    </w:rPr>
                    <w:t>编写本专业分部工</w:t>
                  </w:r>
                </w:p>
              </w:txbxContent>
            </v:textbox>
          </v:shape>
        </w:pict>
      </w:r>
      <w:r>
        <w:pict>
          <v:shape id="_x0000_s1078" type="#_x0000_t202" style="width:113.6pt;height:63pt;margin-top:-62.27pt;margin-left:363.5pt;mso-position-horizontal-relative:page;position:absolute;z-index:251668480" filled="f" stroked="t" strokecolor="black" strokeweight="0.75pt">
            <v:stroke dashstyle="solid"/>
            <v:textbox inset="0,0,0,0">
              <w:txbxContent>
                <w:p>
                  <w:pPr>
                    <w:spacing w:before="207"/>
                    <w:ind w:left="143" w:right="0" w:firstLine="0"/>
                    <w:jc w:val="left"/>
                    <w:rPr>
                      <w:sz w:val="28"/>
                    </w:rPr>
                  </w:pPr>
                  <w:r>
                    <w:rPr>
                      <w:spacing w:val="-2"/>
                      <w:sz w:val="28"/>
                    </w:rPr>
                    <w:t>审核本专业的竣</w:t>
                  </w:r>
                </w:p>
                <w:p>
                  <w:pPr>
                    <w:pStyle w:val="BodyText"/>
                    <w:spacing w:before="8"/>
                    <w:ind w:left="0"/>
                    <w:rPr>
                      <w:sz w:val="20"/>
                    </w:rPr>
                  </w:pPr>
                </w:p>
                <w:p>
                  <w:pPr>
                    <w:spacing w:before="1"/>
                    <w:ind w:left="143" w:right="0" w:firstLine="0"/>
                    <w:jc w:val="left"/>
                    <w:rPr>
                      <w:sz w:val="28"/>
                    </w:rPr>
                  </w:pPr>
                  <w:r>
                    <w:rPr>
                      <w:spacing w:val="-5"/>
                      <w:sz w:val="28"/>
                    </w:rPr>
                    <w:t>工图</w:t>
                  </w:r>
                </w:p>
              </w:txbxContent>
            </v:textbox>
          </v:shape>
        </w:pict>
      </w:r>
      <w:r>
        <w:pict>
          <v:shape id="_x0000_s1079" type="#_x0000_t202" style="width:113.6pt;height:63pt;margin-top:-62.27pt;margin-left:225.6pt;mso-position-horizontal-relative:page;position:absolute;z-index:251669504" filled="f" stroked="t" strokecolor="black" strokeweight="0.75pt">
            <v:stroke dashstyle="solid"/>
            <v:textbox inset="0,0,0,0">
              <w:txbxContent>
                <w:p>
                  <w:pPr>
                    <w:spacing w:before="207"/>
                    <w:ind w:left="143" w:right="0" w:firstLine="0"/>
                    <w:jc w:val="left"/>
                    <w:rPr>
                      <w:sz w:val="28"/>
                    </w:rPr>
                  </w:pPr>
                  <w:r>
                    <w:rPr>
                      <w:spacing w:val="-2"/>
                      <w:sz w:val="28"/>
                    </w:rPr>
                    <w:t>参与单位工程质</w:t>
                  </w:r>
                </w:p>
                <w:p>
                  <w:pPr>
                    <w:pStyle w:val="BodyText"/>
                    <w:spacing w:before="8"/>
                    <w:ind w:left="0"/>
                    <w:rPr>
                      <w:sz w:val="20"/>
                    </w:rPr>
                  </w:pPr>
                </w:p>
                <w:p>
                  <w:pPr>
                    <w:spacing w:before="1"/>
                    <w:ind w:left="143" w:right="0" w:firstLine="0"/>
                    <w:jc w:val="left"/>
                    <w:rPr>
                      <w:sz w:val="28"/>
                    </w:rPr>
                  </w:pPr>
                  <w:r>
                    <w:rPr>
                      <w:spacing w:val="-4"/>
                      <w:sz w:val="28"/>
                    </w:rPr>
                    <w:t>量验收</w:t>
                  </w:r>
                </w:p>
              </w:txbxContent>
            </v:textbox>
          </v:shape>
        </w:pict>
      </w:r>
      <w:r>
        <w:rPr>
          <w:spacing w:val="-3"/>
          <w:sz w:val="28"/>
        </w:rPr>
        <w:t>程量结算</w:t>
      </w:r>
    </w:p>
    <w:p>
      <w:pPr>
        <w:pStyle w:val="BodyText"/>
        <w:spacing w:before="0" w:line="338" w:lineRule="exact"/>
      </w:pPr>
      <w:r>
        <w:t>1</w:t>
      </w:r>
      <w:r>
        <w:rPr>
          <w:spacing w:val="-1"/>
        </w:rPr>
        <w:t>、为确保工程质量在关键部位或关键工序施工过程中，采取巡</w:t>
      </w:r>
    </w:p>
    <w:p>
      <w:pPr>
        <w:pStyle w:val="BodyText"/>
      </w:pPr>
      <w:r>
        <w:rPr>
          <w:spacing w:val="-1"/>
        </w:rPr>
        <w:t>检、旁站及平行检验的手段。</w:t>
      </w:r>
    </w:p>
    <w:p>
      <w:pPr>
        <w:pStyle w:val="BodyText"/>
        <w:spacing w:before="239" w:line="388" w:lineRule="auto"/>
        <w:ind w:right="497"/>
      </w:pPr>
      <w:r>
        <w:rPr>
          <w:spacing w:val="-4"/>
        </w:rPr>
        <w:t>2</w:t>
      </w:r>
      <w:r>
        <w:rPr>
          <w:spacing w:val="-7"/>
        </w:rPr>
        <w:t xml:space="preserve">、利用检查或检测手段在承包单位自检的基础上，按照 </w:t>
      </w:r>
      <w:r>
        <w:rPr>
          <w:spacing w:val="-4"/>
        </w:rPr>
        <w:t>3：1</w:t>
      </w:r>
      <w:r>
        <w:rPr>
          <w:spacing w:val="-40"/>
        </w:rPr>
        <w:t xml:space="preserve"> 的</w:t>
      </w:r>
      <w:r>
        <w:rPr>
          <w:spacing w:val="-2"/>
        </w:rPr>
        <w:t>比例独立进行检查或检测。</w:t>
      </w:r>
    </w:p>
    <w:p>
      <w:pPr>
        <w:pStyle w:val="BodyText"/>
        <w:spacing w:before="3" w:line="388" w:lineRule="auto"/>
        <w:ind w:right="497"/>
      </w:pPr>
      <w:r>
        <w:rPr>
          <w:spacing w:val="-4"/>
        </w:rPr>
        <w:t>3</w:t>
      </w:r>
      <w:r>
        <w:rPr>
          <w:spacing w:val="-9"/>
        </w:rPr>
        <w:t xml:space="preserve">、进场材料、设备进场使用前必须在 </w:t>
      </w:r>
      <w:r>
        <w:rPr>
          <w:spacing w:val="-4"/>
        </w:rPr>
        <w:t>48</w:t>
      </w:r>
      <w:r>
        <w:rPr>
          <w:spacing w:val="-13"/>
        </w:rPr>
        <w:t xml:space="preserve"> 小时报验，采取现场检</w:t>
      </w:r>
      <w:r>
        <w:rPr>
          <w:spacing w:val="-2"/>
        </w:rPr>
        <w:t>验或送有相应资质的检测检验单位抽检，合格后方可使用。</w:t>
      </w:r>
    </w:p>
    <w:p>
      <w:pPr>
        <w:pStyle w:val="BodyText"/>
        <w:spacing w:before="3" w:line="388" w:lineRule="auto"/>
        <w:ind w:right="497"/>
      </w:pPr>
      <w:r>
        <w:rPr>
          <w:spacing w:val="-4"/>
        </w:rPr>
        <w:t>4</w:t>
      </w:r>
      <w:r>
        <w:rPr>
          <w:spacing w:val="-10"/>
        </w:rPr>
        <w:t xml:space="preserve">、工序报验承包单位提前 </w:t>
      </w:r>
      <w:r>
        <w:rPr>
          <w:spacing w:val="-4"/>
        </w:rPr>
        <w:t>24</w:t>
      </w:r>
      <w:r>
        <w:rPr>
          <w:spacing w:val="-13"/>
        </w:rPr>
        <w:t xml:space="preserve"> 小时报验，监理人员现场检查、签</w:t>
      </w:r>
      <w:r>
        <w:rPr>
          <w:spacing w:val="-2"/>
        </w:rPr>
        <w:t>证后方可进行下道工序施工。</w:t>
      </w:r>
    </w:p>
    <w:p>
      <w:pPr>
        <w:pStyle w:val="BodyText"/>
        <w:spacing w:before="2" w:line="388" w:lineRule="auto"/>
        <w:ind w:right="498"/>
      </w:pPr>
      <w:r>
        <w:rPr>
          <w:spacing w:val="-2"/>
        </w:rPr>
        <w:t>5、建设单位、承包单位提出的工程变更，经总监理工程师同意</w:t>
      </w:r>
      <w:r>
        <w:rPr>
          <w:spacing w:val="-2"/>
        </w:rPr>
        <w:t>报设计单位出具设计变更方可施工。</w:t>
      </w:r>
    </w:p>
    <w:p>
      <w:pPr>
        <w:pStyle w:val="BodyText"/>
        <w:spacing w:before="3"/>
      </w:pPr>
      <w:r>
        <w:rPr>
          <w:spacing w:val="-2"/>
        </w:rPr>
        <w:t>六、监理工作内容</w:t>
      </w:r>
    </w:p>
    <w:p>
      <w:pPr>
        <w:pStyle w:val="BodyText"/>
      </w:pPr>
      <w:r>
        <w:t>1</w:t>
      </w:r>
      <w:r>
        <w:rPr>
          <w:spacing w:val="-1"/>
        </w:rPr>
        <w:t>、监理范围内的工程投资控制</w:t>
      </w:r>
    </w:p>
    <w:p>
      <w:pPr>
        <w:pStyle w:val="BodyText"/>
        <w:spacing w:before="239"/>
      </w:pPr>
      <w:r>
        <w:t>2</w:t>
      </w:r>
      <w:r>
        <w:rPr>
          <w:spacing w:val="-1"/>
        </w:rPr>
        <w:t>、监理范围内的工程进度控制</w:t>
      </w:r>
    </w:p>
    <w:p>
      <w:pPr>
        <w:pStyle w:val="BodyText"/>
      </w:pPr>
      <w:r>
        <w:t>3</w:t>
      </w:r>
      <w:r>
        <w:rPr>
          <w:spacing w:val="-1"/>
        </w:rPr>
        <w:t>、监理范围内的工程质量控制</w:t>
      </w:r>
    </w:p>
    <w:p>
      <w:pPr>
        <w:pStyle w:val="BodyText"/>
        <w:spacing w:before="239"/>
      </w:pPr>
      <w:r>
        <w:t>4</w:t>
      </w:r>
      <w:r>
        <w:rPr>
          <w:spacing w:val="-1"/>
        </w:rPr>
        <w:t>、监理范围内的工程建设安全控制</w:t>
      </w:r>
    </w:p>
    <w:p>
      <w:pPr>
        <w:pStyle w:val="BodyText"/>
      </w:pPr>
      <w:r>
        <w:t>5</w:t>
      </w:r>
      <w:r>
        <w:rPr>
          <w:spacing w:val="-1"/>
        </w:rPr>
        <w:t>、监理范围内的合同管理</w:t>
      </w:r>
    </w:p>
    <w:p>
      <w:pPr>
        <w:pStyle w:val="BodyText"/>
      </w:pPr>
      <w:r>
        <w:t>6</w:t>
      </w:r>
      <w:r>
        <w:rPr>
          <w:spacing w:val="-1"/>
        </w:rPr>
        <w:t>、监理范围内的信息管理</w:t>
      </w:r>
    </w:p>
    <w:p>
      <w:pPr>
        <w:pStyle w:val="BodyText"/>
        <w:spacing w:before="239" w:line="388" w:lineRule="auto"/>
        <w:ind w:right="498"/>
      </w:pPr>
      <w:r>
        <w:rPr>
          <w:spacing w:val="-2"/>
        </w:rPr>
        <w:t>7、监理范围内为确保总目标的顺利实现与工程建设有关各方的</w:t>
      </w:r>
      <w:r>
        <w:rPr>
          <w:spacing w:val="-6"/>
        </w:rPr>
        <w:t>协调</w:t>
      </w:r>
    </w:p>
    <w:p>
      <w:pPr>
        <w:spacing w:after="0" w:line="388" w:lineRule="auto"/>
        <w:sectPr>
          <w:pgSz w:w="11910" w:h="16840"/>
          <w:pgMar w:top="1840" w:right="1300" w:bottom="280" w:left="1220" w:header="708" w:footer="708"/>
          <w:pgNumType w:start="16"/>
          <w:cols w:space="708"/>
        </w:sectPr>
      </w:pPr>
    </w:p>
    <w:p>
      <w:pPr>
        <w:pStyle w:val="BodyText"/>
        <w:spacing w:before="44"/>
      </w:pPr>
      <w:r>
        <w:t>8</w:t>
      </w:r>
      <w:r>
        <w:rPr>
          <w:spacing w:val="-1"/>
        </w:rPr>
        <w:t>、监理范围内为业主提供的服务</w:t>
      </w:r>
    </w:p>
    <w:p>
      <w:pPr>
        <w:pStyle w:val="BodyText"/>
        <w:spacing w:before="239"/>
      </w:pPr>
      <w:r>
        <w:rPr>
          <w:spacing w:val="-1"/>
        </w:rPr>
        <w:t>七、安全、环保、文明施工监理控制要点</w:t>
      </w:r>
    </w:p>
    <w:p>
      <w:pPr>
        <w:pStyle w:val="BodyText"/>
      </w:pPr>
      <w:r>
        <w:t>1</w:t>
      </w:r>
      <w:r>
        <w:rPr>
          <w:spacing w:val="-2"/>
        </w:rPr>
        <w:t>、安全生产保证体系</w:t>
      </w:r>
    </w:p>
    <w:p>
      <w:pPr>
        <w:pStyle w:val="ListParagraph"/>
        <w:numPr>
          <w:ilvl w:val="0"/>
          <w:numId w:val="19"/>
        </w:numPr>
        <w:tabs>
          <w:tab w:val="left" w:pos="1031"/>
        </w:tabs>
        <w:spacing w:before="240" w:after="0" w:line="240" w:lineRule="auto"/>
        <w:ind w:left="1031" w:right="0" w:hanging="451"/>
        <w:jc w:val="left"/>
        <w:rPr>
          <w:sz w:val="30"/>
        </w:rPr>
      </w:pPr>
      <w:r>
        <w:rPr>
          <w:spacing w:val="-1"/>
          <w:sz w:val="30"/>
        </w:rPr>
        <w:t>建立健全安全生产责任制。</w:t>
      </w:r>
    </w:p>
    <w:p>
      <w:pPr>
        <w:pStyle w:val="ListParagraph"/>
        <w:numPr>
          <w:ilvl w:val="0"/>
          <w:numId w:val="19"/>
        </w:numPr>
        <w:tabs>
          <w:tab w:val="left" w:pos="1031"/>
        </w:tabs>
        <w:spacing w:before="239" w:after="0" w:line="240" w:lineRule="auto"/>
        <w:ind w:left="1031" w:right="0" w:hanging="451"/>
        <w:jc w:val="left"/>
        <w:rPr>
          <w:sz w:val="30"/>
        </w:rPr>
      </w:pPr>
      <w:r>
        <w:rPr>
          <w:spacing w:val="-1"/>
          <w:sz w:val="30"/>
        </w:rPr>
        <w:t>建立符合项目工程特点的安全生产管理制度、操作规程。</w:t>
      </w:r>
    </w:p>
    <w:p>
      <w:pPr>
        <w:pStyle w:val="ListParagraph"/>
        <w:numPr>
          <w:ilvl w:val="0"/>
          <w:numId w:val="19"/>
        </w:numPr>
        <w:tabs>
          <w:tab w:val="left" w:pos="1033"/>
        </w:tabs>
        <w:spacing w:before="240" w:after="0" w:line="388" w:lineRule="auto"/>
        <w:ind w:left="580" w:right="498" w:firstLine="0"/>
        <w:jc w:val="left"/>
        <w:rPr>
          <w:sz w:val="30"/>
        </w:rPr>
      </w:pPr>
      <w:r>
        <w:rPr>
          <w:spacing w:val="-2"/>
          <w:sz w:val="30"/>
        </w:rPr>
        <w:t>有健全的项目安全管理组织机构，配备符合需要的专职安全</w:t>
      </w:r>
      <w:r>
        <w:rPr>
          <w:spacing w:val="-2"/>
          <w:sz w:val="30"/>
        </w:rPr>
        <w:t>管理人员。</w:t>
      </w:r>
    </w:p>
    <w:p>
      <w:pPr>
        <w:pStyle w:val="BodyText"/>
        <w:spacing w:before="3"/>
      </w:pPr>
      <w:r>
        <w:rPr>
          <w:spacing w:val="-4"/>
        </w:rPr>
        <w:t>2</w:t>
      </w:r>
      <w:r>
        <w:rPr>
          <w:spacing w:val="-5"/>
        </w:rPr>
        <w:t>、查验项目负责人、专职安全员、特种作业人员持证上岗情况。</w:t>
      </w:r>
    </w:p>
    <w:p>
      <w:pPr>
        <w:pStyle w:val="BodyText"/>
        <w:spacing w:before="239"/>
      </w:pPr>
      <w:r>
        <w:t>3</w:t>
      </w:r>
      <w:r>
        <w:rPr>
          <w:spacing w:val="-1"/>
        </w:rPr>
        <w:t>、安全技术管理主要工作内容</w:t>
      </w:r>
    </w:p>
    <w:p>
      <w:pPr>
        <w:pStyle w:val="ListParagraph"/>
        <w:numPr>
          <w:ilvl w:val="0"/>
          <w:numId w:val="18"/>
        </w:numPr>
        <w:tabs>
          <w:tab w:val="left" w:pos="1033"/>
        </w:tabs>
        <w:spacing w:before="240" w:after="0" w:line="388" w:lineRule="auto"/>
        <w:ind w:left="580" w:right="497" w:firstLine="0"/>
        <w:jc w:val="both"/>
        <w:rPr>
          <w:sz w:val="30"/>
        </w:rPr>
      </w:pPr>
      <w:r>
        <w:rPr>
          <w:spacing w:val="-2"/>
          <w:sz w:val="30"/>
        </w:rPr>
        <w:t>施工组织设计中有单独的安全保障措施。按规范架设架空线</w:t>
      </w:r>
      <w:r>
        <w:rPr>
          <w:spacing w:val="-4"/>
          <w:sz w:val="30"/>
        </w:rPr>
        <w:t>路，所有电气设备均应接地，电器设备接地可与基础下钢筋连接</w:t>
      </w:r>
      <w:r>
        <w:rPr>
          <w:spacing w:val="-2"/>
          <w:sz w:val="30"/>
        </w:rPr>
        <w:t>或采用其它符合要求的接地，形成完整的安全接地网络。</w:t>
      </w:r>
    </w:p>
    <w:p>
      <w:pPr>
        <w:pStyle w:val="ListParagraph"/>
        <w:numPr>
          <w:ilvl w:val="0"/>
          <w:numId w:val="18"/>
        </w:numPr>
        <w:tabs>
          <w:tab w:val="left" w:pos="1033"/>
        </w:tabs>
        <w:spacing w:before="4" w:after="0" w:line="388" w:lineRule="auto"/>
        <w:ind w:left="580" w:right="255" w:firstLine="0"/>
        <w:jc w:val="left"/>
        <w:rPr>
          <w:sz w:val="30"/>
        </w:rPr>
      </w:pPr>
      <w:r>
        <w:rPr>
          <w:spacing w:val="1"/>
          <w:sz w:val="30"/>
        </w:rPr>
        <w:t>生产安全事故应急求援预案的制订，针对重点部位和重点环</w:t>
      </w:r>
      <w:r>
        <w:rPr>
          <w:spacing w:val="-4"/>
          <w:sz w:val="30"/>
        </w:rPr>
        <w:t>节制订的工程项目危险源监控措施和应急预案。对施工现场重大</w:t>
      </w:r>
      <w:r>
        <w:rPr>
          <w:spacing w:val="-15"/>
          <w:sz w:val="30"/>
        </w:rPr>
        <w:t>危险源进行分析，并根据工程进展情况进行有效监控和安全保障。</w:t>
      </w:r>
      <w:r>
        <w:rPr>
          <w:sz w:val="30"/>
        </w:rPr>
        <w:t xml:space="preserve"> 3</w:t>
      </w:r>
      <w:r>
        <w:rPr>
          <w:spacing w:val="2"/>
          <w:sz w:val="30"/>
        </w:rPr>
        <w:t>）</w:t>
      </w:r>
      <w:r>
        <w:rPr>
          <w:spacing w:val="1"/>
          <w:sz w:val="30"/>
        </w:rPr>
        <w:t>认真进行层层安全技术交底，履行签字手续，并保存书面记录。</w:t>
      </w:r>
    </w:p>
    <w:p>
      <w:pPr>
        <w:pStyle w:val="BodyText"/>
        <w:spacing w:before="6"/>
      </w:pPr>
      <w:r>
        <w:t>4）</w:t>
      </w:r>
      <w:r>
        <w:rPr>
          <w:spacing w:val="-1"/>
        </w:rPr>
        <w:t>编制安全技术措施费用的使用计划。</w:t>
      </w:r>
    </w:p>
    <w:p>
      <w:pPr>
        <w:pStyle w:val="BodyText"/>
      </w:pPr>
      <w:r>
        <w:t>4</w:t>
      </w:r>
      <w:r>
        <w:rPr>
          <w:spacing w:val="-1"/>
        </w:rPr>
        <w:t>、新进场、复工工人进行专业技能安全培训</w:t>
      </w:r>
    </w:p>
    <w:p>
      <w:pPr>
        <w:pStyle w:val="BodyText"/>
      </w:pPr>
      <w:r>
        <w:t>5</w:t>
      </w:r>
      <w:r>
        <w:rPr>
          <w:spacing w:val="-1"/>
        </w:rPr>
        <w:t>、机具应满足下列要求</w:t>
      </w:r>
    </w:p>
    <w:p>
      <w:pPr>
        <w:pStyle w:val="ListParagraph"/>
        <w:numPr>
          <w:ilvl w:val="0"/>
          <w:numId w:val="17"/>
        </w:numPr>
        <w:tabs>
          <w:tab w:val="left" w:pos="1033"/>
        </w:tabs>
        <w:spacing w:before="239" w:after="0" w:line="388" w:lineRule="auto"/>
        <w:ind w:left="580" w:right="405" w:firstLine="0"/>
        <w:jc w:val="left"/>
        <w:rPr>
          <w:sz w:val="30"/>
        </w:rPr>
      </w:pPr>
      <w:r>
        <w:rPr>
          <w:spacing w:val="-2"/>
          <w:sz w:val="30"/>
        </w:rPr>
        <w:t>场内机械均应有检测合格记录、标示。起重机械必须经法定</w:t>
      </w:r>
      <w:r>
        <w:rPr>
          <w:spacing w:val="-2"/>
          <w:sz w:val="30"/>
        </w:rPr>
        <w:t>检测机构检验后方可使用，并将检验合格证明放置于明显位置。</w:t>
      </w:r>
    </w:p>
    <w:p>
      <w:pPr>
        <w:spacing w:after="0" w:line="388" w:lineRule="auto"/>
        <w:jc w:val="left"/>
        <w:rPr>
          <w:sz w:val="30"/>
        </w:rPr>
      </w:pPr>
      <w:r>
        <w:rPr>
          <w:sz w:val="30"/>
        </w:rPr>
        <w:br/>
      </w:r>
      <w:r>
        <w:rPr>
          <w:sz w:val="3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https://d.book118.com/996005102223010054</w:t>
        </w:r>
      </w:hyperlink>
    </w:p>
    <w:p>
      <w:pPr>
        <w:spacing w:after="0" w:line="388" w:lineRule="auto"/>
        <w:jc w:val="left"/>
        <w:rPr>
          <w:sz w:val="30"/>
        </w:rPr>
      </w:pPr>
    </w:p>
    <w:sectPr>
      <w:pgSz w:w="11910" w:h="16840"/>
      <w:pgMar w:top="1500" w:right="1300" w:bottom="280" w:left="1220" w:header="708" w:footer="708"/>
      <w:pgNumType w:start="1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Malgun Gothic">
    <w:altName w:val="Malgun Gothic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22EF69D"/>
    <w:multiLevelType w:val="hybridMultilevel"/>
    <w:tmpl w:val="00000000"/>
    <w:lvl w:ilvl="0">
      <w:start w:val="1"/>
      <w:numFmt w:val="decimal"/>
      <w:lvlText w:val="（%1）"/>
      <w:lvlJc w:val="left"/>
      <w:pPr>
        <w:ind w:left="1331" w:hanging="751"/>
        <w:jc w:val="left"/>
      </w:pPr>
      <w:rPr>
        <w:rFonts w:ascii="新宋体" w:eastAsia="新宋体" w:hAnsi="新宋体" w:cs="新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44" w:hanging="7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49" w:hanging="7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53" w:hanging="7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58" w:hanging="7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63" w:hanging="7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7" w:hanging="7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72" w:hanging="7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76" w:hanging="751"/>
      </w:pPr>
      <w:rPr>
        <w:rFonts w:hint="default"/>
        <w:lang w:val="en-US" w:eastAsia="zh-CN" w:bidi="ar-SA"/>
      </w:rPr>
    </w:lvl>
  </w:abstractNum>
  <w:abstractNum w:abstractNumId="1">
    <w:nsid w:val="13CEEF14"/>
    <w:multiLevelType w:val="hybridMultilevel"/>
    <w:tmpl w:val="00000000"/>
    <w:lvl w:ilvl="0">
      <w:start w:val="3"/>
      <w:numFmt w:val="decimal"/>
      <w:lvlText w:val="%1）"/>
      <w:lvlJc w:val="left"/>
      <w:pPr>
        <w:ind w:left="1032" w:hanging="453"/>
        <w:jc w:val="left"/>
      </w:pPr>
      <w:rPr>
        <w:rFonts w:ascii="新宋体" w:eastAsia="新宋体" w:hAnsi="新宋体" w:cs="新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74" w:hanging="4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09" w:hanging="4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43" w:hanging="4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8" w:hanging="4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13" w:hanging="4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47" w:hanging="4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82" w:hanging="4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16" w:hanging="453"/>
      </w:pPr>
      <w:rPr>
        <w:rFonts w:hint="default"/>
        <w:lang w:val="en-US" w:eastAsia="zh-CN" w:bidi="ar-SA"/>
      </w:rPr>
    </w:lvl>
  </w:abstractNum>
  <w:abstractNum w:abstractNumId="2">
    <w:nsid w:val="16F1C160"/>
    <w:multiLevelType w:val="hybridMultilevel"/>
    <w:tmpl w:val="00000000"/>
    <w:lvl w:ilvl="0">
      <w:start w:val="1"/>
      <w:numFmt w:val="decimal"/>
      <w:lvlText w:val="%1）"/>
      <w:lvlJc w:val="left"/>
      <w:pPr>
        <w:ind w:left="580" w:hanging="453"/>
        <w:jc w:val="left"/>
      </w:pPr>
      <w:rPr>
        <w:rFonts w:ascii="新宋体" w:eastAsia="新宋体" w:hAnsi="新宋体" w:cs="新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60" w:hanging="4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1" w:hanging="4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21" w:hanging="4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4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83" w:hanging="4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4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44" w:hanging="4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24" w:hanging="453"/>
      </w:pPr>
      <w:rPr>
        <w:rFonts w:hint="default"/>
        <w:lang w:val="en-US" w:eastAsia="zh-CN" w:bidi="ar-SA"/>
      </w:rPr>
    </w:lvl>
  </w:abstractNum>
  <w:abstractNum w:abstractNumId="3">
    <w:nsid w:val="175B9CBE"/>
    <w:multiLevelType w:val="hybridMultilevel"/>
    <w:tmpl w:val="00000000"/>
    <w:lvl w:ilvl="0">
      <w:start w:val="5"/>
      <w:numFmt w:val="decimal"/>
      <w:lvlText w:val="%1）"/>
      <w:lvlJc w:val="left"/>
      <w:pPr>
        <w:ind w:left="580" w:hanging="453"/>
        <w:jc w:val="left"/>
      </w:pPr>
      <w:rPr>
        <w:rFonts w:ascii="新宋体" w:eastAsia="新宋体" w:hAnsi="新宋体" w:cs="新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60" w:hanging="4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1" w:hanging="4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21" w:hanging="4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4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83" w:hanging="4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4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44" w:hanging="4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24" w:hanging="453"/>
      </w:pPr>
      <w:rPr>
        <w:rFonts w:hint="default"/>
        <w:lang w:val="en-US" w:eastAsia="zh-CN" w:bidi="ar-SA"/>
      </w:rPr>
    </w:lvl>
  </w:abstractNum>
  <w:abstractNum w:abstractNumId="4">
    <w:nsid w:val="1AC9DD10"/>
    <w:multiLevelType w:val="hybridMultilevel"/>
    <w:tmpl w:val="00000000"/>
    <w:lvl w:ilvl="0">
      <w:start w:val="1"/>
      <w:numFmt w:val="decimal"/>
      <w:lvlText w:val="%1）"/>
      <w:lvlJc w:val="left"/>
      <w:pPr>
        <w:ind w:left="1031" w:hanging="451"/>
        <w:jc w:val="left"/>
      </w:pPr>
      <w:rPr>
        <w:rFonts w:ascii="新宋体" w:eastAsia="新宋体" w:hAnsi="新宋体" w:cs="新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74" w:hanging="4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09" w:hanging="4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43" w:hanging="4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8" w:hanging="4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13" w:hanging="4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47" w:hanging="4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82" w:hanging="4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16" w:hanging="451"/>
      </w:pPr>
      <w:rPr>
        <w:rFonts w:hint="default"/>
        <w:lang w:val="en-US" w:eastAsia="zh-CN" w:bidi="ar-SA"/>
      </w:rPr>
    </w:lvl>
  </w:abstractNum>
  <w:abstractNum w:abstractNumId="5">
    <w:nsid w:val="271BD32A"/>
    <w:multiLevelType w:val="hybridMultilevel"/>
    <w:tmpl w:val="00000000"/>
    <w:lvl w:ilvl="0">
      <w:start w:val="1"/>
      <w:numFmt w:val="decimal"/>
      <w:lvlText w:val="%1）"/>
      <w:lvlJc w:val="left"/>
      <w:pPr>
        <w:ind w:left="580" w:hanging="453"/>
        <w:jc w:val="left"/>
      </w:pPr>
      <w:rPr>
        <w:rFonts w:ascii="新宋体" w:eastAsia="新宋体" w:hAnsi="新宋体" w:cs="新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60" w:hanging="4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1" w:hanging="4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21" w:hanging="4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4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83" w:hanging="4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4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44" w:hanging="4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24" w:hanging="453"/>
      </w:pPr>
      <w:rPr>
        <w:rFonts w:hint="default"/>
        <w:lang w:val="en-US" w:eastAsia="zh-CN" w:bidi="ar-SA"/>
      </w:rPr>
    </w:lvl>
  </w:abstractNum>
  <w:abstractNum w:abstractNumId="6">
    <w:nsid w:val="285FE123"/>
    <w:multiLevelType w:val="hybridMultilevel"/>
    <w:tmpl w:val="00000000"/>
    <w:lvl w:ilvl="0">
      <w:start w:val="1"/>
      <w:numFmt w:val="decimal"/>
      <w:lvlText w:val="%1）"/>
      <w:lvlJc w:val="left"/>
      <w:pPr>
        <w:ind w:left="580" w:hanging="453"/>
        <w:jc w:val="left"/>
      </w:pPr>
      <w:rPr>
        <w:rFonts w:ascii="新宋体" w:eastAsia="新宋体" w:hAnsi="新宋体" w:cs="新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60" w:hanging="4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1" w:hanging="4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21" w:hanging="4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4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83" w:hanging="4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4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44" w:hanging="4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24" w:hanging="453"/>
      </w:pPr>
      <w:rPr>
        <w:rFonts w:hint="default"/>
        <w:lang w:val="en-US" w:eastAsia="zh-CN" w:bidi="ar-SA"/>
      </w:rPr>
    </w:lvl>
  </w:abstractNum>
  <w:abstractNum w:abstractNumId="7">
    <w:nsid w:val="318F453D"/>
    <w:multiLevelType w:val="hybridMultilevel"/>
    <w:tmpl w:val="00000000"/>
    <w:lvl w:ilvl="0">
      <w:start w:val="1"/>
      <w:numFmt w:val="decimal"/>
      <w:lvlText w:val="%1）"/>
      <w:lvlJc w:val="left"/>
      <w:pPr>
        <w:ind w:left="580" w:hanging="453"/>
        <w:jc w:val="left"/>
      </w:pPr>
      <w:rPr>
        <w:rFonts w:ascii="新宋体" w:eastAsia="新宋体" w:hAnsi="新宋体" w:cs="新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60" w:hanging="4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1" w:hanging="4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21" w:hanging="4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4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83" w:hanging="4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4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44" w:hanging="4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24" w:hanging="453"/>
      </w:pPr>
      <w:rPr>
        <w:rFonts w:hint="default"/>
        <w:lang w:val="en-US" w:eastAsia="zh-CN" w:bidi="ar-SA"/>
      </w:rPr>
    </w:lvl>
  </w:abstractNum>
  <w:abstractNum w:abstractNumId="8">
    <w:nsid w:val="34C0C556"/>
    <w:multiLevelType w:val="hybridMultilevel"/>
    <w:tmpl w:val="00000000"/>
    <w:lvl w:ilvl="0">
      <w:start w:val="1"/>
      <w:numFmt w:val="decimal"/>
      <w:lvlText w:val="%1）"/>
      <w:lvlJc w:val="left"/>
      <w:pPr>
        <w:ind w:left="580" w:hanging="453"/>
        <w:jc w:val="left"/>
      </w:pPr>
      <w:rPr>
        <w:rFonts w:ascii="新宋体" w:eastAsia="新宋体" w:hAnsi="新宋体" w:cs="新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60" w:hanging="4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1" w:hanging="4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21" w:hanging="4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4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83" w:hanging="4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4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44" w:hanging="4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24" w:hanging="453"/>
      </w:pPr>
      <w:rPr>
        <w:rFonts w:hint="default"/>
        <w:lang w:val="en-US" w:eastAsia="zh-CN" w:bidi="ar-SA"/>
      </w:rPr>
    </w:lvl>
  </w:abstractNum>
  <w:abstractNum w:abstractNumId="9">
    <w:nsid w:val="3A6443B1"/>
    <w:multiLevelType w:val="hybridMultilevel"/>
    <w:tmpl w:val="00000000"/>
    <w:lvl w:ilvl="0">
      <w:start w:val="1"/>
      <w:numFmt w:val="decimal"/>
      <w:lvlText w:val="（%1）"/>
      <w:lvlJc w:val="left"/>
      <w:pPr>
        <w:ind w:left="181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36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76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33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89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6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0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59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16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72" w:hanging="701"/>
      </w:pPr>
      <w:rPr>
        <w:rFonts w:hint="default"/>
        <w:lang w:val="en-US" w:eastAsia="zh-CN" w:bidi="ar-SA"/>
      </w:rPr>
    </w:lvl>
  </w:abstractNum>
  <w:abstractNum w:abstractNumId="10">
    <w:nsid w:val="3B41E880"/>
    <w:multiLevelType w:val="hybridMultilevel"/>
    <w:tmpl w:val="00000000"/>
    <w:lvl w:ilvl="0">
      <w:start w:val="1"/>
      <w:numFmt w:val="decimal"/>
      <w:lvlText w:val="（%1）"/>
      <w:lvlJc w:val="left"/>
      <w:pPr>
        <w:ind w:left="58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7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60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1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21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44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24" w:hanging="701"/>
      </w:pPr>
      <w:rPr>
        <w:rFonts w:hint="default"/>
        <w:lang w:val="en-US" w:eastAsia="zh-CN" w:bidi="ar-SA"/>
      </w:rPr>
    </w:lvl>
  </w:abstractNum>
  <w:abstractNum w:abstractNumId="11">
    <w:nsid w:val="3B5DB243"/>
    <w:multiLevelType w:val="hybridMultilevel"/>
    <w:tmpl w:val="00000000"/>
    <w:lvl w:ilvl="0">
      <w:start w:val="1"/>
      <w:numFmt w:val="decimal"/>
      <w:lvlText w:val="（%1）"/>
      <w:lvlJc w:val="left"/>
      <w:pPr>
        <w:ind w:left="580" w:hanging="70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60" w:hanging="70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1" w:hanging="70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21" w:hanging="70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70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83" w:hanging="70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70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44" w:hanging="70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24" w:hanging="706"/>
      </w:pPr>
      <w:rPr>
        <w:rFonts w:hint="default"/>
        <w:lang w:val="en-US" w:eastAsia="zh-CN" w:bidi="ar-SA"/>
      </w:rPr>
    </w:lvl>
  </w:abstractNum>
  <w:abstractNum w:abstractNumId="12">
    <w:nsid w:val="44C15231"/>
    <w:multiLevelType w:val="hybridMultilevel"/>
    <w:tmpl w:val="00000000"/>
    <w:lvl w:ilvl="0">
      <w:start w:val="1"/>
      <w:numFmt w:val="decimal"/>
      <w:lvlText w:val="（%1）"/>
      <w:lvlJc w:val="left"/>
      <w:pPr>
        <w:ind w:left="181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76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33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89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6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0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59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16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72" w:hanging="701"/>
      </w:pPr>
      <w:rPr>
        <w:rFonts w:hint="default"/>
        <w:lang w:val="en-US" w:eastAsia="zh-CN" w:bidi="ar-SA"/>
      </w:rPr>
    </w:lvl>
  </w:abstractNum>
  <w:abstractNum w:abstractNumId="13">
    <w:nsid w:val="49F80E82"/>
    <w:multiLevelType w:val="hybridMultilevel"/>
    <w:tmpl w:val="00000000"/>
    <w:lvl w:ilvl="0">
      <w:start w:val="1"/>
      <w:numFmt w:val="decimal"/>
      <w:lvlText w:val="%1）"/>
      <w:lvlJc w:val="left"/>
      <w:pPr>
        <w:ind w:left="580" w:hanging="453"/>
        <w:jc w:val="left"/>
      </w:pPr>
      <w:rPr>
        <w:rFonts w:ascii="新宋体" w:eastAsia="新宋体" w:hAnsi="新宋体" w:cs="新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60" w:hanging="4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1" w:hanging="4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21" w:hanging="4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4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83" w:hanging="4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4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44" w:hanging="4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24" w:hanging="453"/>
      </w:pPr>
      <w:rPr>
        <w:rFonts w:hint="default"/>
        <w:lang w:val="en-US" w:eastAsia="zh-CN" w:bidi="ar-SA"/>
      </w:rPr>
    </w:lvl>
  </w:abstractNum>
  <w:abstractNum w:abstractNumId="14">
    <w:nsid w:val="50C873F3"/>
    <w:multiLevelType w:val="hybridMultilevel"/>
    <w:tmpl w:val="00000000"/>
    <w:lvl w:ilvl="0">
      <w:start w:val="1"/>
      <w:numFmt w:val="decimal"/>
      <w:lvlText w:val="%1）"/>
      <w:lvlJc w:val="left"/>
      <w:pPr>
        <w:ind w:left="580" w:hanging="451"/>
        <w:jc w:val="left"/>
      </w:pPr>
      <w:rPr>
        <w:rFonts w:ascii="新宋体" w:eastAsia="新宋体" w:hAnsi="新宋体" w:cs="新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60" w:hanging="4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1" w:hanging="4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21" w:hanging="4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4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83" w:hanging="4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4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44" w:hanging="4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24" w:hanging="451"/>
      </w:pPr>
      <w:rPr>
        <w:rFonts w:hint="default"/>
        <w:lang w:val="en-US" w:eastAsia="zh-CN" w:bidi="ar-SA"/>
      </w:rPr>
    </w:lvl>
  </w:abstractNum>
  <w:abstractNum w:abstractNumId="15">
    <w:nsid w:val="52C1138A"/>
    <w:multiLevelType w:val="hybridMultilevel"/>
    <w:tmpl w:val="00000000"/>
    <w:lvl w:ilvl="0">
      <w:start w:val="1"/>
      <w:numFmt w:val="decimal"/>
      <w:lvlText w:val="（%1）"/>
      <w:lvlJc w:val="left"/>
      <w:pPr>
        <w:ind w:left="580" w:hanging="70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60" w:hanging="70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1" w:hanging="70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21" w:hanging="70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70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83" w:hanging="70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70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44" w:hanging="70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24" w:hanging="706"/>
      </w:pPr>
      <w:rPr>
        <w:rFonts w:hint="default"/>
        <w:lang w:val="en-US" w:eastAsia="zh-CN" w:bidi="ar-SA"/>
      </w:rPr>
    </w:lvl>
  </w:abstractNum>
  <w:abstractNum w:abstractNumId="16">
    <w:nsid w:val="569FD6D2"/>
    <w:multiLevelType w:val="hybridMultilevel"/>
    <w:tmpl w:val="00000000"/>
    <w:lvl w:ilvl="0">
      <w:start w:val="1"/>
      <w:numFmt w:val="decimal"/>
      <w:lvlText w:val="（%1）"/>
      <w:lvlJc w:val="left"/>
      <w:pPr>
        <w:ind w:left="580" w:hanging="70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60" w:hanging="70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1" w:hanging="70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21" w:hanging="70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70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83" w:hanging="70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70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44" w:hanging="70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24" w:hanging="706"/>
      </w:pPr>
      <w:rPr>
        <w:rFonts w:hint="default"/>
        <w:lang w:val="en-US" w:eastAsia="zh-CN" w:bidi="ar-SA"/>
      </w:rPr>
    </w:lvl>
  </w:abstractNum>
  <w:abstractNum w:abstractNumId="17">
    <w:nsid w:val="56C00FFE"/>
    <w:multiLevelType w:val="hybridMultilevel"/>
    <w:tmpl w:val="00000000"/>
    <w:lvl w:ilvl="0">
      <w:start w:val="1"/>
      <w:numFmt w:val="decimal"/>
      <w:lvlText w:val="%1）"/>
      <w:lvlJc w:val="left"/>
      <w:pPr>
        <w:ind w:left="1031" w:hanging="451"/>
        <w:jc w:val="left"/>
      </w:pPr>
      <w:rPr>
        <w:rFonts w:ascii="新宋体" w:eastAsia="新宋体" w:hAnsi="新宋体" w:cs="新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74" w:hanging="4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09" w:hanging="4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43" w:hanging="4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8" w:hanging="4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13" w:hanging="4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47" w:hanging="4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82" w:hanging="4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16" w:hanging="451"/>
      </w:pPr>
      <w:rPr>
        <w:rFonts w:hint="default"/>
        <w:lang w:val="en-US" w:eastAsia="zh-CN" w:bidi="ar-SA"/>
      </w:rPr>
    </w:lvl>
  </w:abstractNum>
  <w:abstractNum w:abstractNumId="18">
    <w:nsid w:val="56DE4098"/>
    <w:multiLevelType w:val="hybridMultilevel"/>
    <w:tmpl w:val="00000000"/>
    <w:lvl w:ilvl="0">
      <w:start w:val="1"/>
      <w:numFmt w:val="decimal"/>
      <w:lvlText w:val="%1）"/>
      <w:lvlJc w:val="left"/>
      <w:pPr>
        <w:ind w:left="580" w:hanging="600"/>
        <w:jc w:val="left"/>
      </w:pPr>
      <w:rPr>
        <w:rFonts w:ascii="新宋体" w:eastAsia="新宋体" w:hAnsi="新宋体" w:cs="新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60" w:hanging="60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1" w:hanging="60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21" w:hanging="60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6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83" w:hanging="6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6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44" w:hanging="6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24" w:hanging="600"/>
      </w:pPr>
      <w:rPr>
        <w:rFonts w:hint="default"/>
        <w:lang w:val="en-US" w:eastAsia="zh-CN" w:bidi="ar-SA"/>
      </w:rPr>
    </w:lvl>
  </w:abstractNum>
  <w:abstractNum w:abstractNumId="19">
    <w:nsid w:val="57859500"/>
    <w:multiLevelType w:val="hybridMultilevel"/>
    <w:tmpl w:val="00000000"/>
    <w:lvl w:ilvl="0">
      <w:start w:val="1"/>
      <w:numFmt w:val="decimal"/>
      <w:lvlText w:val="%1）"/>
      <w:lvlJc w:val="left"/>
      <w:pPr>
        <w:ind w:left="580" w:hanging="453"/>
        <w:jc w:val="left"/>
      </w:pPr>
      <w:rPr>
        <w:rFonts w:ascii="新宋体" w:eastAsia="新宋体" w:hAnsi="新宋体" w:cs="新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60" w:hanging="4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1" w:hanging="4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21" w:hanging="4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4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83" w:hanging="4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4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44" w:hanging="4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24" w:hanging="453"/>
      </w:pPr>
      <w:rPr>
        <w:rFonts w:hint="default"/>
        <w:lang w:val="en-US" w:eastAsia="zh-CN" w:bidi="ar-SA"/>
      </w:rPr>
    </w:lvl>
  </w:abstractNum>
  <w:abstractNum w:abstractNumId="20">
    <w:nsid w:val="57ACF18B"/>
    <w:multiLevelType w:val="hybridMultilevel"/>
    <w:tmpl w:val="00000000"/>
    <w:lvl w:ilvl="0">
      <w:start w:val="1"/>
      <w:numFmt w:val="decimal"/>
      <w:lvlText w:val="（%1）"/>
      <w:lvlJc w:val="left"/>
      <w:pPr>
        <w:ind w:left="181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76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33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89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6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0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59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16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72" w:hanging="701"/>
      </w:pPr>
      <w:rPr>
        <w:rFonts w:hint="default"/>
        <w:lang w:val="en-US" w:eastAsia="zh-CN" w:bidi="ar-SA"/>
      </w:rPr>
    </w:lvl>
  </w:abstractNum>
  <w:abstractNum w:abstractNumId="21">
    <w:nsid w:val="635CD652"/>
    <w:multiLevelType w:val="hybridMultilevel"/>
    <w:tmpl w:val="00000000"/>
    <w:lvl w:ilvl="0">
      <w:start w:val="1"/>
      <w:numFmt w:val="decimal"/>
      <w:lvlText w:val="（%1）"/>
      <w:lvlJc w:val="left"/>
      <w:pPr>
        <w:ind w:left="580" w:hanging="70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60" w:hanging="70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1" w:hanging="70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21" w:hanging="70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70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83" w:hanging="70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70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44" w:hanging="70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24" w:hanging="706"/>
      </w:pPr>
      <w:rPr>
        <w:rFonts w:hint="default"/>
        <w:lang w:val="en-US" w:eastAsia="zh-CN" w:bidi="ar-SA"/>
      </w:rPr>
    </w:lvl>
  </w:abstractNum>
  <w:abstractNum w:abstractNumId="22">
    <w:nsid w:val="67D3348D"/>
    <w:multiLevelType w:val="hybridMultilevel"/>
    <w:tmpl w:val="00000000"/>
    <w:lvl w:ilvl="0">
      <w:start w:val="1"/>
      <w:numFmt w:val="decimal"/>
      <w:lvlText w:val="（%1）"/>
      <w:lvlJc w:val="left"/>
      <w:pPr>
        <w:ind w:left="580" w:hanging="70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60" w:hanging="70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1" w:hanging="70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21" w:hanging="70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70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83" w:hanging="70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70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44" w:hanging="70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24" w:hanging="706"/>
      </w:pPr>
      <w:rPr>
        <w:rFonts w:hint="default"/>
        <w:lang w:val="en-US" w:eastAsia="zh-CN" w:bidi="ar-SA"/>
      </w:rPr>
    </w:lvl>
  </w:abstractNum>
  <w:abstractNum w:abstractNumId="23">
    <w:nsid w:val="69B5B2F6"/>
    <w:multiLevelType w:val="hybridMultilevel"/>
    <w:tmpl w:val="00000000"/>
    <w:lvl w:ilvl="0">
      <w:start w:val="1"/>
      <w:numFmt w:val="decimal"/>
      <w:lvlText w:val="%1）"/>
      <w:lvlJc w:val="left"/>
      <w:pPr>
        <w:ind w:left="580" w:hanging="453"/>
        <w:jc w:val="left"/>
      </w:pPr>
      <w:rPr>
        <w:rFonts w:ascii="新宋体" w:eastAsia="新宋体" w:hAnsi="新宋体" w:cs="新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60" w:hanging="4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1" w:hanging="4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21" w:hanging="4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4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83" w:hanging="4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4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44" w:hanging="4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24" w:hanging="453"/>
      </w:pPr>
      <w:rPr>
        <w:rFonts w:hint="default"/>
        <w:lang w:val="en-US" w:eastAsia="zh-CN" w:bidi="ar-SA"/>
      </w:rPr>
    </w:lvl>
  </w:abstractNum>
  <w:abstractNum w:abstractNumId="24">
    <w:nsid w:val="6CA208F5"/>
    <w:multiLevelType w:val="hybridMultilevel"/>
    <w:tmpl w:val="00000000"/>
    <w:lvl w:ilvl="0">
      <w:start w:val="1"/>
      <w:numFmt w:val="decimal"/>
      <w:lvlText w:val="（%1）"/>
      <w:lvlJc w:val="left"/>
      <w:pPr>
        <w:ind w:left="580" w:hanging="70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60" w:hanging="70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1" w:hanging="70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21" w:hanging="70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70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83" w:hanging="70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70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44" w:hanging="70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24" w:hanging="706"/>
      </w:pPr>
      <w:rPr>
        <w:rFonts w:hint="default"/>
        <w:lang w:val="en-US" w:eastAsia="zh-CN" w:bidi="ar-SA"/>
      </w:rPr>
    </w:lvl>
  </w:abstractNum>
  <w:abstractNum w:abstractNumId="25">
    <w:nsid w:val="6E70F47D"/>
    <w:multiLevelType w:val="hybridMultilevel"/>
    <w:tmpl w:val="00000000"/>
    <w:lvl w:ilvl="0">
      <w:start w:val="1"/>
      <w:numFmt w:val="decimal"/>
      <w:lvlText w:val="（%1）"/>
      <w:lvlJc w:val="left"/>
      <w:pPr>
        <w:ind w:left="1331" w:hanging="751"/>
        <w:jc w:val="left"/>
      </w:pPr>
      <w:rPr>
        <w:rFonts w:ascii="新宋体" w:eastAsia="新宋体" w:hAnsi="新宋体" w:cs="新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44" w:hanging="7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49" w:hanging="7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53" w:hanging="7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58" w:hanging="7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63" w:hanging="7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7" w:hanging="7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72" w:hanging="7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76" w:hanging="751"/>
      </w:pPr>
      <w:rPr>
        <w:rFonts w:hint="default"/>
        <w:lang w:val="en-US" w:eastAsia="zh-CN" w:bidi="ar-SA"/>
      </w:rPr>
    </w:lvl>
  </w:abstractNum>
  <w:abstractNum w:abstractNumId="26">
    <w:nsid w:val="6EFAE031"/>
    <w:multiLevelType w:val="hybridMultilevel"/>
    <w:tmpl w:val="00000000"/>
    <w:lvl w:ilvl="0">
      <w:start w:val="1"/>
      <w:numFmt w:val="decimal"/>
      <w:lvlText w:val="（%1）"/>
      <w:lvlJc w:val="left"/>
      <w:pPr>
        <w:ind w:left="181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76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33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89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6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0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59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16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72" w:hanging="701"/>
      </w:pPr>
      <w:rPr>
        <w:rFonts w:hint="default"/>
        <w:lang w:val="en-US" w:eastAsia="zh-CN" w:bidi="ar-SA"/>
      </w:rPr>
    </w:lvl>
  </w:abstractNum>
  <w:abstractNum w:abstractNumId="27">
    <w:nsid w:val="71B628ED"/>
    <w:multiLevelType w:val="hybridMultilevel"/>
    <w:tmpl w:val="00000000"/>
    <w:lvl w:ilvl="0">
      <w:start w:val="1"/>
      <w:numFmt w:val="decimal"/>
      <w:lvlText w:val="%1）"/>
      <w:lvlJc w:val="left"/>
      <w:pPr>
        <w:ind w:left="1031" w:hanging="451"/>
        <w:jc w:val="left"/>
      </w:pPr>
      <w:rPr>
        <w:rFonts w:ascii="新宋体" w:eastAsia="新宋体" w:hAnsi="新宋体" w:cs="新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（%2）"/>
      <w:lvlJc w:val="left"/>
      <w:pPr>
        <w:ind w:left="580" w:hanging="70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67" w:hanging="70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94" w:hanging="70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22" w:hanging="70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9" w:hanging="70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76" w:hanging="70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04" w:hanging="70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31" w:hanging="706"/>
      </w:pPr>
      <w:rPr>
        <w:rFonts w:hint="default"/>
        <w:lang w:val="en-US" w:eastAsia="zh-CN" w:bidi="ar-SA"/>
      </w:rPr>
    </w:lvl>
  </w:abstractNum>
  <w:abstractNum w:abstractNumId="28">
    <w:nsid w:val="741D161B"/>
    <w:multiLevelType w:val="hybridMultilevel"/>
    <w:tmpl w:val="00000000"/>
    <w:lvl w:ilvl="0">
      <w:start w:val="1"/>
      <w:numFmt w:val="decimal"/>
      <w:lvlText w:val="（%1）"/>
      <w:lvlJc w:val="left"/>
      <w:pPr>
        <w:ind w:left="1331" w:hanging="751"/>
        <w:jc w:val="left"/>
      </w:pPr>
      <w:rPr>
        <w:rFonts w:ascii="新宋体" w:eastAsia="新宋体" w:hAnsi="新宋体" w:cs="新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44" w:hanging="7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49" w:hanging="7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53" w:hanging="7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58" w:hanging="7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63" w:hanging="7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7" w:hanging="7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72" w:hanging="7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76" w:hanging="751"/>
      </w:pPr>
      <w:rPr>
        <w:rFonts w:hint="default"/>
        <w:lang w:val="en-US" w:eastAsia="zh-CN" w:bidi="ar-SA"/>
      </w:rPr>
    </w:lvl>
  </w:abstractNum>
  <w:abstractNum w:abstractNumId="29">
    <w:nsid w:val="7A42FC41"/>
    <w:multiLevelType w:val="hybridMultilevel"/>
    <w:tmpl w:val="00000000"/>
    <w:lvl w:ilvl="0">
      <w:start w:val="1"/>
      <w:numFmt w:val="decimal"/>
      <w:lvlText w:val="%1）"/>
      <w:lvlJc w:val="left"/>
      <w:pPr>
        <w:ind w:left="580" w:hanging="453"/>
        <w:jc w:val="left"/>
      </w:pPr>
      <w:rPr>
        <w:rFonts w:ascii="新宋体" w:eastAsia="新宋体" w:hAnsi="新宋体" w:cs="新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60" w:hanging="4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1" w:hanging="4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21" w:hanging="4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4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83" w:hanging="4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4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44" w:hanging="4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24" w:hanging="453"/>
      </w:pPr>
      <w:rPr>
        <w:rFonts w:hint="default"/>
        <w:lang w:val="en-US" w:eastAsia="zh-CN" w:bidi="ar-SA"/>
      </w:rPr>
    </w:lvl>
  </w:abstractNum>
  <w:abstractNum w:abstractNumId="30">
    <w:nsid w:val="7A44F805"/>
    <w:multiLevelType w:val="hybridMultilevel"/>
    <w:tmpl w:val="00000000"/>
    <w:lvl w:ilvl="0">
      <w:start w:val="1"/>
      <w:numFmt w:val="decimal"/>
      <w:lvlText w:val="%1）"/>
      <w:lvlJc w:val="left"/>
      <w:pPr>
        <w:ind w:left="580" w:hanging="453"/>
        <w:jc w:val="left"/>
      </w:pPr>
      <w:rPr>
        <w:rFonts w:ascii="新宋体" w:eastAsia="新宋体" w:hAnsi="新宋体" w:cs="新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60" w:hanging="4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1" w:hanging="4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21" w:hanging="4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4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83" w:hanging="4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4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44" w:hanging="4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24" w:hanging="453"/>
      </w:pPr>
      <w:rPr>
        <w:rFonts w:hint="default"/>
        <w:lang w:val="en-US" w:eastAsia="zh-CN" w:bidi="ar-SA"/>
      </w:rPr>
    </w:lvl>
  </w:abstractNum>
  <w:abstractNum w:abstractNumId="31">
    <w:nsid w:val="7C7153A0"/>
    <w:multiLevelType w:val="hybridMultilevel"/>
    <w:tmpl w:val="00000000"/>
    <w:lvl w:ilvl="0">
      <w:start w:val="1"/>
      <w:numFmt w:val="decimal"/>
      <w:lvlText w:val="（%1）"/>
      <w:lvlJc w:val="left"/>
      <w:pPr>
        <w:ind w:left="580" w:hanging="70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60" w:hanging="70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1" w:hanging="70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21" w:hanging="70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70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83" w:hanging="70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70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44" w:hanging="70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24" w:hanging="706"/>
      </w:pPr>
      <w:rPr>
        <w:rFonts w:hint="default"/>
        <w:lang w:val="en-US" w:eastAsia="zh-CN" w:bidi="ar-SA"/>
      </w:rPr>
    </w:lvl>
  </w:abstractNum>
  <w:num w:numId="1">
    <w:abstractNumId w:val="15"/>
  </w:num>
  <w:num w:numId="2">
    <w:abstractNumId w:val="12"/>
  </w:num>
  <w:num w:numId="3">
    <w:abstractNumId w:val="24"/>
  </w:num>
  <w:num w:numId="4">
    <w:abstractNumId w:val="9"/>
  </w:num>
  <w:num w:numId="5">
    <w:abstractNumId w:val="10"/>
  </w:num>
  <w:num w:numId="6">
    <w:abstractNumId w:val="21"/>
  </w:num>
  <w:num w:numId="7">
    <w:abstractNumId w:val="20"/>
  </w:num>
  <w:num w:numId="8">
    <w:abstractNumId w:val="16"/>
  </w:num>
  <w:num w:numId="9">
    <w:abstractNumId w:val="31"/>
  </w:num>
  <w:num w:numId="10">
    <w:abstractNumId w:val="26"/>
  </w:num>
  <w:num w:numId="11">
    <w:abstractNumId w:val="11"/>
  </w:num>
  <w:num w:numId="12">
    <w:abstractNumId w:val="22"/>
  </w:num>
  <w:num w:numId="13">
    <w:abstractNumId w:val="27"/>
  </w:num>
  <w:num w:numId="14">
    <w:abstractNumId w:val="14"/>
  </w:num>
  <w:num w:numId="15">
    <w:abstractNumId w:val="8"/>
  </w:num>
  <w:num w:numId="16">
    <w:abstractNumId w:val="4"/>
  </w:num>
  <w:num w:numId="17">
    <w:abstractNumId w:val="6"/>
  </w:num>
  <w:num w:numId="18">
    <w:abstractNumId w:val="30"/>
  </w:num>
  <w:num w:numId="19">
    <w:abstractNumId w:val="17"/>
  </w:num>
  <w:num w:numId="20">
    <w:abstractNumId w:val="29"/>
  </w:num>
  <w:num w:numId="21">
    <w:abstractNumId w:val="1"/>
  </w:num>
  <w:num w:numId="22">
    <w:abstractNumId w:val="18"/>
  </w:num>
  <w:num w:numId="23">
    <w:abstractNumId w:val="0"/>
  </w:num>
  <w:num w:numId="24">
    <w:abstractNumId w:val="13"/>
  </w:num>
  <w:num w:numId="25">
    <w:abstractNumId w:val="23"/>
  </w:num>
  <w:num w:numId="26">
    <w:abstractNumId w:val="3"/>
  </w:num>
  <w:num w:numId="27">
    <w:abstractNumId w:val="7"/>
  </w:num>
  <w:num w:numId="28">
    <w:abstractNumId w:val="28"/>
  </w:num>
  <w:num w:numId="29">
    <w:abstractNumId w:val="2"/>
  </w:num>
  <w:num w:numId="30">
    <w:abstractNumId w:val="5"/>
  </w:num>
  <w:num w:numId="31">
    <w:abstractNumId w:val="19"/>
  </w:num>
  <w:num w:numId="3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240"/>
      <w:ind w:left="580"/>
    </w:pPr>
    <w:rPr>
      <w:rFonts w:ascii="新宋体" w:eastAsia="新宋体" w:hAnsi="新宋体" w:cs="新宋体"/>
      <w:sz w:val="30"/>
      <w:szCs w:val="30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690" w:lineRule="exact"/>
      <w:ind w:left="3061" w:right="2983"/>
      <w:jc w:val="center"/>
    </w:pPr>
    <w:rPr>
      <w:rFonts w:ascii="微软雅黑" w:eastAsia="微软雅黑" w:hAnsi="微软雅黑" w:cs="微软雅黑"/>
      <w:b/>
      <w:bCs/>
      <w:sz w:val="44"/>
      <w:szCs w:val="44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80" w:right="498"/>
    </w:pPr>
    <w:rPr>
      <w:rFonts w:ascii="新宋体" w:eastAsia="新宋体" w:hAnsi="新宋体" w:cs="新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rFonts w:ascii="新宋体" w:eastAsia="新宋体" w:hAnsi="新宋体" w:cs="新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9600510222301005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2024-03-04T14:02:32Z</dcterms:created>
  <dcterms:modified xsi:type="dcterms:W3CDTF">2024-03-04T14:02:32Z</dcterms:modified>
</cp:coreProperties>
</file>