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91.220</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P 97</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310"/>
        <w:keepNext/>
        <w:keepLines/>
        <w:widowControl w:val="0"/>
        <w:shd w:val="clear" w:color="auto" w:fill="auto"/>
        <w:tabs>
          <w:tab w:val="left" w:pos="1555"/>
          <w:tab w:val="left" w:pos="3082"/>
          <w:tab w:val="left" w:pos="4618"/>
          <w:tab w:val="left" w:pos="6168"/>
          <w:tab w:val="left" w:pos="7690"/>
          <w:tab w:val="left" w:pos="9240"/>
        </w:tabs>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辽</w:t>
        <w:tab/>
        <w:t>宁</w:t>
        <w:tab/>
        <w:t>省</w:t>
        <w:tab/>
        <w:t>地</w:t>
        <w:tab/>
        <w:t>方</w:t>
        <w:tab/>
        <w:t>标</w:t>
        <w:tab/>
        <w:t>准</w:t>
      </w:r>
      <w:bookmarkEnd w:id="3"/>
      <w:bookmarkEnd w:id="4"/>
      <w:bookmarkEnd w:id="5"/>
    </w:p>
    <w:p>
      <w:pPr>
        <w:pStyle w:val="Bodytext40"/>
        <w:keepNext w:val="0"/>
        <w:keepLines w:val="0"/>
        <w:widowControl w:val="0"/>
        <w:shd w:val="clear" w:color="auto" w:fill="auto"/>
        <w:bidi w:val="0"/>
        <w:spacing w:before="0" w:after="2880" w:line="240" w:lineRule="auto"/>
        <w:ind w:left="0" w:right="460" w:firstLine="0"/>
        <w:jc w:val="right"/>
      </w:pPr>
      <w:r>
        <w:rPr>
          <w:rFonts w:ascii="Times New Roman" w:eastAsia="Times New Roman" w:hAnsi="Times New Roman" w:cs="Times New Roman"/>
          <w:color w:val="000000"/>
          <w:spacing w:val="0"/>
          <w:w w:val="100"/>
          <w:position w:val="0"/>
          <w:u w:val="none"/>
          <w:lang w:val="en-US" w:eastAsia="en-US" w:bidi="en-US"/>
        </w:rPr>
        <w:t>DB21/T 3393—2021</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施工升降机安全风险评估规程</w:t>
      </w:r>
      <w:bookmarkEnd w:id="6"/>
      <w:bookmarkEnd w:id="7"/>
      <w:bookmarkEnd w:id="8"/>
    </w:p>
    <w:p>
      <w:pPr>
        <w:pStyle w:val="Bodytext60"/>
        <w:keepNext w:val="0"/>
        <w:keepLines w:val="0"/>
        <w:widowControl w:val="0"/>
        <w:shd w:val="clear" w:color="auto" w:fill="auto"/>
        <w:bidi w:val="0"/>
        <w:spacing w:before="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Evaluation code for builder's hoist</w:t>
      </w:r>
    </w:p>
    <w:p>
      <w:pPr>
        <w:pStyle w:val="Bodytext40"/>
        <w:keepNext w:val="0"/>
        <w:keepLines w:val="0"/>
        <w:widowControl w:val="0"/>
        <w:shd w:val="clear" w:color="auto" w:fill="auto"/>
        <w:tabs>
          <w:tab w:val="left" w:pos="7349"/>
        </w:tabs>
        <w:bidi w:val="0"/>
        <w:spacing w:before="0" w:after="78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2021 - 02 - 28 </w:t>
      </w:r>
      <w:r>
        <w:rPr>
          <w:rFonts w:ascii="SimSun" w:eastAsia="SimSun" w:hAnsi="SimSun" w:cs="SimSun"/>
          <w:color w:val="000000"/>
          <w:spacing w:val="0"/>
          <w:w w:val="100"/>
          <w:position w:val="0"/>
          <w:sz w:val="28"/>
          <w:szCs w:val="28"/>
          <w:lang w:val="zh-TW" w:eastAsia="zh-TW" w:bidi="zh-TW"/>
        </w:rPr>
        <w:t>发布</w:t>
        <w:tab/>
      </w:r>
      <w:r>
        <w:rPr>
          <w:rFonts w:ascii="Times New Roman" w:eastAsia="Times New Roman" w:hAnsi="Times New Roman" w:cs="Times New Roman"/>
          <w:color w:val="000000"/>
          <w:spacing w:val="0"/>
          <w:w w:val="100"/>
          <w:position w:val="0"/>
          <w:sz w:val="26"/>
          <w:szCs w:val="26"/>
          <w:lang w:val="en-US" w:eastAsia="en-US" w:bidi="en-US"/>
        </w:rPr>
        <w:t xml:space="preserve">2021 - 03 - 28 </w:t>
      </w:r>
      <w:r>
        <w:rPr>
          <w:rFonts w:ascii="SimSun" w:eastAsia="SimSun" w:hAnsi="SimSun" w:cs="SimSun"/>
          <w:color w:val="000000"/>
          <w:spacing w:val="0"/>
          <w:w w:val="100"/>
          <w:position w:val="0"/>
          <w:sz w:val="28"/>
          <w:szCs w:val="28"/>
          <w:lang w:val="zh-TW" w:eastAsia="zh-TW" w:bidi="zh-TW"/>
        </w:rPr>
        <w:t>实施</w:t>
      </w:r>
    </w:p>
    <w:p>
      <w:pPr>
        <w:pStyle w:val="Bodytext50"/>
        <w:keepNext w:val="0"/>
        <w:keepLines w:val="0"/>
        <w:widowControl w:val="0"/>
        <w:shd w:val="clear" w:color="auto" w:fill="auto"/>
        <w:bidi w:val="0"/>
        <w:spacing w:before="0" w:line="240" w:lineRule="auto"/>
        <w:ind w:left="0" w:right="0" w:firstLine="0"/>
        <w:jc w:val="center"/>
        <w:sectPr>
          <w:pgSz w:w="11900" w:h="16840"/>
          <w:pgMar w:top="610" w:right="648" w:bottom="610" w:left="1279" w:header="182" w:footer="182" w:gutter="0"/>
          <w:pgNumType w:start="1"/>
          <w:cols w:space="720"/>
          <w:noEndnote/>
          <w:rtlGutter w:val="0"/>
          <w:docGrid w:linePitch="360"/>
        </w:sectPr>
      </w:pPr>
      <w:r>
        <w:rPr>
          <w:color w:val="000000"/>
          <w:spacing w:val="0"/>
          <w:w w:val="100"/>
          <w:position w:val="0"/>
        </w:rPr>
        <w:t>辽宁省市场监督管理局 发布</w:t>
      </w:r>
    </w:p>
    <w:p>
      <w:pPr>
        <w:pStyle w:val="Tableofcontents10"/>
        <w:keepNext w:val="0"/>
        <w:keepLines w:val="0"/>
        <w:widowControl w:val="0"/>
        <w:shd w:val="clear" w:color="auto" w:fill="auto"/>
        <w:tabs>
          <w:tab w:val="left" w:pos="917"/>
        </w:tabs>
        <w:bidi w:val="0"/>
        <w:spacing w:before="0" w:after="240" w:line="240" w:lineRule="auto"/>
        <w:ind w:left="0" w:right="0" w:firstLine="0"/>
        <w:jc w:val="center"/>
        <w:rPr>
          <w:sz w:val="28"/>
          <w:szCs w:val="28"/>
        </w:rPr>
      </w:pPr>
      <w:r>
        <w:fldChar w:fldCharType="begin"/>
      </w:r>
      <w:r>
        <w:instrText xml:space="preserve"> TOC \o "1-5" \h \z </w:instrText>
      </w:r>
      <w:r>
        <w:fldChar w:fldCharType="separate"/>
      </w:r>
      <w:bookmarkStart w:id="9" w:name="bookmark10"/>
      <w:bookmarkStart w:id="10" w:name="bookmark11"/>
      <w:bookmarkStart w:id="11" w:name="bookmark9"/>
      <w:r>
        <w:rPr>
          <w:color w:val="000000"/>
          <w:spacing w:val="0"/>
          <w:w w:val="100"/>
          <w:position w:val="0"/>
          <w:sz w:val="28"/>
          <w:szCs w:val="28"/>
        </w:rPr>
        <w:t>目</w:t>
        <w:tab/>
        <w:t>次</w:t>
      </w:r>
      <w:bookmarkEnd w:id="9"/>
      <w:bookmarkEnd w:id="10"/>
      <w:bookmarkEnd w:id="11"/>
    </w:p>
    <w:p>
      <w:pPr>
        <w:pStyle w:val="Tableofcontents10"/>
        <w:keepNext w:val="0"/>
        <w:keepLines w:val="0"/>
        <w:widowControl w:val="0"/>
        <w:shd w:val="clear" w:color="auto" w:fill="auto"/>
        <w:tabs>
          <w:tab w:val="right" w:leader="dot" w:pos="9212"/>
        </w:tabs>
        <w:bidi w:val="0"/>
        <w:spacing w:before="0" w:line="240" w:lineRule="auto"/>
        <w:ind w:left="0" w:right="0" w:firstLine="0"/>
        <w:jc w:val="left"/>
      </w:pP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212"/>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2"/>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2"/>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3</w:t>
      </w:r>
      <w:r>
        <w:rPr>
          <w:color w:val="000000"/>
          <w:spacing w:val="0"/>
          <w:w w:val="100"/>
          <w:position w:val="0"/>
        </w:rPr>
        <w:t>术语与定义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2"/>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安全评估总则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2"/>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评估程序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left" w:pos="1128"/>
          <w:tab w:val="right" w:leader="dot" w:pos="9212"/>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tab/>
      </w:r>
      <w:r>
        <w:rPr>
          <w:color w:val="000000"/>
          <w:spacing w:val="0"/>
          <w:w w:val="100"/>
          <w:position w:val="0"/>
        </w:rPr>
        <w:t>（规范性）施工升降机安全评估项目和要求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left" w:pos="1128"/>
          <w:tab w:val="right" w:leader="dot" w:pos="9212"/>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tab/>
      </w:r>
      <w:r>
        <w:rPr>
          <w:color w:val="000000"/>
          <w:spacing w:val="0"/>
          <w:w w:val="100"/>
          <w:position w:val="0"/>
        </w:rPr>
        <w:t>（规范性）施工升降机安全评估结论判定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left" w:pos="1128"/>
          <w:tab w:val="right" w:leader="dot" w:pos="9212"/>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tab/>
      </w:r>
      <w:r>
        <w:rPr>
          <w:color w:val="000000"/>
          <w:spacing w:val="0"/>
          <w:w w:val="100"/>
          <w:position w:val="0"/>
        </w:rPr>
        <w:t>（规范性）《施工升降机安全评估记录》格式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left" w:pos="1128"/>
          <w:tab w:val="right" w:leader="dot" w:pos="9212"/>
        </w:tabs>
        <w:bidi w:val="0"/>
        <w:spacing w:before="0" w:line="240" w:lineRule="auto"/>
        <w:ind w:left="0" w:right="0" w:firstLine="0"/>
        <w:jc w:val="left"/>
        <w:sectPr>
          <w:headerReference w:type="even" r:id="rId4"/>
          <w:headerReference w:type="default" r:id="rId5"/>
          <w:pgSz w:w="11900" w:h="16840"/>
          <w:pgMar w:top="2050" w:right="1225" w:bottom="2050" w:left="1392" w:header="0" w:footer="1622" w:gutter="0"/>
          <w:pgNumType w:start="3"/>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tab/>
      </w:r>
      <w:r>
        <w:rPr>
          <w:color w:val="000000"/>
          <w:spacing w:val="0"/>
          <w:w w:val="100"/>
          <w:position w:val="0"/>
        </w:rPr>
        <w:t>（规范性）《施工升降机安全评估报告》格式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31</w:t>
      </w:r>
      <w:r>
        <w:fldChar w:fldCharType="end"/>
      </w: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1.1</w:t>
      </w:r>
      <w:r>
        <w:rPr>
          <w:color w:val="000000"/>
          <w:spacing w:val="0"/>
          <w:w w:val="100"/>
          <w:position w:val="0"/>
        </w:rPr>
        <w:t>给岀的规则起草。</w:t>
      </w: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本标准由辽宁省市场监督管理局提岀并归口。</w:t>
      </w: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本标准起草单位：辽宁省检验检测认证中心（辽宁省安全科学研究院）。</w:t>
      </w: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本标准主要起草人：曲大勇、高诚、毛新权、左一凡、王志友、赵鑫、董德波、潘佩哲、刘阳、李 畅。</w:t>
      </w: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本标准实施后，任何单位和个人如有问题和意见建议，均可以通过来电和来函的方式进行反馈，我 们将及时答复并认真处理，根据实际情况依法进行评估及复审。</w:t>
      </w: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辽宁省市场监督管理局：沈阳市皇姑区崇山中路</w:t>
      </w:r>
      <w:r>
        <w:rPr>
          <w:rFonts w:ascii="Times New Roman" w:eastAsia="Times New Roman" w:hAnsi="Times New Roman" w:cs="Times New Roman"/>
          <w:color w:val="000000"/>
          <w:spacing w:val="0"/>
          <w:w w:val="100"/>
          <w:position w:val="0"/>
        </w:rPr>
        <w:t>55</w:t>
      </w:r>
      <w:r>
        <w:rPr>
          <w:color w:val="000000"/>
          <w:spacing w:val="0"/>
          <w:w w:val="100"/>
          <w:position w:val="0"/>
        </w:rPr>
        <w:t>号，</w:t>
      </w:r>
      <w:r>
        <w:rPr>
          <w:rFonts w:ascii="Times New Roman" w:eastAsia="Times New Roman" w:hAnsi="Times New Roman" w:cs="Times New Roman"/>
          <w:color w:val="000000"/>
          <w:spacing w:val="0"/>
          <w:w w:val="100"/>
          <w:position w:val="0"/>
        </w:rPr>
        <w:t>024-96315-3215</w:t>
      </w:r>
      <w:r>
        <w:rPr>
          <w:color w:val="000000"/>
          <w:spacing w:val="0"/>
          <w:w w:val="100"/>
          <w:position w:val="0"/>
        </w:rPr>
        <w:t>。</w:t>
      </w:r>
    </w:p>
    <w:p>
      <w:pPr>
        <w:pStyle w:val="Bodytext10"/>
        <w:keepNext w:val="0"/>
        <w:keepLines w:val="0"/>
        <w:widowControl w:val="0"/>
        <w:shd w:val="clear" w:color="auto" w:fill="auto"/>
        <w:bidi w:val="0"/>
        <w:spacing w:before="0" w:after="1740" w:line="319" w:lineRule="exact"/>
        <w:ind w:left="0" w:right="0" w:firstLine="440"/>
        <w:jc w:val="left"/>
        <w:sectPr>
          <w:headerReference w:type="even" r:id="rId6"/>
          <w:headerReference w:type="default" r:id="rId7"/>
          <w:pgSz w:w="11900" w:h="16840"/>
          <w:pgMar w:top="3697" w:right="1286" w:bottom="899" w:left="1109" w:header="0" w:footer="471" w:gutter="0"/>
          <w:pgNumType w:start="4"/>
          <w:cols w:space="720"/>
          <w:noEndnote/>
          <w:rtlGutter w:val="0"/>
          <w:docGrid w:linePitch="360"/>
        </w:sectPr>
      </w:pPr>
      <w:r>
        <w:rPr>
          <w:color w:val="000000"/>
          <w:spacing w:val="0"/>
          <w:w w:val="100"/>
          <w:position w:val="0"/>
        </w:rPr>
        <w:t>辽宁省检验检测认证中心（辽宁省安全科学研究院）：沈阳市和平区文萃路</w:t>
      </w: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号，</w:t>
      </w:r>
      <w:r>
        <w:rPr>
          <w:rFonts w:ascii="Times New Roman" w:eastAsia="Times New Roman" w:hAnsi="Times New Roman" w:cs="Times New Roman"/>
          <w:color w:val="000000"/>
          <w:spacing w:val="0"/>
          <w:w w:val="100"/>
          <w:position w:val="0"/>
        </w:rPr>
        <w:t>024-23929378</w:t>
      </w:r>
      <w:r>
        <w:rPr>
          <w:color w:val="000000"/>
          <w:spacing w:val="0"/>
          <w:w w:val="100"/>
          <w:position w:val="0"/>
        </w:rPr>
        <w:t>。</w:t>
      </w:r>
    </w:p>
    <w:p>
      <w:pPr>
        <w:widowControl w:val="0"/>
        <w:jc w:val="center"/>
        <w:rPr>
          <w:sz w:val="2"/>
          <w:szCs w:val="2"/>
        </w:rPr>
        <w:sectPr>
          <w:headerReference w:type="even" r:id="rId8"/>
          <w:headerReference w:type="default" r:id="rId9"/>
          <w:type w:val="nextPage"/>
          <w:pgSz w:w="11900" w:h="16840"/>
          <w:pgMar w:top="3697" w:right="1286" w:bottom="899" w:left="1109" w:header="0" w:footer="471" w:gutter="0"/>
          <w:pgNumType w:start="5"/>
          <w:cols w:space="720"/>
          <w:noEndnote/>
          <w:titlePg w:val="0"/>
          <w:rtlGutter w:val="0"/>
          <w:docGrid w:linePitch="360"/>
        </w:sectPr>
      </w:pPr>
      <w:r>
        <w:drawing>
          <wp:inline>
            <wp:extent cx="7120255" cy="488315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0"/>
                    <a:stretch>
                      <a:fillRect/>
                    </a:stretch>
                  </pic:blipFill>
                  <pic:spPr>
                    <a:xfrm>
                      <a:off x="0" y="0"/>
                      <a:ext cx="7120255" cy="4883150"/>
                    </a:xfrm>
                    <a:prstGeom prst="rect">
                      <a:avLst/>
                    </a:prstGeom>
                  </pic:spPr>
                </pic:pic>
              </a:graphicData>
            </a:graphic>
          </wp:inline>
        </w:drawing>
      </w:r>
    </w:p>
    <w:p>
      <w:pPr>
        <w:pStyle w:val="Heading410"/>
        <w:keepNext/>
        <w:keepLines/>
        <w:widowControl w:val="0"/>
        <w:shd w:val="clear" w:color="auto" w:fill="auto"/>
        <w:bidi w:val="0"/>
        <w:spacing w:line="240" w:lineRule="auto"/>
        <w:ind w:left="0" w:right="0" w:firstLine="0"/>
        <w:jc w:val="center"/>
      </w:pPr>
      <w:bookmarkStart w:id="12" w:name="bookmark12"/>
      <w:bookmarkStart w:id="13" w:name="bookmark13"/>
      <w:bookmarkStart w:id="14" w:name="bookmark14"/>
      <w:r>
        <w:rPr>
          <w:color w:val="000000"/>
          <w:spacing w:val="0"/>
          <w:w w:val="100"/>
          <w:position w:val="0"/>
        </w:rPr>
        <w:t>施工升降机安全风险评估规程</w:t>
      </w:r>
      <w:bookmarkEnd w:id="12"/>
      <w:bookmarkEnd w:id="13"/>
      <w:bookmarkEnd w:id="14"/>
    </w:p>
    <w:p>
      <w:pPr>
        <w:pStyle w:val="Bodytext10"/>
        <w:keepNext w:val="0"/>
        <w:keepLines w:val="0"/>
        <w:widowControl w:val="0"/>
        <w:shd w:val="clear" w:color="auto" w:fill="auto"/>
        <w:bidi w:val="0"/>
        <w:spacing w:before="0" w:after="280" w:line="240" w:lineRule="auto"/>
        <w:ind w:left="0" w:right="0" w:firstLine="0"/>
        <w:jc w:val="both"/>
      </w:pPr>
      <w:bookmarkStart w:id="15" w:name="bookmark15"/>
      <w:r>
        <w:rPr>
          <w:rFonts w:ascii="Times New Roman" w:eastAsia="Times New Roman" w:hAnsi="Times New Roman" w:cs="Times New Roman"/>
          <w:color w:val="000000"/>
          <w:spacing w:val="0"/>
          <w:w w:val="100"/>
          <w:position w:val="0"/>
        </w:rPr>
        <w:t>1</w:t>
      </w:r>
      <w:r>
        <w:rPr>
          <w:b/>
          <w:bCs/>
          <w:color w:val="000000"/>
          <w:spacing w:val="0"/>
          <w:w w:val="100"/>
          <w:position w:val="0"/>
        </w:rPr>
        <w:t>范围</w:t>
      </w:r>
      <w:bookmarkEnd w:id="15"/>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本标准规定了施工升降机安全评估的总则、评估程序、评估项目及要求、安全评估结论判定、安全 评估报告格式等内容。</w:t>
      </w:r>
    </w:p>
    <w:p>
      <w:pPr>
        <w:pStyle w:val="Bodytext10"/>
        <w:keepNext w:val="0"/>
        <w:keepLines w:val="0"/>
        <w:widowControl w:val="0"/>
        <w:shd w:val="clear" w:color="auto" w:fill="auto"/>
        <w:bidi w:val="0"/>
        <w:spacing w:before="0" w:after="380" w:line="317" w:lineRule="exact"/>
        <w:ind w:left="0" w:right="0" w:firstLine="420"/>
        <w:jc w:val="left"/>
      </w:pPr>
      <w:r>
        <w:rPr>
          <w:color w:val="000000"/>
          <w:spacing w:val="0"/>
          <w:w w:val="100"/>
          <w:position w:val="0"/>
        </w:rPr>
        <w:t>本标准适用于人货两用齿轮齿条式施工升降机。其他型式施工升降机可以参照本标准。</w:t>
      </w:r>
    </w:p>
    <w:p>
      <w:pPr>
        <w:pStyle w:val="Bodytext10"/>
        <w:keepNext w:val="0"/>
        <w:keepLines w:val="0"/>
        <w:widowControl w:val="0"/>
        <w:shd w:val="clear" w:color="auto" w:fill="auto"/>
        <w:bidi w:val="0"/>
        <w:spacing w:before="0" w:after="280" w:line="240" w:lineRule="auto"/>
        <w:ind w:left="0" w:right="0" w:firstLine="0"/>
        <w:jc w:val="both"/>
      </w:pPr>
      <w:bookmarkStart w:id="16" w:name="bookmark16"/>
      <w:r>
        <w:rPr>
          <w:rFonts w:ascii="Times New Roman" w:eastAsia="Times New Roman" w:hAnsi="Times New Roman" w:cs="Times New Roman"/>
          <w:color w:val="000000"/>
          <w:spacing w:val="0"/>
          <w:w w:val="100"/>
          <w:position w:val="0"/>
        </w:rPr>
        <w:t>2</w:t>
      </w:r>
      <w:r>
        <w:rPr>
          <w:b/>
          <w:bCs/>
          <w:color w:val="000000"/>
          <w:spacing w:val="0"/>
          <w:w w:val="100"/>
          <w:position w:val="0"/>
        </w:rPr>
        <w:t>规范性引用文件</w:t>
      </w:r>
      <w:bookmarkEnd w:id="16"/>
    </w:p>
    <w:p>
      <w:pPr>
        <w:pStyle w:val="Bodytext10"/>
        <w:keepNext w:val="0"/>
        <w:keepLines w:val="0"/>
        <w:widowControl w:val="0"/>
        <w:shd w:val="clear" w:color="auto" w:fill="auto"/>
        <w:bidi w:val="0"/>
        <w:spacing w:before="0" w:after="60" w:line="312" w:lineRule="exact"/>
        <w:ind w:left="0" w:right="0" w:firstLine="420"/>
        <w:jc w:val="left"/>
      </w:pPr>
      <w:r>
        <w:rPr>
          <w:color w:val="000000"/>
          <w:spacing w:val="0"/>
          <w:w w:val="100"/>
          <w:position w:val="0"/>
        </w:rPr>
        <w:t>下列文件中的内容通过文中的规范性引用而构成本文件必不可少的条款。其中，注日期的引用文件, 仅该日期对应的版本适用于本文件；不注日期的引用文件，其最新版本（包括所有的修改单）适用于本 文件。</w:t>
      </w:r>
    </w:p>
    <w:p>
      <w:pPr>
        <w:pStyle w:val="Bodytext2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3811</w:t>
      </w:r>
      <w:r>
        <w:rPr>
          <w:rFonts w:ascii="SimSun" w:eastAsia="SimSun" w:hAnsi="SimSun" w:cs="SimSun"/>
          <w:color w:val="000000"/>
          <w:spacing w:val="0"/>
          <w:w w:val="100"/>
          <w:position w:val="0"/>
          <w:lang w:val="zh-TW" w:eastAsia="zh-TW" w:bidi="zh-TW"/>
        </w:rPr>
        <w:t>起重机设计规范</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GB/T 6067. </w:t>
      </w:r>
      <w:r>
        <w:rPr>
          <w:rFonts w:ascii="Times New Roman" w:eastAsia="Times New Roman" w:hAnsi="Times New Roman" w:cs="Times New Roman"/>
          <w:color w:val="000000"/>
          <w:spacing w:val="0"/>
          <w:w w:val="100"/>
          <w:position w:val="0"/>
        </w:rPr>
        <w:t>1</w:t>
      </w:r>
      <w:r>
        <w:rPr>
          <w:color w:val="000000"/>
          <w:spacing w:val="0"/>
          <w:w w:val="100"/>
          <w:position w:val="0"/>
        </w:rPr>
        <w:t>起重机械安全规程第</w:t>
      </w:r>
      <w:r>
        <w:rPr>
          <w:rFonts w:ascii="Times New Roman" w:eastAsia="Times New Roman" w:hAnsi="Times New Roman" w:cs="Times New Roman"/>
          <w:color w:val="000000"/>
          <w:spacing w:val="0"/>
          <w:w w:val="100"/>
          <w:position w:val="0"/>
        </w:rPr>
        <w:t>1</w:t>
      </w:r>
      <w:r>
        <w:rPr>
          <w:color w:val="000000"/>
          <w:spacing w:val="0"/>
          <w:w w:val="100"/>
          <w:position w:val="0"/>
        </w:rPr>
        <w:t>部分：总则</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15706</w:t>
      </w:r>
      <w:r>
        <w:rPr>
          <w:color w:val="000000"/>
          <w:spacing w:val="0"/>
          <w:w w:val="100"/>
          <w:position w:val="0"/>
        </w:rPr>
        <w:t>机械安全设计通则安全评估与风险减小</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16856</w:t>
      </w:r>
      <w:r>
        <w:rPr>
          <w:color w:val="000000"/>
          <w:spacing w:val="0"/>
          <w:w w:val="100"/>
          <w:position w:val="0"/>
        </w:rPr>
        <w:t>机械安全安全评估实施指南和方法举例</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26557</w:t>
      </w:r>
      <w:r>
        <w:rPr>
          <w:color w:val="000000"/>
          <w:spacing w:val="0"/>
          <w:w w:val="100"/>
          <w:position w:val="0"/>
        </w:rPr>
        <w:t>吊笼有垂直导向的人货两用施工升降机</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JB/T </w:t>
      </w:r>
      <w:r>
        <w:rPr>
          <w:rFonts w:ascii="Times New Roman" w:eastAsia="Times New Roman" w:hAnsi="Times New Roman" w:cs="Times New Roman"/>
          <w:color w:val="000000"/>
          <w:spacing w:val="0"/>
          <w:w w:val="100"/>
          <w:position w:val="0"/>
        </w:rPr>
        <w:t>6061</w:t>
      </w:r>
      <w:r>
        <w:rPr>
          <w:color w:val="000000"/>
          <w:spacing w:val="0"/>
          <w:w w:val="100"/>
          <w:position w:val="0"/>
        </w:rPr>
        <w:t>无损检测焊缝磁粉检测</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JB/T </w:t>
      </w:r>
      <w:r>
        <w:rPr>
          <w:rFonts w:ascii="Times New Roman" w:eastAsia="Times New Roman" w:hAnsi="Times New Roman" w:cs="Times New Roman"/>
          <w:color w:val="000000"/>
          <w:spacing w:val="0"/>
          <w:w w:val="100"/>
          <w:position w:val="0"/>
        </w:rPr>
        <w:t>6062</w:t>
      </w:r>
      <w:r>
        <w:rPr>
          <w:color w:val="000000"/>
          <w:spacing w:val="0"/>
          <w:w w:val="100"/>
          <w:position w:val="0"/>
        </w:rPr>
        <w:t>无损检测焊缝渗透检测</w:t>
      </w:r>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JB/T </w:t>
      </w:r>
      <w:r>
        <w:rPr>
          <w:rFonts w:ascii="Times New Roman" w:eastAsia="Times New Roman" w:hAnsi="Times New Roman" w:cs="Times New Roman"/>
          <w:color w:val="000000"/>
          <w:spacing w:val="0"/>
          <w:w w:val="100"/>
          <w:position w:val="0"/>
        </w:rPr>
        <w:t>10559</w:t>
      </w:r>
      <w:r>
        <w:rPr>
          <w:color w:val="000000"/>
          <w:spacing w:val="0"/>
          <w:w w:val="100"/>
          <w:position w:val="0"/>
        </w:rPr>
        <w:t>起重机械无损检测钢焊缝超声检测</w:t>
      </w:r>
    </w:p>
    <w:p>
      <w:pPr>
        <w:pStyle w:val="Bodytext20"/>
        <w:keepNext w:val="0"/>
        <w:keepLines w:val="0"/>
        <w:widowControl w:val="0"/>
        <w:shd w:val="clear" w:color="auto" w:fill="auto"/>
        <w:bidi w:val="0"/>
        <w:spacing w:before="0" w:after="280" w:line="329" w:lineRule="auto"/>
        <w:ind w:left="0" w:right="0" w:firstLine="400"/>
        <w:jc w:val="left"/>
      </w:pPr>
      <w:r>
        <w:rPr>
          <w:rFonts w:ascii="Times New Roman" w:eastAsia="Times New Roman" w:hAnsi="Times New Roman" w:cs="Times New Roman"/>
          <w:color w:val="000000"/>
          <w:spacing w:val="0"/>
          <w:w w:val="100"/>
          <w:position w:val="0"/>
          <w:lang w:val="en-US" w:eastAsia="en-US" w:bidi="en-US"/>
        </w:rPr>
        <w:t xml:space="preserve">T/CASEI </w:t>
      </w:r>
      <w:r>
        <w:rPr>
          <w:rFonts w:ascii="Times New Roman" w:eastAsia="Times New Roman" w:hAnsi="Times New Roman" w:cs="Times New Roman"/>
          <w:color w:val="000000"/>
          <w:spacing w:val="0"/>
          <w:w w:val="100"/>
          <w:position w:val="0"/>
          <w:lang w:val="zh-TW" w:eastAsia="zh-TW" w:bidi="zh-TW"/>
        </w:rPr>
        <w:t>62001</w:t>
      </w:r>
      <w:r>
        <w:rPr>
          <w:rFonts w:ascii="SimSun" w:eastAsia="SimSun" w:hAnsi="SimSun" w:cs="SimSun"/>
          <w:color w:val="000000"/>
          <w:spacing w:val="0"/>
          <w:w w:val="100"/>
          <w:position w:val="0"/>
          <w:lang w:val="zh-TW" w:eastAsia="zh-TW" w:bidi="zh-TW"/>
        </w:rPr>
        <w:t>起重机械安全状况评估</w:t>
      </w:r>
    </w:p>
    <w:p>
      <w:pPr>
        <w:pStyle w:val="Bodytext10"/>
        <w:keepNext w:val="0"/>
        <w:keepLines w:val="0"/>
        <w:widowControl w:val="0"/>
        <w:shd w:val="clear" w:color="auto" w:fill="auto"/>
        <w:bidi w:val="0"/>
        <w:spacing w:before="0" w:after="280" w:line="240" w:lineRule="auto"/>
        <w:ind w:left="0" w:right="0" w:firstLine="0"/>
        <w:jc w:val="both"/>
      </w:pPr>
      <w:bookmarkStart w:id="17" w:name="bookmark17"/>
      <w:r>
        <w:rPr>
          <w:rFonts w:ascii="Times New Roman" w:eastAsia="Times New Roman" w:hAnsi="Times New Roman" w:cs="Times New Roman"/>
          <w:color w:val="000000"/>
          <w:spacing w:val="0"/>
          <w:w w:val="100"/>
          <w:position w:val="0"/>
        </w:rPr>
        <w:t>3</w:t>
      </w:r>
      <w:r>
        <w:rPr>
          <w:b/>
          <w:bCs/>
          <w:color w:val="000000"/>
          <w:spacing w:val="0"/>
          <w:w w:val="100"/>
          <w:position w:val="0"/>
        </w:rPr>
        <w:t>术语与定义</w:t>
      </w:r>
      <w:bookmarkEnd w:id="17"/>
    </w:p>
    <w:p>
      <w:pPr>
        <w:pStyle w:val="Bodytext1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26557</w:t>
      </w:r>
      <w:r>
        <w:rPr>
          <w:color w:val="000000"/>
          <w:spacing w:val="0"/>
          <w:w w:val="100"/>
          <w:position w:val="0"/>
        </w:rPr>
        <w:t>界定</w:t>
      </w:r>
      <w:r>
        <w:rPr>
          <w:color w:val="434952"/>
          <w:spacing w:val="0"/>
          <w:w w:val="100"/>
          <w:position w:val="0"/>
        </w:rPr>
        <w:t>晚</w:t>
      </w:r>
      <w:r>
        <w:rPr>
          <w:color w:val="1D2025"/>
          <w:spacing w:val="0"/>
          <w:w w:val="100"/>
          <w:position w:val="0"/>
        </w:rPr>
        <w:t>骸下烈</w:t>
      </w:r>
      <w:r>
        <w:rPr>
          <w:color w:val="000000"/>
          <w:spacing w:val="0"/>
          <w:w w:val="100"/>
          <w:position w:val="0"/>
        </w:rPr>
        <w:t>术语和定义适用于本文件。</w:t>
      </w:r>
    </w:p>
    <w:p>
      <w:pPr>
        <w:pStyle w:val="Bodytext20"/>
        <w:keepNext w:val="0"/>
        <w:keepLines w:val="0"/>
        <w:widowControl w:val="0"/>
        <w:shd w:val="clear" w:color="auto" w:fill="auto"/>
        <w:bidi w:val="0"/>
        <w:spacing w:before="0" w:after="6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160" w:line="314" w:lineRule="exact"/>
        <w:ind w:left="0" w:right="0" w:firstLine="400"/>
        <w:jc w:val="left"/>
      </w:pPr>
      <w:r>
        <w:rPr>
          <w:rFonts w:ascii="SimSun" w:eastAsia="SimSun" w:hAnsi="SimSun" w:cs="SimSun"/>
          <w:b/>
          <w:bCs/>
          <w:color w:val="000000"/>
          <w:spacing w:val="0"/>
          <w:w w:val="100"/>
          <w:position w:val="0"/>
          <w:lang w:val="zh-TW" w:eastAsia="zh-TW" w:bidi="zh-TW"/>
        </w:rPr>
        <w:t>风险</w:t>
      </w:r>
      <w:r>
        <w:rPr>
          <w:rFonts w:ascii="Times New Roman" w:eastAsia="Times New Roman" w:hAnsi="Times New Roman" w:cs="Times New Roman"/>
          <w:color w:val="000000"/>
          <w:spacing w:val="0"/>
          <w:w w:val="100"/>
          <w:position w:val="0"/>
          <w:lang w:val="en-US" w:eastAsia="en-US" w:bidi="en-US"/>
        </w:rPr>
        <w:t>r i sk</w:t>
      </w:r>
    </w:p>
    <w:p>
      <w:pPr>
        <w:pStyle w:val="Bodytext10"/>
        <w:keepNext w:val="0"/>
        <w:keepLines w:val="0"/>
        <w:widowControl w:val="0"/>
        <w:shd w:val="clear" w:color="auto" w:fill="auto"/>
        <w:bidi w:val="0"/>
        <w:spacing w:before="0" w:after="60" w:line="314" w:lineRule="exact"/>
        <w:ind w:left="0" w:right="0"/>
        <w:jc w:val="left"/>
      </w:pPr>
      <w:r>
        <w:rPr>
          <w:color w:val="000000"/>
          <w:spacing w:val="0"/>
          <w:w w:val="100"/>
          <w:position w:val="0"/>
        </w:rPr>
        <w:t>伤害发生的概率和伤害严重程度的</w:t>
      </w:r>
      <w:r>
        <w:rPr>
          <w:color w:val="1D2025"/>
          <w:spacing w:val="0"/>
          <w:w w:val="100"/>
          <w:position w:val="0"/>
        </w:rPr>
        <w:t>综合。</w:t>
      </w:r>
    </w:p>
    <w:p>
      <w:pPr>
        <w:pStyle w:val="Bodytext20"/>
        <w:keepNext w:val="0"/>
        <w:keepLines w:val="0"/>
        <w:widowControl w:val="0"/>
        <w:shd w:val="clear" w:color="auto" w:fill="auto"/>
        <w:bidi w:val="0"/>
        <w:spacing w:before="0" w:after="6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Bodytext20"/>
        <w:keepNext w:val="0"/>
        <w:keepLines w:val="0"/>
        <w:widowControl w:val="0"/>
        <w:shd w:val="clear" w:color="auto" w:fill="auto"/>
        <w:bidi w:val="0"/>
        <w:spacing w:before="0" w:after="160" w:line="314" w:lineRule="exact"/>
        <w:ind w:left="0" w:right="0" w:firstLine="400"/>
        <w:jc w:val="left"/>
      </w:pPr>
      <w:r>
        <w:rPr>
          <w:rFonts w:ascii="SimSun" w:eastAsia="SimSun" w:hAnsi="SimSun" w:cs="SimSun"/>
          <w:b/>
          <w:bCs/>
          <w:color w:val="000000"/>
          <w:spacing w:val="0"/>
          <w:w w:val="100"/>
          <w:position w:val="0"/>
          <w:lang w:val="zh-TW" w:eastAsia="zh-TW" w:bidi="zh-TW"/>
        </w:rPr>
        <w:t xml:space="preserve">风险分析 </w:t>
      </w:r>
      <w:r>
        <w:rPr>
          <w:rFonts w:ascii="Times New Roman" w:eastAsia="Times New Roman" w:hAnsi="Times New Roman" w:cs="Times New Roman"/>
          <w:color w:val="000000"/>
          <w:spacing w:val="0"/>
          <w:w w:val="100"/>
          <w:position w:val="0"/>
          <w:lang w:val="en-US" w:eastAsia="en-US" w:bidi="en-US"/>
        </w:rPr>
        <w:t>risk ana lysis</w:t>
      </w:r>
    </w:p>
    <w:p>
      <w:pPr>
        <w:pStyle w:val="Bodytext10"/>
        <w:keepNext w:val="0"/>
        <w:keepLines w:val="0"/>
        <w:widowControl w:val="0"/>
        <w:shd w:val="clear" w:color="auto" w:fill="auto"/>
        <w:bidi w:val="0"/>
        <w:spacing w:before="0" w:after="60" w:line="314" w:lineRule="exact"/>
        <w:ind w:left="0" w:right="0"/>
        <w:jc w:val="left"/>
      </w:pPr>
      <w:r>
        <w:rPr>
          <w:color w:val="000000"/>
          <w:spacing w:val="0"/>
          <w:w w:val="100"/>
          <w:position w:val="0"/>
        </w:rPr>
        <w:t>系统地运用可获得的信息识别危险和评定风险的过程。</w:t>
      </w:r>
    </w:p>
    <w:p>
      <w:pPr>
        <w:pStyle w:val="Bodytext20"/>
        <w:keepNext w:val="0"/>
        <w:keepLines w:val="0"/>
        <w:widowControl w:val="0"/>
        <w:shd w:val="clear" w:color="auto" w:fill="auto"/>
        <w:bidi w:val="0"/>
        <w:spacing w:before="0" w:after="6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20"/>
        <w:keepNext w:val="0"/>
        <w:keepLines w:val="0"/>
        <w:widowControl w:val="0"/>
        <w:shd w:val="clear" w:color="auto" w:fill="auto"/>
        <w:bidi w:val="0"/>
        <w:spacing w:before="0" w:after="160" w:line="314" w:lineRule="exact"/>
        <w:ind w:left="0" w:right="0" w:firstLine="400"/>
        <w:jc w:val="left"/>
      </w:pPr>
      <w:r>
        <w:rPr>
          <w:rFonts w:ascii="SimSun" w:eastAsia="SimSun" w:hAnsi="SimSun" w:cs="SimSun"/>
          <w:b/>
          <w:bCs/>
          <w:color w:val="000000"/>
          <w:spacing w:val="0"/>
          <w:w w:val="100"/>
          <w:position w:val="0"/>
          <w:lang w:val="zh-TW" w:eastAsia="zh-TW" w:bidi="zh-TW"/>
        </w:rPr>
        <w:t xml:space="preserve">安全评估项目 </w:t>
      </w:r>
      <w:r>
        <w:rPr>
          <w:rFonts w:ascii="Times New Roman" w:eastAsia="Times New Roman" w:hAnsi="Times New Roman" w:cs="Times New Roman"/>
          <w:color w:val="000000"/>
          <w:spacing w:val="0"/>
          <w:w w:val="100"/>
          <w:position w:val="0"/>
          <w:lang w:val="en-US" w:eastAsia="en-US" w:bidi="en-US"/>
        </w:rPr>
        <w:t>evaIuat i on i tem</w:t>
      </w:r>
    </w:p>
    <w:p>
      <w:pPr>
        <w:pStyle w:val="Bodytext10"/>
        <w:keepNext w:val="0"/>
        <w:keepLines w:val="0"/>
        <w:widowControl w:val="0"/>
        <w:shd w:val="clear" w:color="auto" w:fill="auto"/>
        <w:bidi w:val="0"/>
        <w:spacing w:before="0" w:after="60" w:line="314" w:lineRule="exact"/>
        <w:ind w:left="0" w:right="0" w:firstLine="420"/>
        <w:jc w:val="both"/>
      </w:pPr>
      <w:r>
        <w:rPr>
          <w:color w:val="000000"/>
          <w:spacing w:val="0"/>
          <w:w w:val="100"/>
          <w:position w:val="0"/>
        </w:rPr>
        <w:t>根据评估目的和评估方法的需要，按照施工升降机危险与伤害因素的类别，将被评估施工升降机系 统划分为若干有限的，相对独立的，同一层次的，需要分析评定的单元或指标。本标准中安全评估项目 特指施工升降机安全评估项目。</w:t>
      </w:r>
    </w:p>
    <w:p>
      <w:pPr>
        <w:pStyle w:val="Bodytext20"/>
        <w:keepNext w:val="0"/>
        <w:keepLines w:val="0"/>
        <w:widowControl w:val="0"/>
        <w:shd w:val="clear" w:color="auto" w:fill="auto"/>
        <w:bidi w:val="0"/>
        <w:spacing w:before="0" w:after="160" w:line="329" w:lineRule="auto"/>
        <w:ind w:left="0" w:right="0" w:firstLine="0"/>
        <w:jc w:val="left"/>
        <w:sectPr>
          <w:headerReference w:type="even" r:id="rId11"/>
          <w:headerReference w:type="default" r:id="rId12"/>
          <w:footerReference w:type="even" r:id="rId13"/>
          <w:footerReference w:type="default" r:id="rId14"/>
          <w:pgSz w:w="11900" w:h="16840"/>
          <w:pgMar w:top="1974" w:right="1131" w:bottom="1595" w:left="1259" w:header="0" w:footer="3" w:gutter="0"/>
          <w:pgNumType w:start="1"/>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p>
      <w:pPr>
        <w:pStyle w:val="Bodytext20"/>
        <w:keepNext w:val="0"/>
        <w:keepLines w:val="0"/>
        <w:widowControl w:val="0"/>
        <w:shd w:val="clear" w:color="auto" w:fill="auto"/>
        <w:bidi w:val="0"/>
        <w:spacing w:before="0" w:after="140" w:line="317" w:lineRule="exact"/>
        <w:ind w:left="0" w:right="0" w:firstLine="440"/>
        <w:jc w:val="left"/>
      </w:pPr>
      <w:r>
        <w:rPr>
          <w:rFonts w:ascii="SimSun" w:eastAsia="SimSun" w:hAnsi="SimSun" w:cs="SimSun"/>
          <w:b/>
          <w:bCs/>
          <w:color w:val="000000"/>
          <w:spacing w:val="0"/>
          <w:w w:val="100"/>
          <w:position w:val="0"/>
          <w:lang w:val="zh-TW" w:eastAsia="zh-TW" w:bidi="zh-TW"/>
        </w:rPr>
        <w:t xml:space="preserve">安全评估机构 </w:t>
      </w:r>
      <w:r>
        <w:rPr>
          <w:rFonts w:ascii="Times New Roman" w:eastAsia="Times New Roman" w:hAnsi="Times New Roman" w:cs="Times New Roman"/>
          <w:color w:val="000000"/>
          <w:spacing w:val="0"/>
          <w:w w:val="100"/>
          <w:position w:val="0"/>
          <w:lang w:val="en-US" w:eastAsia="en-US" w:bidi="en-US"/>
        </w:rPr>
        <w:t>evaluati on agency</w:t>
      </w:r>
    </w:p>
    <w:p>
      <w:pPr>
        <w:pStyle w:val="Bodytext10"/>
        <w:keepNext w:val="0"/>
        <w:keepLines w:val="0"/>
        <w:widowControl w:val="0"/>
        <w:shd w:val="clear" w:color="auto" w:fill="auto"/>
        <w:bidi w:val="0"/>
        <w:spacing w:before="0" w:after="60" w:line="307" w:lineRule="exact"/>
        <w:ind w:left="0" w:right="0" w:firstLine="440"/>
        <w:jc w:val="both"/>
      </w:pPr>
      <w:r>
        <w:rPr>
          <w:color w:val="000000"/>
          <w:spacing w:val="0"/>
          <w:w w:val="100"/>
          <w:position w:val="0"/>
        </w:rPr>
        <w:t>开展评估工作的机构,应为特种设备安全监督管理部门核准独立的第三方检验检测机构或型式试验 机构。本标准中安全评估机构特指施工升降机安全评估机构。</w:t>
      </w:r>
    </w:p>
    <w:p>
      <w:pPr>
        <w:pStyle w:val="Bodytext20"/>
        <w:keepNext w:val="0"/>
        <w:keepLines w:val="0"/>
        <w:widowControl w:val="0"/>
        <w:shd w:val="clear" w:color="auto" w:fill="auto"/>
        <w:bidi w:val="0"/>
        <w:spacing w:before="0" w:after="60" w:line="322" w:lineRule="auto"/>
        <w:ind w:left="0" w:right="0" w:firstLine="0"/>
        <w:jc w:val="left"/>
      </w:pPr>
      <w:r>
        <w:rPr>
          <w:rFonts w:ascii="Times New Roman" w:eastAsia="Times New Roman" w:hAnsi="Times New Roman" w:cs="Times New Roman"/>
          <w:color w:val="000000"/>
          <w:spacing w:val="0"/>
          <w:w w:val="100"/>
          <w:position w:val="0"/>
          <w:lang w:val="en-US" w:eastAsia="en-US" w:bidi="en-US"/>
        </w:rPr>
        <w:t>3.5</w:t>
      </w:r>
    </w:p>
    <w:p>
      <w:pPr>
        <w:pStyle w:val="Bodytext20"/>
        <w:keepNext w:val="0"/>
        <w:keepLines w:val="0"/>
        <w:widowControl w:val="0"/>
        <w:shd w:val="clear" w:color="auto" w:fill="auto"/>
        <w:bidi w:val="0"/>
        <w:spacing w:before="0" w:after="140" w:line="317" w:lineRule="exact"/>
        <w:ind w:left="0" w:right="0" w:firstLine="440"/>
        <w:jc w:val="left"/>
      </w:pPr>
      <w:r>
        <w:rPr>
          <w:rFonts w:ascii="SimSun" w:eastAsia="SimSun" w:hAnsi="SimSun" w:cs="SimSun"/>
          <w:b/>
          <w:bCs/>
          <w:color w:val="000000"/>
          <w:spacing w:val="0"/>
          <w:w w:val="100"/>
          <w:position w:val="0"/>
          <w:lang w:val="zh-TW" w:eastAsia="zh-TW" w:bidi="zh-TW"/>
        </w:rPr>
        <w:t xml:space="preserve">被评估单位 </w:t>
      </w:r>
      <w:r>
        <w:rPr>
          <w:rFonts w:ascii="Times New Roman" w:eastAsia="Times New Roman" w:hAnsi="Times New Roman" w:cs="Times New Roman"/>
          <w:color w:val="000000"/>
          <w:spacing w:val="0"/>
          <w:w w:val="100"/>
          <w:position w:val="0"/>
          <w:lang w:val="en-US" w:eastAsia="en-US" w:bidi="en-US"/>
        </w:rPr>
        <w:t>evaluated unit</w:t>
      </w:r>
    </w:p>
    <w:p>
      <w:pPr>
        <w:pStyle w:val="Bodytext10"/>
        <w:keepNext w:val="0"/>
        <w:keepLines w:val="0"/>
        <w:widowControl w:val="0"/>
        <w:shd w:val="clear" w:color="auto" w:fill="auto"/>
        <w:bidi w:val="0"/>
        <w:spacing w:before="0" w:after="380" w:line="317" w:lineRule="exact"/>
        <w:ind w:left="0" w:right="0" w:firstLine="440"/>
        <w:jc w:val="left"/>
      </w:pPr>
      <w:r>
        <w:rPr>
          <w:color w:val="000000"/>
          <w:spacing w:val="0"/>
          <w:w w:val="100"/>
          <w:position w:val="0"/>
        </w:rPr>
        <w:t>施工升降机的产权或使用单位，配合评估机构开展评估工作。</w:t>
      </w:r>
    </w:p>
    <w:p>
      <w:pPr>
        <w:pStyle w:val="Bodytext10"/>
        <w:keepNext w:val="0"/>
        <w:keepLines w:val="0"/>
        <w:widowControl w:val="0"/>
        <w:shd w:val="clear" w:color="auto" w:fill="auto"/>
        <w:bidi w:val="0"/>
        <w:spacing w:before="0" w:after="280" w:line="240" w:lineRule="auto"/>
        <w:ind w:left="0" w:right="0" w:firstLine="0"/>
        <w:jc w:val="left"/>
      </w:pPr>
      <w:bookmarkStart w:id="18" w:name="bookmark18"/>
      <w:r>
        <w:rPr>
          <w:rFonts w:ascii="Times New Roman" w:eastAsia="Times New Roman" w:hAnsi="Times New Roman" w:cs="Times New Roman"/>
          <w:color w:val="000000"/>
          <w:spacing w:val="0"/>
          <w:w w:val="100"/>
          <w:position w:val="0"/>
        </w:rPr>
        <w:t>4</w:t>
      </w:r>
      <w:r>
        <w:rPr>
          <w:b/>
          <w:bCs/>
          <w:color w:val="000000"/>
          <w:spacing w:val="0"/>
          <w:w w:val="100"/>
          <w:position w:val="0"/>
        </w:rPr>
        <w:t>安全评估条件</w:t>
      </w:r>
      <w:bookmarkEnd w:id="18"/>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施工升降机有下列情形之一，宜进行施工升降机安全评估：</w:t>
      </w:r>
    </w:p>
    <w:p>
      <w:pPr>
        <w:pStyle w:val="Bodytext10"/>
        <w:keepNext w:val="0"/>
        <w:keepLines w:val="0"/>
        <w:widowControl w:val="0"/>
        <w:shd w:val="clear" w:color="auto" w:fill="auto"/>
        <w:tabs>
          <w:tab w:val="left" w:pos="827"/>
        </w:tabs>
        <w:bidi w:val="0"/>
        <w:spacing w:before="0" w:after="0" w:line="317" w:lineRule="exact"/>
        <w:ind w:left="0" w:right="0" w:firstLine="440"/>
        <w:jc w:val="left"/>
      </w:pPr>
      <w:bookmarkStart w:id="19" w:name="bookmark19"/>
      <w:r>
        <w:rPr>
          <w:rFonts w:ascii="Times New Roman" w:eastAsia="Times New Roman" w:hAnsi="Times New Roman" w:cs="Times New Roman"/>
          <w:color w:val="000000"/>
          <w:spacing w:val="0"/>
          <w:w w:val="100"/>
          <w:position w:val="0"/>
          <w:lang w:val="en-US" w:eastAsia="en-US" w:bidi="en-US"/>
        </w:rPr>
        <w:t>a</w:t>
      </w:r>
      <w:bookmarkEnd w:id="1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使用期限超过八年的；</w:t>
      </w:r>
    </w:p>
    <w:p>
      <w:pPr>
        <w:pStyle w:val="Bodytext10"/>
        <w:keepNext w:val="0"/>
        <w:keepLines w:val="0"/>
        <w:widowControl w:val="0"/>
        <w:shd w:val="clear" w:color="auto" w:fill="auto"/>
        <w:tabs>
          <w:tab w:val="left" w:pos="827"/>
        </w:tabs>
        <w:bidi w:val="0"/>
        <w:spacing w:before="0" w:after="0" w:line="317" w:lineRule="exact"/>
        <w:ind w:left="0" w:right="0" w:firstLine="440"/>
        <w:jc w:val="left"/>
      </w:pPr>
      <w:bookmarkStart w:id="20" w:name="bookmark20"/>
      <w:r>
        <w:rPr>
          <w:rFonts w:ascii="Times New Roman" w:eastAsia="Times New Roman" w:hAnsi="Times New Roman" w:cs="Times New Roman"/>
          <w:color w:val="000000"/>
          <w:spacing w:val="0"/>
          <w:w w:val="100"/>
          <w:position w:val="0"/>
          <w:lang w:val="en-US" w:eastAsia="en-US" w:bidi="en-US"/>
        </w:rPr>
        <w:t>b</w:t>
      </w:r>
      <w:bookmarkEnd w:id="2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设备经改造、重大修理的；</w:t>
      </w:r>
    </w:p>
    <w:p>
      <w:pPr>
        <w:pStyle w:val="Bodytext10"/>
        <w:keepNext w:val="0"/>
        <w:keepLines w:val="0"/>
        <w:widowControl w:val="0"/>
        <w:shd w:val="clear" w:color="auto" w:fill="auto"/>
        <w:tabs>
          <w:tab w:val="left" w:pos="827"/>
        </w:tabs>
        <w:bidi w:val="0"/>
        <w:spacing w:before="0" w:after="0" w:line="317" w:lineRule="exact"/>
        <w:ind w:left="0" w:right="0" w:firstLine="440"/>
        <w:jc w:val="left"/>
      </w:pPr>
      <w:bookmarkStart w:id="21" w:name="bookmark21"/>
      <w:r>
        <w:rPr>
          <w:rFonts w:ascii="Times New Roman" w:eastAsia="Times New Roman" w:hAnsi="Times New Roman" w:cs="Times New Roman"/>
          <w:color w:val="000000"/>
          <w:spacing w:val="0"/>
          <w:w w:val="100"/>
          <w:position w:val="0"/>
          <w:lang w:val="en-US" w:eastAsia="en-US" w:bidi="en-US"/>
        </w:rPr>
        <w:t>c</w:t>
      </w:r>
      <w:bookmarkEnd w:id="2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施工升降机故障率高，影响施工升降机正常运行的；</w:t>
      </w:r>
    </w:p>
    <w:p>
      <w:pPr>
        <w:pStyle w:val="Bodytext10"/>
        <w:keepNext w:val="0"/>
        <w:keepLines w:val="0"/>
        <w:widowControl w:val="0"/>
        <w:shd w:val="clear" w:color="auto" w:fill="auto"/>
        <w:tabs>
          <w:tab w:val="left" w:pos="827"/>
        </w:tabs>
        <w:bidi w:val="0"/>
        <w:spacing w:before="0" w:after="0" w:line="317" w:lineRule="exact"/>
        <w:ind w:left="0" w:right="0" w:firstLine="440"/>
        <w:jc w:val="left"/>
      </w:pPr>
      <w:bookmarkStart w:id="22" w:name="bookmark22"/>
      <w:r>
        <w:rPr>
          <w:rFonts w:ascii="Times New Roman" w:eastAsia="Times New Roman" w:hAnsi="Times New Roman" w:cs="Times New Roman"/>
          <w:color w:val="000000"/>
          <w:spacing w:val="0"/>
          <w:w w:val="100"/>
          <w:position w:val="0"/>
          <w:lang w:val="en-US" w:eastAsia="en-US" w:bidi="en-US"/>
        </w:rPr>
        <w:t>d</w:t>
      </w:r>
      <w:bookmarkEnd w:id="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施工升降机发生事故后，需要确认的；</w:t>
      </w:r>
    </w:p>
    <w:p>
      <w:pPr>
        <w:pStyle w:val="Bodytext10"/>
        <w:keepNext w:val="0"/>
        <w:keepLines w:val="0"/>
        <w:widowControl w:val="0"/>
        <w:shd w:val="clear" w:color="auto" w:fill="auto"/>
        <w:tabs>
          <w:tab w:val="left" w:pos="827"/>
        </w:tabs>
        <w:bidi w:val="0"/>
        <w:spacing w:before="0" w:after="0" w:line="317" w:lineRule="exact"/>
        <w:ind w:left="0" w:right="0" w:firstLine="440"/>
        <w:jc w:val="left"/>
      </w:pPr>
      <w:bookmarkStart w:id="23" w:name="bookmark23"/>
      <w:r>
        <w:rPr>
          <w:rFonts w:ascii="Times New Roman" w:eastAsia="Times New Roman" w:hAnsi="Times New Roman" w:cs="Times New Roman"/>
          <w:color w:val="000000"/>
          <w:spacing w:val="0"/>
          <w:w w:val="100"/>
          <w:position w:val="0"/>
          <w:lang w:val="en-US" w:eastAsia="en-US" w:bidi="en-US"/>
        </w:rPr>
        <w:t>e</w:t>
      </w:r>
      <w:bookmarkEnd w:id="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重大自然灾害发生，造成设备损坏的；</w:t>
      </w:r>
    </w:p>
    <w:p>
      <w:pPr>
        <w:pStyle w:val="Bodytext10"/>
        <w:keepNext w:val="0"/>
        <w:keepLines w:val="0"/>
        <w:widowControl w:val="0"/>
        <w:shd w:val="clear" w:color="auto" w:fill="auto"/>
        <w:tabs>
          <w:tab w:val="left" w:pos="827"/>
        </w:tabs>
        <w:bidi w:val="0"/>
        <w:spacing w:before="0" w:after="0" w:line="317" w:lineRule="exact"/>
        <w:ind w:left="0" w:right="0" w:firstLine="440"/>
        <w:jc w:val="left"/>
      </w:pPr>
      <w:bookmarkStart w:id="24" w:name="bookmark24"/>
      <w:r>
        <w:rPr>
          <w:rFonts w:ascii="Times New Roman" w:eastAsia="Times New Roman" w:hAnsi="Times New Roman" w:cs="Times New Roman"/>
          <w:color w:val="000000"/>
          <w:spacing w:val="0"/>
          <w:w w:val="100"/>
          <w:position w:val="0"/>
          <w:lang w:val="en-US" w:eastAsia="en-US" w:bidi="en-US"/>
        </w:rPr>
        <w:t>f</w:t>
      </w:r>
      <w:bookmarkEnd w:id="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用户需要，要求安全评估的。</w:t>
      </w:r>
    </w:p>
    <w:p>
      <w:pPr>
        <w:pStyle w:val="Bodytext10"/>
        <w:keepNext w:val="0"/>
        <w:keepLines w:val="0"/>
        <w:widowControl w:val="0"/>
        <w:shd w:val="clear" w:color="auto" w:fill="auto"/>
        <w:tabs>
          <w:tab w:val="left" w:pos="827"/>
        </w:tabs>
        <w:bidi w:val="0"/>
        <w:spacing w:before="0" w:after="60" w:line="317" w:lineRule="exact"/>
        <w:ind w:left="0" w:right="0" w:firstLine="440"/>
        <w:jc w:val="left"/>
      </w:pPr>
      <w:bookmarkStart w:id="25" w:name="bookmark25"/>
      <w:r>
        <w:rPr>
          <w:rFonts w:ascii="Times New Roman" w:eastAsia="Times New Roman" w:hAnsi="Times New Roman" w:cs="Times New Roman"/>
          <w:color w:val="000000"/>
          <w:spacing w:val="0"/>
          <w:w w:val="100"/>
          <w:position w:val="0"/>
          <w:lang w:val="en-US" w:eastAsia="en-US" w:bidi="en-US"/>
        </w:rPr>
        <w:t>g</w:t>
      </w:r>
      <w:bookmarkEnd w:id="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施工升降机采取降低风险措施后，对存在风险的项目再安全评估；</w:t>
      </w:r>
    </w:p>
    <w:p>
      <w:pPr>
        <w:pStyle w:val="Bodytext10"/>
        <w:keepNext w:val="0"/>
        <w:keepLines w:val="0"/>
        <w:widowControl w:val="0"/>
        <w:shd w:val="clear" w:color="auto" w:fill="auto"/>
        <w:tabs>
          <w:tab w:val="left" w:pos="827"/>
        </w:tabs>
        <w:bidi w:val="0"/>
        <w:spacing w:before="0" w:after="0" w:line="331" w:lineRule="auto"/>
        <w:ind w:left="0" w:right="0" w:firstLine="440"/>
        <w:jc w:val="left"/>
      </w:pPr>
      <w:bookmarkStart w:id="26" w:name="bookmark26"/>
      <w:r>
        <w:rPr>
          <w:rFonts w:ascii="Times New Roman" w:eastAsia="Times New Roman" w:hAnsi="Times New Roman" w:cs="Times New Roman"/>
          <w:color w:val="000000"/>
          <w:spacing w:val="0"/>
          <w:w w:val="100"/>
          <w:position w:val="0"/>
          <w:lang w:val="en-US" w:eastAsia="en-US" w:bidi="en-US"/>
        </w:rPr>
        <w:t>h</w:t>
      </w:r>
      <w:bookmarkEnd w:id="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其它情况。</w:t>
      </w:r>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安全评估机构接受委托后，应组成评估组。评估组由二人以上（含二人）施工升降机检验人员或 施工升降机技术专家组成,组长应具有从事五年以上的施工升降机检验工作经验的检验师或从事施工升 降机技术工作的高级工程师及以上资格人员担任，组员应具有从事三年以上与施工升降机相关检验检测 或三年以上施工升降机专业技术工作的经历。</w:t>
      </w:r>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被评估单位应配合安全评估工作，并提供施工升降机技术档案、管理资料、部件更换、修理、改 造等信息。</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安全评估机构应制定施工升降机安全评估作业指导书，作业指导书项目不少于附录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的内容，评 估机构可根据施</w:t>
      </w:r>
      <w:r>
        <w:rPr>
          <w:color w:val="1D2025"/>
          <w:spacing w:val="0"/>
          <w:w w:val="100"/>
          <w:position w:val="0"/>
        </w:rPr>
        <w:t>工升降</w:t>
      </w:r>
      <w:r>
        <w:rPr>
          <w:color w:val="434952"/>
          <w:spacing w:val="0"/>
          <w:w w:val="100"/>
          <w:position w:val="0"/>
        </w:rPr>
        <w:t>机特点</w:t>
      </w:r>
      <w:r>
        <w:rPr>
          <w:color w:val="1D2025"/>
          <w:spacing w:val="0"/>
          <w:w w:val="100"/>
          <w:position w:val="0"/>
        </w:rPr>
        <w:t>适当增</w:t>
      </w:r>
      <w:r>
        <w:rPr>
          <w:color w:val="000000"/>
          <w:spacing w:val="0"/>
          <w:w w:val="100"/>
          <w:position w:val="0"/>
        </w:rPr>
        <w:t>加评估项目。</w:t>
      </w:r>
    </w:p>
    <w:p>
      <w:pPr>
        <w:pStyle w:val="Bodytext10"/>
        <w:keepNext w:val="0"/>
        <w:keepLines w:val="0"/>
        <w:widowControl w:val="0"/>
        <w:shd w:val="clear" w:color="auto" w:fill="auto"/>
        <w:bidi w:val="0"/>
        <w:spacing w:before="0" w:after="380" w:line="317" w:lineRule="exact"/>
        <w:ind w:left="0" w:right="0" w:firstLine="0"/>
        <w:jc w:val="left"/>
      </w:pPr>
      <w:bookmarkStart w:id="27" w:name="bookmark27"/>
      <w:r>
        <w:rPr>
          <w:rFonts w:ascii="Times New Roman" w:eastAsia="Times New Roman" w:hAnsi="Times New Roman" w:cs="Times New Roman"/>
          <w:color w:val="000000"/>
          <w:spacing w:val="0"/>
          <w:w w:val="100"/>
          <w:position w:val="0"/>
          <w:lang w:val="en-US" w:eastAsia="en-US" w:bidi="en-US"/>
        </w:rPr>
        <w:t>4.5</w:t>
      </w:r>
      <w:r>
        <w:rPr>
          <w:color w:val="000000"/>
          <w:spacing w:val="0"/>
          <w:w w:val="100"/>
          <w:position w:val="0"/>
        </w:rPr>
        <w:t>安全评估机构应</w:t>
      </w:r>
      <w:r>
        <w:rPr>
          <w:color w:val="1D2025"/>
          <w:spacing w:val="0"/>
          <w:w w:val="100"/>
          <w:position w:val="0"/>
        </w:rPr>
        <w:t>配畚满</w:t>
      </w:r>
      <w:r>
        <w:rPr>
          <w:color w:val="434952"/>
          <w:spacing w:val="0"/>
          <w:w w:val="100"/>
          <w:position w:val="0"/>
        </w:rPr>
        <w:t>足开展</w:t>
      </w:r>
      <w:r>
        <w:rPr>
          <w:color w:val="1D2025"/>
          <w:spacing w:val="0"/>
          <w:w w:val="100"/>
          <w:position w:val="0"/>
        </w:rPr>
        <w:t>施工升</w:t>
      </w:r>
      <w:r>
        <w:rPr>
          <w:color w:val="000000"/>
          <w:spacing w:val="0"/>
          <w:w w:val="100"/>
          <w:position w:val="0"/>
        </w:rPr>
        <w:t>降机安全评估工作必要的检测仪器设备。</w:t>
      </w:r>
      <w:bookmarkEnd w:id="27"/>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rPr>
        <w:t>5</w:t>
      </w:r>
      <w:r>
        <w:rPr>
          <w:b/>
          <w:bCs/>
          <w:color w:val="000000"/>
          <w:spacing w:val="0"/>
          <w:w w:val="100"/>
          <w:position w:val="0"/>
        </w:rPr>
        <w:t>评估程序</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rPr>
        <w:t>1</w:t>
      </w:r>
      <w:r>
        <w:rPr>
          <w:b/>
          <w:bCs/>
          <w:color w:val="000000"/>
          <w:spacing w:val="0"/>
          <w:w w:val="100"/>
          <w:position w:val="0"/>
        </w:rPr>
        <w:t>组成评估组</w:t>
      </w:r>
    </w:p>
    <w:p>
      <w:pPr>
        <w:pStyle w:val="Bodytext10"/>
        <w:keepNext w:val="0"/>
        <w:keepLines w:val="0"/>
        <w:widowControl w:val="0"/>
        <w:shd w:val="clear" w:color="auto" w:fill="auto"/>
        <w:bidi w:val="0"/>
        <w:spacing w:before="0" w:after="220" w:line="317" w:lineRule="exact"/>
        <w:ind w:left="0" w:right="0" w:firstLine="440"/>
        <w:jc w:val="left"/>
      </w:pPr>
      <w:r>
        <w:rPr>
          <w:color w:val="000000"/>
          <w:spacing w:val="0"/>
          <w:w w:val="100"/>
          <w:position w:val="0"/>
        </w:rPr>
        <w:t>安全评估机构应组成评估组，确定评估组组长。</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5.2</w:t>
      </w:r>
      <w:r>
        <w:rPr>
          <w:b/>
          <w:bCs/>
          <w:color w:val="000000"/>
          <w:spacing w:val="0"/>
          <w:w w:val="100"/>
          <w:position w:val="0"/>
        </w:rPr>
        <w:t>评估前期准备工作</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w:t>
      </w:r>
      <w:r>
        <w:rPr>
          <w:rFonts w:ascii="Times New Roman" w:eastAsia="Times New Roman" w:hAnsi="Times New Roman" w:cs="Times New Roman"/>
          <w:color w:val="000000"/>
          <w:spacing w:val="0"/>
          <w:w w:val="100"/>
          <w:position w:val="0"/>
        </w:rPr>
        <w:t>1</w:t>
      </w:r>
      <w:r>
        <w:rPr>
          <w:color w:val="000000"/>
          <w:spacing w:val="0"/>
          <w:w w:val="100"/>
          <w:position w:val="0"/>
        </w:rPr>
        <w:t>安全评估机构查阅被评估单位提供材料，了解相关信息，与被评估</w:t>
      </w:r>
      <w:r>
        <w:rPr>
          <w:color w:val="1D2025"/>
          <w:spacing w:val="0"/>
          <w:w w:val="100"/>
          <w:position w:val="0"/>
        </w:rPr>
        <w:t>单位沟</w:t>
      </w:r>
      <w:r>
        <w:rPr>
          <w:color w:val="000000"/>
          <w:spacing w:val="0"/>
          <w:w w:val="100"/>
          <w:position w:val="0"/>
        </w:rPr>
        <w:t>通是否需进一步补充 资料。</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w:t>
      </w:r>
      <w:r>
        <w:rPr>
          <w:rFonts w:ascii="Times New Roman" w:eastAsia="Times New Roman" w:hAnsi="Times New Roman" w:cs="Times New Roman"/>
          <w:color w:val="000000"/>
          <w:spacing w:val="0"/>
          <w:w w:val="100"/>
          <w:position w:val="0"/>
        </w:rPr>
        <w:t>2</w:t>
      </w:r>
      <w:r>
        <w:rPr>
          <w:color w:val="000000"/>
          <w:spacing w:val="0"/>
          <w:w w:val="100"/>
          <w:position w:val="0"/>
        </w:rPr>
        <w:t>安全评估机构应与被评估单位协商确定除附录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外的安全评估项目。评估组应采用安全评估机 构制定的作业指导书开展安全评估，如有特殊情况应制定（或部分项目制定）专项安全评估方案。</w:t>
      </w:r>
    </w:p>
    <w:p>
      <w:pPr>
        <w:pStyle w:val="Bodytext10"/>
        <w:keepNext w:val="0"/>
        <w:keepLines w:val="0"/>
        <w:widowControl w:val="0"/>
        <w:shd w:val="clear" w:color="auto" w:fill="auto"/>
        <w:bidi w:val="0"/>
        <w:spacing w:before="0" w:after="14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5.2.3</w:t>
      </w:r>
      <w:r>
        <w:rPr>
          <w:color w:val="000000"/>
          <w:spacing w:val="0"/>
          <w:w w:val="100"/>
          <w:position w:val="0"/>
        </w:rPr>
        <w:t>安全评估机构应做好安全评估前的准备工作，包括准备评估仪器设备、评估记录表格和相关资 料等。</w:t>
      </w:r>
    </w:p>
    <w:p>
      <w:pPr>
        <w:pStyle w:val="Bodytext10"/>
        <w:keepNext w:val="0"/>
        <w:keepLines w:val="0"/>
        <w:widowControl w:val="0"/>
        <w:shd w:val="clear" w:color="auto" w:fill="auto"/>
        <w:bidi w:val="0"/>
        <w:spacing w:before="0" w:after="0" w:line="317" w:lineRule="exact"/>
        <w:ind w:left="0" w:right="0" w:firstLine="0"/>
        <w:jc w:val="left"/>
        <w:sectPr>
          <w:headerReference w:type="even" r:id="rId15"/>
          <w:headerReference w:type="default" r:id="rId16"/>
          <w:footerReference w:type="even" r:id="rId17"/>
          <w:footerReference w:type="default" r:id="rId18"/>
          <w:type w:val="nextPage"/>
          <w:pgSz w:w="11900" w:h="16840"/>
          <w:pgMar w:top="1974" w:right="1131" w:bottom="1595" w:left="1259" w:header="0" w:footer="3" w:gutter="0"/>
          <w:pgNumType w:start="2"/>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5.2.4</w:t>
      </w:r>
      <w:r>
        <w:rPr>
          <w:color w:val="000000"/>
          <w:spacing w:val="0"/>
          <w:w w:val="100"/>
          <w:position w:val="0"/>
        </w:rPr>
        <w:t>被评估单位应做好安全评估前的准备工作，包括准备技术资料，完成设备解体工作等。</w:t>
      </w:r>
    </w:p>
    <w:p>
      <w:pPr>
        <w:pStyle w:val="Bodytext10"/>
        <w:keepNext w:val="0"/>
        <w:keepLines w:val="0"/>
        <w:widowControl w:val="0"/>
        <w:shd w:val="clear" w:color="auto" w:fill="auto"/>
        <w:bidi w:val="0"/>
        <w:spacing w:before="0" w:after="0" w:line="317" w:lineRule="exact"/>
        <w:ind w:left="0" w:right="0" w:firstLine="440"/>
        <w:jc w:val="both"/>
      </w:pPr>
      <w:r>
        <w:rPr>
          <w:color w:val="000000"/>
          <w:spacing w:val="0"/>
          <w:w w:val="100"/>
          <w:position w:val="0"/>
        </w:rPr>
        <w:t>被评估单位需准备的技术资料包括产品使用说明书，图纸（包括产品总图、电气原理图、液压原理 图等）、质量合格证明、铭牌、使用记录、维修保养记录以及事故记录等。</w:t>
      </w:r>
    </w:p>
    <w:p>
      <w:pPr>
        <w:pStyle w:val="Bodytext10"/>
        <w:keepNext w:val="0"/>
        <w:keepLines w:val="0"/>
        <w:widowControl w:val="0"/>
        <w:shd w:val="clear" w:color="auto" w:fill="auto"/>
        <w:bidi w:val="0"/>
        <w:spacing w:before="0" w:after="0" w:line="317" w:lineRule="exact"/>
        <w:ind w:left="0" w:right="0" w:firstLine="440"/>
        <w:jc w:val="both"/>
      </w:pPr>
      <w:r>
        <w:rPr>
          <w:color w:val="000000"/>
          <w:spacing w:val="0"/>
          <w:w w:val="100"/>
          <w:position w:val="0"/>
        </w:rPr>
        <w:t>被评估单位的设备解体工作包括：</w:t>
      </w:r>
    </w:p>
    <w:p>
      <w:pPr>
        <w:pStyle w:val="Bodytext10"/>
        <w:keepNext w:val="0"/>
        <w:keepLines w:val="0"/>
        <w:widowControl w:val="0"/>
        <w:shd w:val="clear" w:color="auto" w:fill="auto"/>
        <w:tabs>
          <w:tab w:val="left" w:pos="807"/>
        </w:tabs>
        <w:bidi w:val="0"/>
        <w:spacing w:before="0" w:after="0" w:line="317" w:lineRule="exact"/>
        <w:ind w:left="0" w:right="0" w:firstLine="420"/>
        <w:jc w:val="left"/>
      </w:pPr>
      <w:bookmarkStart w:id="28" w:name="bookmark28"/>
      <w:r>
        <w:rPr>
          <w:rFonts w:ascii="Times New Roman" w:eastAsia="Times New Roman" w:hAnsi="Times New Roman" w:cs="Times New Roman"/>
          <w:color w:val="000000"/>
          <w:spacing w:val="0"/>
          <w:w w:val="100"/>
          <w:position w:val="0"/>
          <w:lang w:val="en-US" w:eastAsia="en-US" w:bidi="en-US"/>
        </w:rPr>
        <w:t>a</w:t>
      </w:r>
      <w:bookmarkEnd w:id="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评估前应将导轨架、吊笼、底架、附着架等结构件连接拆开，并分开放置；</w:t>
      </w:r>
    </w:p>
    <w:p>
      <w:pPr>
        <w:pStyle w:val="Bodytext10"/>
        <w:keepNext w:val="0"/>
        <w:keepLines w:val="0"/>
        <w:widowControl w:val="0"/>
        <w:shd w:val="clear" w:color="auto" w:fill="auto"/>
        <w:tabs>
          <w:tab w:val="left" w:pos="807"/>
        </w:tabs>
        <w:bidi w:val="0"/>
        <w:spacing w:before="0" w:after="0" w:line="317" w:lineRule="exact"/>
        <w:ind w:left="0" w:right="0" w:firstLine="420"/>
        <w:jc w:val="left"/>
      </w:pPr>
      <w:bookmarkStart w:id="29" w:name="bookmark29"/>
      <w:r>
        <w:rPr>
          <w:rFonts w:ascii="Times New Roman" w:eastAsia="Times New Roman" w:hAnsi="Times New Roman" w:cs="Times New Roman"/>
          <w:color w:val="000000"/>
          <w:spacing w:val="0"/>
          <w:w w:val="100"/>
          <w:position w:val="0"/>
          <w:lang w:val="en-US" w:eastAsia="en-US" w:bidi="en-US"/>
        </w:rPr>
        <w:t>b</w:t>
      </w:r>
      <w:bookmarkEnd w:id="2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销轴和高强度螺栓等从结构上拆下；</w:t>
      </w:r>
    </w:p>
    <w:p>
      <w:pPr>
        <w:pStyle w:val="Bodytext10"/>
        <w:keepNext w:val="0"/>
        <w:keepLines w:val="0"/>
        <w:widowControl w:val="0"/>
        <w:shd w:val="clear" w:color="auto" w:fill="auto"/>
        <w:tabs>
          <w:tab w:val="left" w:pos="807"/>
        </w:tabs>
        <w:bidi w:val="0"/>
        <w:spacing w:before="0" w:after="220" w:line="317" w:lineRule="exact"/>
        <w:ind w:left="0" w:right="0" w:firstLine="420"/>
        <w:jc w:val="left"/>
      </w:pPr>
      <w:bookmarkStart w:id="30" w:name="bookmark30"/>
      <w:r>
        <w:rPr>
          <w:rFonts w:ascii="Times New Roman" w:eastAsia="Times New Roman" w:hAnsi="Times New Roman" w:cs="Times New Roman"/>
          <w:color w:val="000000"/>
          <w:spacing w:val="0"/>
          <w:w w:val="100"/>
          <w:position w:val="0"/>
          <w:lang w:val="en-US" w:eastAsia="en-US" w:bidi="en-US"/>
        </w:rPr>
        <w:t>c</w:t>
      </w:r>
      <w:bookmarkEnd w:id="3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各机构、电控柜、吊笼置于方便检查的位置，上面不得摆放其他物品。</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5.3</w:t>
      </w:r>
      <w:r>
        <w:rPr>
          <w:b/>
          <w:bCs/>
          <w:color w:val="000000"/>
          <w:spacing w:val="0"/>
          <w:w w:val="100"/>
          <w:position w:val="0"/>
        </w:rPr>
        <w:t>现场安全评估</w:t>
      </w:r>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5.3.1</w:t>
      </w:r>
      <w:r>
        <w:rPr>
          <w:color w:val="000000"/>
          <w:spacing w:val="0"/>
          <w:w w:val="100"/>
          <w:position w:val="0"/>
        </w:rPr>
        <w:t>评估组到达被评估设备的现场后，首先应与被评估单位进行会议沟通，通报安全评估的依据、 程序、方法和配合事宜等。</w:t>
      </w:r>
    </w:p>
    <w:p>
      <w:pPr>
        <w:pStyle w:val="Bodytext10"/>
        <w:keepNext w:val="0"/>
        <w:keepLines w:val="0"/>
        <w:widowControl w:val="0"/>
        <w:shd w:val="clear" w:color="auto" w:fill="auto"/>
        <w:bidi w:val="0"/>
        <w:spacing w:before="0" w:after="22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5.3.2</w:t>
      </w:r>
      <w:r>
        <w:rPr>
          <w:color w:val="000000"/>
          <w:spacing w:val="0"/>
          <w:w w:val="100"/>
          <w:position w:val="0"/>
        </w:rPr>
        <w:t>评估组应根据安全评估作业指导书或专项评估方案实施安全评估，完成安全评估记录，格式见 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5.4</w:t>
      </w:r>
      <w:r>
        <w:rPr>
          <w:b/>
          <w:bCs/>
          <w:color w:val="000000"/>
          <w:spacing w:val="0"/>
          <w:w w:val="100"/>
          <w:position w:val="0"/>
        </w:rPr>
        <w:t>风险识别、分析和评定</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基于安全评估记录，评估组对各安全评估项目进行风险识别，对各项目和系统的风险进行分析、评 定。</w:t>
      </w:r>
    </w:p>
    <w:p>
      <w:pPr>
        <w:pStyle w:val="Bodytext10"/>
        <w:keepNext w:val="0"/>
        <w:keepLines w:val="0"/>
        <w:widowControl w:val="0"/>
        <w:shd w:val="clear" w:color="auto" w:fill="auto"/>
        <w:bidi w:val="0"/>
        <w:spacing w:before="0" w:after="3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5.5</w:t>
      </w:r>
      <w:r>
        <w:rPr>
          <w:b/>
          <w:bCs/>
          <w:color w:val="000000"/>
          <w:spacing w:val="0"/>
          <w:w w:val="100"/>
          <w:position w:val="0"/>
        </w:rPr>
        <w:t>安全评估结论</w:t>
      </w:r>
    </w:p>
    <w:p>
      <w:pPr>
        <w:pStyle w:val="Bodytext10"/>
        <w:keepNext w:val="0"/>
        <w:keepLines w:val="0"/>
        <w:widowControl w:val="0"/>
        <w:shd w:val="clear" w:color="auto" w:fill="auto"/>
        <w:bidi w:val="0"/>
        <w:spacing w:before="0" w:after="380" w:line="293" w:lineRule="exact"/>
        <w:ind w:left="0" w:right="0" w:firstLine="440"/>
        <w:jc w:val="both"/>
      </w:pPr>
      <w:r>
        <w:rPr>
          <w:color w:val="000000"/>
          <w:spacing w:val="0"/>
          <w:w w:val="100"/>
          <w:position w:val="0"/>
        </w:rPr>
        <w:t>根据各项目的评定结果，确定施工升降机安全评估结论。安全评估结论分为</w:t>
      </w:r>
      <w:r>
        <w:rPr>
          <w:rFonts w:ascii="Times New Roman" w:eastAsia="Times New Roman" w:hAnsi="Times New Roman" w:cs="Times New Roman"/>
          <w:color w:val="000000"/>
          <w:spacing w:val="0"/>
          <w:w w:val="100"/>
          <w:position w:val="0"/>
        </w:rPr>
        <w:t>I</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II</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III</w:t>
      </w:r>
      <w:r>
        <w:rPr>
          <w:color w:val="000000"/>
          <w:spacing w:val="0"/>
          <w:w w:val="100"/>
          <w:position w:val="0"/>
        </w:rPr>
        <w:t>級，详见附 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rPr>
        <w:t>6</w:t>
      </w:r>
      <w:r>
        <w:rPr>
          <w:b/>
          <w:bCs/>
          <w:color w:val="000000"/>
          <w:spacing w:val="0"/>
          <w:w w:val="100"/>
          <w:position w:val="0"/>
        </w:rPr>
        <w:t>编制施工升降机安全评估报告</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5. 6. </w:t>
      </w:r>
      <w:r>
        <w:rPr>
          <w:rFonts w:ascii="Times New Roman" w:eastAsia="Times New Roman" w:hAnsi="Times New Roman" w:cs="Times New Roman"/>
          <w:color w:val="000000"/>
          <w:spacing w:val="0"/>
          <w:w w:val="100"/>
          <w:position w:val="0"/>
        </w:rPr>
        <w:t>1</w:t>
      </w:r>
      <w:r>
        <w:rPr>
          <w:color w:val="000000"/>
          <w:spacing w:val="0"/>
          <w:w w:val="100"/>
          <w:position w:val="0"/>
        </w:rPr>
        <w:t>施工升降机安全评估报告按附录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格式编写。</w:t>
      </w:r>
    </w:p>
    <w:p>
      <w:pPr>
        <w:pStyle w:val="Bodytext10"/>
        <w:keepNext w:val="0"/>
        <w:keepLines w:val="0"/>
        <w:widowControl w:val="0"/>
        <w:shd w:val="clear" w:color="auto" w:fill="auto"/>
        <w:bidi w:val="0"/>
        <w:spacing w:before="0" w:after="22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5. 6. </w:t>
      </w:r>
      <w:r>
        <w:rPr>
          <w:rFonts w:ascii="Times New Roman" w:eastAsia="Times New Roman" w:hAnsi="Times New Roman" w:cs="Times New Roman"/>
          <w:color w:val="000000"/>
          <w:spacing w:val="0"/>
          <w:w w:val="100"/>
          <w:position w:val="0"/>
        </w:rPr>
        <w:t>2</w:t>
      </w:r>
      <w:r>
        <w:rPr>
          <w:color w:val="000000"/>
          <w:spacing w:val="0"/>
          <w:w w:val="100"/>
          <w:position w:val="0"/>
        </w:rPr>
        <w:t>安全评估的建议内容是各安全评估项目或系统的实际情况的真实体现，文字描述应简洁、准确， 并对风险项目存在的风险给予提示。</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5.7</w:t>
      </w:r>
      <w:r>
        <w:rPr>
          <w:b/>
          <w:bCs/>
          <w:color w:val="000000"/>
          <w:spacing w:val="0"/>
          <w:w w:val="100"/>
          <w:position w:val="0"/>
        </w:rPr>
        <w:t>报告出具</w:t>
      </w:r>
    </w:p>
    <w:p>
      <w:pPr>
        <w:pStyle w:val="Bodytext10"/>
        <w:keepNext w:val="0"/>
        <w:keepLines w:val="0"/>
        <w:widowControl w:val="0"/>
        <w:shd w:val="clear" w:color="auto" w:fill="auto"/>
        <w:bidi w:val="0"/>
        <w:spacing w:before="0" w:after="220" w:line="307" w:lineRule="exact"/>
        <w:ind w:left="0" w:right="0" w:firstLine="440"/>
        <w:jc w:val="both"/>
        <w:sectPr>
          <w:headerReference w:type="even" r:id="rId19"/>
          <w:headerReference w:type="default" r:id="rId20"/>
          <w:footerReference w:type="even" r:id="rId21"/>
          <w:footerReference w:type="default" r:id="rId22"/>
          <w:type w:val="nextPage"/>
          <w:pgSz w:w="11900" w:h="16840"/>
          <w:pgMar w:top="1974" w:right="1131" w:bottom="1595" w:left="1259" w:header="0" w:footer="3" w:gutter="0"/>
          <w:pgNumType w:start="3"/>
          <w:cols w:space="720"/>
          <w:noEndnote/>
          <w:titlePg w:val="0"/>
          <w:rtlGutter w:val="0"/>
          <w:docGrid w:linePitch="360"/>
        </w:sectPr>
      </w:pPr>
      <w:r>
        <w:rPr>
          <w:color w:val="000000"/>
          <w:spacing w:val="0"/>
          <w:w w:val="100"/>
          <w:position w:val="0"/>
        </w:rPr>
        <w:t>施工升降机安全评估报告应有评估组组长、成员签字，经安全评估机构技术负责人或授权签字人签 字，加盖安全评估机构安全评估专用章</w:t>
      </w:r>
      <w:r>
        <w:rPr>
          <w:color w:val="434952"/>
          <w:spacing w:val="0"/>
          <w:w w:val="100"/>
          <w:position w:val="0"/>
        </w:rPr>
        <w:t>或公掌</w:t>
      </w:r>
      <w:r>
        <w:rPr>
          <w:color w:val="000000"/>
          <w:spacing w:val="0"/>
          <w:w w:val="100"/>
          <w:position w:val="0"/>
        </w:rPr>
        <w:t>后，方可岀具。</w:t>
      </w:r>
    </w:p>
    <w:p>
      <w:pPr>
        <w:pStyle w:val="Bodytext20"/>
        <w:keepNext w:val="0"/>
        <w:keepLines w:val="0"/>
        <w:widowControl w:val="0"/>
        <w:shd w:val="clear" w:color="auto" w:fill="auto"/>
        <w:bidi w:val="0"/>
        <w:spacing w:before="0" w:after="60" w:line="240" w:lineRule="auto"/>
        <w:ind w:left="0" w:right="0" w:firstLine="0"/>
        <w:jc w:val="center"/>
      </w:pPr>
      <w:r>
        <w:rPr>
          <w:rFonts w:ascii="SimSun" w:eastAsia="SimSun" w:hAnsi="SimSun" w:cs="SimSun"/>
          <w:b/>
          <w:bCs/>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A</w:t>
      </w:r>
    </w:p>
    <w:p>
      <w:pPr>
        <w:pStyle w:val="Bodytext10"/>
        <w:keepNext w:val="0"/>
        <w:keepLines w:val="0"/>
        <w:widowControl w:val="0"/>
        <w:shd w:val="clear" w:color="auto" w:fill="auto"/>
        <w:bidi w:val="0"/>
        <w:spacing w:before="0" w:after="60" w:line="240" w:lineRule="auto"/>
        <w:ind w:left="0" w:right="0" w:firstLine="0"/>
        <w:jc w:val="center"/>
      </w:pPr>
      <w:r>
        <w:rPr>
          <w:b/>
          <w:bCs/>
          <w:color w:val="000000"/>
          <w:spacing w:val="0"/>
          <w:w w:val="100"/>
          <w:position w:val="0"/>
        </w:rPr>
        <w:t>（规范性）</w:t>
      </w:r>
    </w:p>
    <w:p>
      <w:pPr>
        <w:pStyle w:val="Bodytext10"/>
        <w:keepNext w:val="0"/>
        <w:keepLines w:val="0"/>
        <w:widowControl w:val="0"/>
        <w:shd w:val="clear" w:color="auto" w:fill="auto"/>
        <w:bidi w:val="0"/>
        <w:spacing w:before="0" w:after="380" w:line="240" w:lineRule="auto"/>
        <w:ind w:left="0" w:right="0" w:firstLine="0"/>
        <w:jc w:val="center"/>
      </w:pPr>
      <w:r>
        <w:rPr>
          <w:b/>
          <w:bCs/>
          <w:color w:val="000000"/>
          <w:spacing w:val="0"/>
          <w:w w:val="100"/>
          <w:position w:val="0"/>
        </w:rPr>
        <w:t>施工升降机安全评估项目和要求</w:t>
      </w:r>
    </w:p>
    <w:p>
      <w:pPr>
        <w:pStyle w:val="Bodytext10"/>
        <w:keepNext w:val="0"/>
        <w:keepLines w:val="0"/>
        <w:widowControl w:val="0"/>
        <w:shd w:val="clear" w:color="auto" w:fill="auto"/>
        <w:bidi w:val="0"/>
        <w:spacing w:before="0" w:after="380" w:line="240" w:lineRule="auto"/>
        <w:ind w:left="0" w:right="0" w:firstLine="0"/>
        <w:jc w:val="left"/>
      </w:pPr>
      <w:bookmarkStart w:id="31" w:name="bookmark31"/>
      <w:r>
        <w:rPr>
          <w:rFonts w:ascii="Times New Roman" w:eastAsia="Times New Roman" w:hAnsi="Times New Roman" w:cs="Times New Roman"/>
          <w:color w:val="000000"/>
          <w:spacing w:val="0"/>
          <w:w w:val="100"/>
          <w:position w:val="0"/>
          <w:lang w:val="en-US" w:eastAsia="en-US" w:bidi="en-US"/>
        </w:rPr>
        <w:t>A.1</w:t>
      </w:r>
      <w:r>
        <w:rPr>
          <w:b/>
          <w:bCs/>
          <w:color w:val="000000"/>
          <w:spacing w:val="0"/>
          <w:w w:val="100"/>
          <w:position w:val="0"/>
        </w:rPr>
        <w:t>技术文件</w:t>
      </w:r>
      <w:bookmarkEnd w:id="31"/>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A.1.1</w:t>
      </w:r>
      <w:r>
        <w:rPr>
          <w:b/>
          <w:bCs/>
          <w:color w:val="000000"/>
          <w:spacing w:val="0"/>
          <w:w w:val="100"/>
          <w:position w:val="0"/>
        </w:rPr>
        <w:t>制造许可证明文件</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制造许可证明文件有效。</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A.1.2</w:t>
      </w:r>
      <w:r>
        <w:rPr>
          <w:b/>
          <w:bCs/>
          <w:color w:val="000000"/>
          <w:spacing w:val="0"/>
          <w:w w:val="100"/>
          <w:position w:val="0"/>
        </w:rPr>
        <w:t>出厂合格证</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产品岀厂合格证中的主要参数、制造日期与现场设备一致。</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A.1.3</w:t>
      </w:r>
      <w:r>
        <w:rPr>
          <w:b/>
          <w:bCs/>
          <w:color w:val="000000"/>
          <w:spacing w:val="0"/>
          <w:w w:val="100"/>
          <w:position w:val="0"/>
        </w:rPr>
        <w:t>使用说明书</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使用说明书应与被评估设备符合一致，内容完整。</w:t>
      </w:r>
    </w:p>
    <w:p>
      <w:pPr>
        <w:pStyle w:val="Bodytext2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A.1.4 </w:t>
      </w:r>
      <w:r>
        <w:rPr>
          <w:rFonts w:ascii="SimSun" w:eastAsia="SimSun" w:hAnsi="SimSun" w:cs="SimSun"/>
          <w:b/>
          <w:bCs/>
          <w:color w:val="000000"/>
          <w:spacing w:val="0"/>
          <w:w w:val="100"/>
          <w:position w:val="0"/>
          <w:lang w:val="zh-TW" w:eastAsia="zh-TW" w:bidi="zh-TW"/>
        </w:rPr>
        <w:t>基本信息表</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基本信息表填写齐全，内容准确。</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1.5</w:t>
      </w:r>
      <w:r>
        <w:rPr>
          <w:b/>
          <w:bCs/>
          <w:color w:val="000000"/>
          <w:spacing w:val="0"/>
          <w:w w:val="100"/>
          <w:position w:val="0"/>
        </w:rPr>
        <w:t>主要技术参数表</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主要技术参数表填写齐全，内容准确。</w:t>
      </w:r>
    </w:p>
    <w:p>
      <w:pPr>
        <w:pStyle w:val="Bodytext20"/>
        <w:keepNext w:val="0"/>
        <w:keepLines w:val="0"/>
        <w:widowControl w:val="0"/>
        <w:shd w:val="clear" w:color="auto" w:fill="auto"/>
        <w:bidi w:val="0"/>
        <w:spacing w:before="0" w:after="60" w:line="324"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6</w:t>
      </w:r>
      <w:r>
        <w:rPr>
          <w:rFonts w:ascii="SimSun" w:eastAsia="SimSun" w:hAnsi="SimSun" w:cs="SimSun"/>
          <w:b/>
          <w:bCs/>
          <w:color w:val="000000"/>
          <w:spacing w:val="0"/>
          <w:w w:val="100"/>
          <w:position w:val="0"/>
          <w:lang w:val="zh-TW" w:eastAsia="zh-TW" w:bidi="zh-TW"/>
        </w:rPr>
        <w:t>使用记录</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使用记录应与被评估设备符合一致，记录完整。</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1.</w:t>
      </w:r>
      <w:r>
        <w:rPr>
          <w:rFonts w:ascii="Times New Roman" w:eastAsia="Times New Roman" w:hAnsi="Times New Roman" w:cs="Times New Roman"/>
          <w:color w:val="000000"/>
          <w:spacing w:val="0"/>
          <w:w w:val="100"/>
          <w:position w:val="0"/>
        </w:rPr>
        <w:t>7</w:t>
      </w:r>
      <w:r>
        <w:rPr>
          <w:b/>
          <w:bCs/>
          <w:color w:val="000000"/>
          <w:spacing w:val="0"/>
          <w:w w:val="100"/>
          <w:position w:val="0"/>
        </w:rPr>
        <w:t>维修保养记录</w:t>
      </w:r>
    </w:p>
    <w:p>
      <w:pPr>
        <w:pStyle w:val="Bodytext10"/>
        <w:keepNext w:val="0"/>
        <w:keepLines w:val="0"/>
        <w:widowControl w:val="0"/>
        <w:shd w:val="clear" w:color="auto" w:fill="auto"/>
        <w:bidi w:val="0"/>
        <w:spacing w:before="0" w:after="220" w:line="311" w:lineRule="exact"/>
        <w:ind w:left="0" w:right="0" w:firstLine="420"/>
        <w:jc w:val="both"/>
      </w:pPr>
      <w:r>
        <w:rPr>
          <w:color w:val="000000"/>
          <w:spacing w:val="0"/>
          <w:w w:val="100"/>
          <w:position w:val="0"/>
        </w:rPr>
        <w:t>维修保养记录应与被</w:t>
      </w:r>
      <w:r>
        <w:rPr>
          <w:color w:val="1D2025"/>
          <w:spacing w:val="0"/>
          <w:w w:val="100"/>
          <w:position w:val="0"/>
        </w:rPr>
        <w:t>评估设</w:t>
      </w:r>
      <w:r>
        <w:rPr>
          <w:color w:val="434952"/>
          <w:spacing w:val="0"/>
          <w:w w:val="100"/>
          <w:position w:val="0"/>
        </w:rPr>
        <w:t>备符合</w:t>
      </w:r>
      <w:r>
        <w:rPr>
          <w:color w:val="000000"/>
          <w:spacing w:val="0"/>
          <w:w w:val="100"/>
          <w:position w:val="0"/>
        </w:rPr>
        <w:t>一致，记录完整。</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A. 1.</w:t>
      </w:r>
      <w:r>
        <w:rPr>
          <w:rFonts w:ascii="Times New Roman" w:eastAsia="Times New Roman" w:hAnsi="Times New Roman" w:cs="Times New Roman"/>
          <w:color w:val="000000"/>
          <w:spacing w:val="0"/>
          <w:w w:val="100"/>
          <w:position w:val="0"/>
          <w:lang w:val="zh-TW" w:eastAsia="zh-TW" w:bidi="zh-TW"/>
        </w:rPr>
        <w:t>8</w:t>
      </w:r>
      <w:r>
        <w:rPr>
          <w:rFonts w:ascii="SimSun" w:eastAsia="SimSun" w:hAnsi="SimSun" w:cs="SimSun"/>
          <w:b/>
          <w:bCs/>
          <w:color w:val="000000"/>
          <w:spacing w:val="0"/>
          <w:w w:val="100"/>
          <w:position w:val="0"/>
          <w:lang w:val="zh-TW" w:eastAsia="zh-TW" w:bidi="zh-TW"/>
        </w:rPr>
        <w:t>事故记录</w:t>
      </w:r>
    </w:p>
    <w:p>
      <w:pPr>
        <w:pStyle w:val="Bodytext10"/>
        <w:keepNext w:val="0"/>
        <w:keepLines w:val="0"/>
        <w:widowControl w:val="0"/>
        <w:shd w:val="clear" w:color="auto" w:fill="auto"/>
        <w:bidi w:val="0"/>
        <w:spacing w:before="0" w:after="380" w:line="311" w:lineRule="exact"/>
        <w:ind w:left="0" w:right="0" w:firstLine="420"/>
        <w:jc w:val="both"/>
      </w:pPr>
      <w:r>
        <w:rPr>
          <w:color w:val="000000"/>
          <w:spacing w:val="0"/>
          <w:w w:val="100"/>
          <w:position w:val="0"/>
        </w:rPr>
        <w:t>事故记录应与被评估设备符合一致，记录</w:t>
      </w:r>
      <w:r>
        <w:rPr>
          <w:color w:val="434952"/>
          <w:spacing w:val="0"/>
          <w:w w:val="100"/>
          <w:position w:val="0"/>
        </w:rPr>
        <w:t>完整丁</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2</w:t>
      </w:r>
      <w:r>
        <w:rPr>
          <w:b/>
          <w:bCs/>
          <w:color w:val="000000"/>
          <w:spacing w:val="0"/>
          <w:w w:val="100"/>
          <w:position w:val="0"/>
        </w:rPr>
        <w:t>金属结构</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bCs/>
          <w:color w:val="000000"/>
          <w:spacing w:val="0"/>
          <w:w w:val="100"/>
          <w:position w:val="0"/>
          <w:lang w:val="zh-TW" w:eastAsia="zh-TW" w:bidi="zh-TW"/>
        </w:rPr>
        <w:t>裂纹</w:t>
      </w:r>
    </w:p>
    <w:p>
      <w:pPr>
        <w:pStyle w:val="Bodytext10"/>
        <w:keepNext w:val="0"/>
        <w:keepLines w:val="0"/>
        <w:widowControl w:val="0"/>
        <w:shd w:val="clear" w:color="auto" w:fill="auto"/>
        <w:bidi w:val="0"/>
        <w:spacing w:before="0" w:after="0" w:line="311" w:lineRule="exact"/>
        <w:ind w:left="0" w:right="0" w:firstLine="440"/>
        <w:jc w:val="both"/>
      </w:pPr>
      <w:r>
        <w:rPr>
          <w:color w:val="000000"/>
          <w:spacing w:val="0"/>
          <w:w w:val="100"/>
          <w:position w:val="0"/>
        </w:rPr>
        <w:t>重要结构件、齿轮齿条的齿根处不应岀现裂纹，焊缝连接不应有影响</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rPr>
        <w:t>备安全的缺陷。当采用磁粉 检测方法进行焊缝表面或近表面裂纹的探伤时，焊缝应达到</w:t>
      </w:r>
      <w:r>
        <w:rPr>
          <w:rFonts w:ascii="Times New Roman" w:eastAsia="Times New Roman" w:hAnsi="Times New Roman" w:cs="Times New Roman"/>
          <w:color w:val="000000"/>
          <w:spacing w:val="0"/>
          <w:w w:val="100"/>
          <w:position w:val="0"/>
          <w:lang w:val="en-US" w:eastAsia="en-US" w:bidi="en-US"/>
        </w:rPr>
        <w:t xml:space="preserve">JB/T </w:t>
      </w:r>
      <w:r>
        <w:rPr>
          <w:rFonts w:ascii="Times New Roman" w:eastAsia="Times New Roman" w:hAnsi="Times New Roman" w:cs="Times New Roman"/>
          <w:color w:val="000000"/>
          <w:spacing w:val="0"/>
          <w:w w:val="100"/>
          <w:position w:val="0"/>
        </w:rPr>
        <w:t>6061</w:t>
      </w:r>
      <w:r>
        <w:rPr>
          <w:color w:val="000000"/>
          <w:spacing w:val="0"/>
          <w:w w:val="100"/>
          <w:position w:val="0"/>
        </w:rPr>
        <w:t>《无损检测焊</w:t>
      </w:r>
      <w:r>
        <w:rPr>
          <w:color w:val="1D2025"/>
          <w:spacing w:val="0"/>
          <w:w w:val="100"/>
          <w:position w:val="0"/>
        </w:rPr>
        <w:t>缝磁粉</w:t>
      </w:r>
      <w:r>
        <w:rPr>
          <w:color w:val="000000"/>
          <w:spacing w:val="0"/>
          <w:w w:val="100"/>
          <w:position w:val="0"/>
        </w:rPr>
        <w:t xml:space="preserve">检测》和 </w:t>
      </w:r>
      <w:r>
        <w:rPr>
          <w:rFonts w:ascii="Times New Roman" w:eastAsia="Times New Roman" w:hAnsi="Times New Roman" w:cs="Times New Roman"/>
          <w:color w:val="000000"/>
          <w:spacing w:val="0"/>
          <w:w w:val="100"/>
          <w:position w:val="0"/>
          <w:lang w:val="en-US" w:eastAsia="en-US" w:bidi="en-US"/>
        </w:rPr>
        <w:t xml:space="preserve">JB/T </w:t>
      </w:r>
      <w:r>
        <w:rPr>
          <w:rFonts w:ascii="Times New Roman" w:eastAsia="Times New Roman" w:hAnsi="Times New Roman" w:cs="Times New Roman"/>
          <w:color w:val="000000"/>
          <w:spacing w:val="0"/>
          <w:w w:val="100"/>
          <w:position w:val="0"/>
        </w:rPr>
        <w:t>6062</w:t>
      </w:r>
      <w:r>
        <w:rPr>
          <w:color w:val="000000"/>
          <w:spacing w:val="0"/>
          <w:w w:val="100"/>
          <w:position w:val="0"/>
        </w:rPr>
        <w:t>《无损检测焊缝渗透检测》中规定的</w:t>
      </w:r>
      <w:r>
        <w:rPr>
          <w:rFonts w:ascii="Times New Roman" w:eastAsia="Times New Roman" w:hAnsi="Times New Roman" w:cs="Times New Roman"/>
          <w:color w:val="000000"/>
          <w:spacing w:val="0"/>
          <w:w w:val="100"/>
          <w:position w:val="0"/>
        </w:rPr>
        <w:t>1</w:t>
      </w:r>
      <w:r>
        <w:rPr>
          <w:color w:val="000000"/>
          <w:spacing w:val="0"/>
          <w:w w:val="100"/>
          <w:position w:val="0"/>
        </w:rPr>
        <w:t>级要求；当采用超声检测方法进行焊缝内部探伤时， 焊缝应达到</w:t>
      </w:r>
      <w:r>
        <w:rPr>
          <w:rFonts w:ascii="Times New Roman" w:eastAsia="Times New Roman" w:hAnsi="Times New Roman" w:cs="Times New Roman"/>
          <w:color w:val="000000"/>
          <w:spacing w:val="0"/>
          <w:w w:val="100"/>
          <w:position w:val="0"/>
          <w:lang w:val="en-US" w:eastAsia="en-US" w:bidi="en-US"/>
        </w:rPr>
        <w:t xml:space="preserve">JB/T </w:t>
      </w:r>
      <w:r>
        <w:rPr>
          <w:rFonts w:ascii="Times New Roman" w:eastAsia="Times New Roman" w:hAnsi="Times New Roman" w:cs="Times New Roman"/>
          <w:color w:val="000000"/>
          <w:spacing w:val="0"/>
          <w:w w:val="100"/>
          <w:position w:val="0"/>
        </w:rPr>
        <w:t>10559</w:t>
      </w:r>
      <w:r>
        <w:rPr>
          <w:color w:val="000000"/>
          <w:spacing w:val="0"/>
          <w:w w:val="100"/>
          <w:position w:val="0"/>
        </w:rPr>
        <w:t>《起重机械无损检测钢焊缝超声检测》中规定的</w:t>
      </w:r>
      <w:r>
        <w:rPr>
          <w:rFonts w:ascii="Times New Roman" w:eastAsia="Times New Roman" w:hAnsi="Times New Roman" w:cs="Times New Roman"/>
          <w:color w:val="000000"/>
          <w:spacing w:val="0"/>
          <w:w w:val="100"/>
          <w:position w:val="0"/>
        </w:rPr>
        <w:t>2</w:t>
      </w:r>
      <w:r>
        <w:rPr>
          <w:color w:val="000000"/>
          <w:spacing w:val="0"/>
          <w:w w:val="100"/>
          <w:position w:val="0"/>
        </w:rPr>
        <w:t>级要求。根据焊缝特征当采 用其他合适的无损检测方法进行检测时，应根据相应的检测标准进行合格判别。</w:t>
      </w:r>
    </w:p>
    <w:p>
      <w:pPr>
        <w:pStyle w:val="Bodytext10"/>
        <w:keepNext w:val="0"/>
        <w:keepLines w:val="0"/>
        <w:widowControl w:val="0"/>
        <w:shd w:val="clear" w:color="auto" w:fill="auto"/>
        <w:bidi w:val="0"/>
        <w:spacing w:before="0" w:after="180" w:line="311" w:lineRule="exact"/>
        <w:ind w:left="0" w:right="0" w:firstLine="440"/>
        <w:jc w:val="both"/>
        <w:sectPr>
          <w:headerReference w:type="even" r:id="rId23"/>
          <w:headerReference w:type="default" r:id="rId24"/>
          <w:footerReference w:type="even" r:id="rId25"/>
          <w:footerReference w:type="default" r:id="rId26"/>
          <w:pgSz w:w="11900" w:h="16840"/>
          <w:pgMar w:top="1974" w:right="1157" w:bottom="1691" w:left="1233" w:header="0" w:footer="3" w:gutter="0"/>
          <w:pgNumType w:start="4"/>
          <w:cols w:space="720"/>
          <w:noEndnote/>
          <w:rtlGutter w:val="0"/>
          <w:docGrid w:linePitch="360"/>
        </w:sectPr>
      </w:pPr>
      <w:r>
        <w:rPr>
          <w:color w:val="000000"/>
          <w:spacing w:val="0"/>
          <w:w w:val="100"/>
          <w:position w:val="0"/>
        </w:rPr>
        <w:t>抽样要求：标准节抽样数量不得少于总数</w:t>
      </w:r>
      <w:r>
        <w:rPr>
          <w:rFonts w:ascii="Times New Roman" w:eastAsia="Times New Roman" w:hAnsi="Times New Roman" w:cs="Times New Roman"/>
          <w:color w:val="000000"/>
          <w:spacing w:val="0"/>
          <w:w w:val="100"/>
          <w:position w:val="0"/>
        </w:rPr>
        <w:t>10%,</w:t>
      </w:r>
      <w:r>
        <w:rPr>
          <w:color w:val="000000"/>
          <w:spacing w:val="0"/>
          <w:w w:val="100"/>
          <w:position w:val="0"/>
        </w:rPr>
        <w:t>每节检测不少于</w:t>
      </w:r>
      <w:r>
        <w:rPr>
          <w:rFonts w:ascii="Times New Roman" w:eastAsia="Times New Roman" w:hAnsi="Times New Roman" w:cs="Times New Roman"/>
          <w:color w:val="000000"/>
          <w:spacing w:val="0"/>
          <w:w w:val="100"/>
          <w:position w:val="0"/>
        </w:rPr>
        <w:t>1</w:t>
      </w:r>
      <w:r>
        <w:rPr>
          <w:color w:val="000000"/>
          <w:spacing w:val="0"/>
          <w:w w:val="100"/>
          <w:position w:val="0"/>
        </w:rPr>
        <w:t>处；每只吊笼主立柱、顶梁连接</w:t>
      </w:r>
    </w:p>
    <w:p>
      <w:pPr>
        <w:pStyle w:val="Bodytext10"/>
        <w:keepNext w:val="0"/>
        <w:keepLines w:val="0"/>
        <w:widowControl w:val="0"/>
        <w:shd w:val="clear" w:color="auto" w:fill="auto"/>
        <w:bidi w:val="0"/>
        <w:spacing w:before="0" w:after="220" w:line="308" w:lineRule="exact"/>
        <w:ind w:left="0" w:right="0" w:firstLine="0"/>
        <w:jc w:val="both"/>
        <w:sectPr>
          <w:headerReference w:type="even" r:id="rId27"/>
          <w:headerReference w:type="default" r:id="rId28"/>
          <w:footerReference w:type="even" r:id="rId29"/>
          <w:footerReference w:type="default" r:id="rId30"/>
          <w:type w:val="continuous"/>
          <w:pgSz w:w="11900" w:h="16840"/>
          <w:pgMar w:top="1974" w:right="1157" w:bottom="1691" w:left="1233" w:header="0" w:footer="3" w:gutter="0"/>
          <w:pgNumType w:start="5"/>
          <w:cols w:space="720"/>
          <w:noEndnote/>
          <w:rtlGutter w:val="0"/>
          <w:docGrid w:linePitch="360"/>
        </w:sectPr>
      </w:pPr>
      <w:r>
        <w:rPr>
          <w:color w:val="000000"/>
          <w:spacing w:val="0"/>
          <w:w w:val="100"/>
          <w:position w:val="0"/>
        </w:rPr>
        <w:t>焊缝检测各不少于</w:t>
      </w:r>
      <w:r>
        <w:rPr>
          <w:rFonts w:ascii="Times New Roman" w:eastAsia="Times New Roman" w:hAnsi="Times New Roman" w:cs="Times New Roman"/>
          <w:color w:val="000000"/>
          <w:spacing w:val="0"/>
          <w:w w:val="100"/>
          <w:position w:val="0"/>
        </w:rPr>
        <w:t>1</w:t>
      </w:r>
      <w:r>
        <w:rPr>
          <w:color w:val="000000"/>
          <w:spacing w:val="0"/>
          <w:w w:val="100"/>
          <w:position w:val="0"/>
        </w:rPr>
        <w:t>处，底梁连接焊缝检测不少于</w:t>
      </w:r>
      <w:r>
        <w:rPr>
          <w:rFonts w:ascii="Times New Roman" w:eastAsia="Times New Roman" w:hAnsi="Times New Roman" w:cs="Times New Roman"/>
          <w:color w:val="000000"/>
          <w:spacing w:val="0"/>
          <w:w w:val="100"/>
          <w:position w:val="0"/>
        </w:rPr>
        <w:t>2</w:t>
      </w:r>
      <w:r>
        <w:rPr>
          <w:color w:val="000000"/>
          <w:spacing w:val="0"/>
          <w:w w:val="100"/>
          <w:position w:val="0"/>
        </w:rPr>
        <w:t>处。</w:t>
      </w:r>
    </w:p>
    <w:p>
      <w:pPr>
        <w:pStyle w:val="Bodytext20"/>
        <w:keepNext w:val="0"/>
        <w:keepLines w:val="0"/>
        <w:widowControl w:val="0"/>
        <w:shd w:val="clear" w:color="auto" w:fill="auto"/>
        <w:bidi w:val="0"/>
        <w:spacing w:before="0" w:after="80" w:line="322" w:lineRule="auto"/>
        <w:ind w:left="0" w:right="0" w:firstLine="0"/>
        <w:jc w:val="both"/>
      </w:pPr>
      <w:r>
        <w:rPr>
          <w:rFonts w:ascii="Times New Roman" w:eastAsia="Times New Roman" w:hAnsi="Times New Roman" w:cs="Times New Roman"/>
          <w:color w:val="000000"/>
          <w:spacing w:val="0"/>
          <w:w w:val="100"/>
          <w:position w:val="0"/>
          <w:lang w:val="en-US" w:eastAsia="en-US" w:bidi="en-US"/>
        </w:rPr>
        <w:t>A.2.2</w:t>
      </w:r>
      <w:r>
        <w:rPr>
          <w:rFonts w:ascii="SimSun" w:eastAsia="SimSun" w:hAnsi="SimSun" w:cs="SimSun"/>
          <w:b/>
          <w:bCs/>
          <w:color w:val="000000"/>
          <w:spacing w:val="0"/>
          <w:w w:val="100"/>
          <w:position w:val="0"/>
          <w:lang w:val="zh-TW" w:eastAsia="zh-TW" w:bidi="zh-TW"/>
        </w:rPr>
        <w:t>腐蚀</w:t>
      </w:r>
    </w:p>
    <w:p>
      <w:pPr>
        <w:pStyle w:val="Bodytext10"/>
        <w:keepNext w:val="0"/>
        <w:keepLines w:val="0"/>
        <w:widowControl w:val="0"/>
        <w:shd w:val="clear" w:color="auto" w:fill="auto"/>
        <w:bidi w:val="0"/>
        <w:spacing w:before="0" w:after="0" w:line="307" w:lineRule="exact"/>
        <w:ind w:left="0" w:right="0" w:firstLine="440"/>
        <w:jc w:val="both"/>
      </w:pPr>
      <w:r>
        <w:rPr>
          <w:color w:val="000000"/>
          <w:spacing w:val="0"/>
          <w:w w:val="100"/>
          <w:position w:val="0"/>
        </w:rPr>
        <w:t>重要结构件因锈蚀引起壁厚减薄，减薄量不应超过原壁厚的</w:t>
      </w:r>
      <w:r>
        <w:rPr>
          <w:rFonts w:ascii="Times New Roman" w:eastAsia="Times New Roman" w:hAnsi="Times New Roman" w:cs="Times New Roman"/>
          <w:color w:val="000000"/>
          <w:spacing w:val="0"/>
          <w:w w:val="100"/>
          <w:position w:val="0"/>
        </w:rPr>
        <w:t>10%,</w:t>
      </w:r>
      <w:r>
        <w:rPr>
          <w:color w:val="000000"/>
          <w:spacing w:val="0"/>
          <w:w w:val="100"/>
          <w:position w:val="0"/>
        </w:rPr>
        <w:t>结构件特殊部位的锈蚀减薄量应 符合以下要求：导轨架标准节导轨面</w:t>
      </w:r>
      <w:r>
        <w:rPr>
          <w:rFonts w:ascii="Times New Roman" w:eastAsia="Times New Roman" w:hAnsi="Times New Roman" w:cs="Times New Roman"/>
          <w:color w:val="000000"/>
          <w:spacing w:val="0"/>
          <w:w w:val="100"/>
          <w:position w:val="0"/>
        </w:rPr>
        <w:t>＜25%</w:t>
      </w:r>
      <w:r>
        <w:rPr>
          <w:color w:val="000000"/>
          <w:spacing w:val="0"/>
          <w:w w:val="100"/>
          <w:position w:val="0"/>
        </w:rPr>
        <w:t>；</w:t>
      </w:r>
      <w:r>
        <w:rPr>
          <w:color w:val="000000"/>
          <w:spacing w:val="0"/>
          <w:w w:val="100"/>
          <w:position w:val="0"/>
        </w:rPr>
        <w:t>齿轮</w:t>
      </w:r>
      <w:r>
        <w:rPr>
          <w:rFonts w:ascii="Times New Roman" w:eastAsia="Times New Roman" w:hAnsi="Times New Roman" w:cs="Times New Roman"/>
          <w:color w:val="000000"/>
          <w:spacing w:val="0"/>
          <w:w w:val="100"/>
          <w:position w:val="0"/>
        </w:rPr>
        <w:t>＜4.5%</w:t>
      </w:r>
      <w:r>
        <w:rPr>
          <w:color w:val="000000"/>
          <w:spacing w:val="0"/>
          <w:w w:val="100"/>
          <w:position w:val="0"/>
        </w:rPr>
        <w:t>；</w:t>
      </w:r>
      <w:r>
        <w:rPr>
          <w:color w:val="000000"/>
          <w:spacing w:val="0"/>
          <w:w w:val="100"/>
          <w:position w:val="0"/>
        </w:rPr>
        <w:t>齿条</w:t>
      </w:r>
      <w:r>
        <w:rPr>
          <w:rFonts w:ascii="Times New Roman" w:eastAsia="Times New Roman" w:hAnsi="Times New Roman" w:cs="Times New Roman"/>
          <w:color w:val="000000"/>
          <w:spacing w:val="0"/>
          <w:w w:val="100"/>
          <w:position w:val="0"/>
        </w:rPr>
        <w:t>＜4%</w:t>
      </w:r>
      <w:r>
        <w:rPr>
          <w:color w:val="000000"/>
          <w:spacing w:val="0"/>
          <w:w w:val="100"/>
          <w:position w:val="0"/>
        </w:rPr>
        <w:t>；</w:t>
      </w:r>
      <w:r>
        <w:rPr>
          <w:color w:val="000000"/>
          <w:spacing w:val="0"/>
          <w:w w:val="100"/>
          <w:position w:val="0"/>
        </w:rPr>
        <w:t>轴孔与销轴直径磨损变形量</w:t>
      </w:r>
      <w:r>
        <w:rPr>
          <w:rFonts w:ascii="Times New Roman" w:eastAsia="Times New Roman" w:hAnsi="Times New Roman" w:cs="Times New Roman"/>
          <w:color w:val="000000"/>
          <w:spacing w:val="0"/>
          <w:w w:val="100"/>
          <w:position w:val="0"/>
          <w:lang w:val="en-US" w:eastAsia="en-US" w:bidi="en-US"/>
        </w:rPr>
        <w:t>W3%</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20" w:line="307" w:lineRule="exact"/>
        <w:ind w:left="0" w:right="0" w:firstLine="440"/>
        <w:jc w:val="both"/>
      </w:pPr>
      <w:r>
        <w:rPr>
          <w:color w:val="000000"/>
          <w:spacing w:val="0"/>
          <w:w w:val="100"/>
          <w:position w:val="0"/>
        </w:rPr>
        <w:t>抽样要求：导轨架标准节抽样数量不得少于总数</w:t>
      </w:r>
      <w:r>
        <w:rPr>
          <w:rFonts w:ascii="Times New Roman" w:eastAsia="Times New Roman" w:hAnsi="Times New Roman" w:cs="Times New Roman"/>
          <w:color w:val="000000"/>
          <w:spacing w:val="0"/>
          <w:w w:val="100"/>
          <w:position w:val="0"/>
        </w:rPr>
        <w:t>10%,</w:t>
      </w:r>
      <w:r>
        <w:rPr>
          <w:color w:val="000000"/>
          <w:spacing w:val="0"/>
          <w:w w:val="100"/>
          <w:position w:val="0"/>
        </w:rPr>
        <w:t>每节检测不得少于</w:t>
      </w:r>
      <w:r>
        <w:rPr>
          <w:rFonts w:ascii="Times New Roman" w:eastAsia="Times New Roman" w:hAnsi="Times New Roman" w:cs="Times New Roman"/>
          <w:color w:val="000000"/>
          <w:spacing w:val="0"/>
          <w:w w:val="100"/>
          <w:position w:val="0"/>
        </w:rPr>
        <w:t>1</w:t>
      </w:r>
      <w:r>
        <w:rPr>
          <w:color w:val="000000"/>
          <w:spacing w:val="0"/>
          <w:w w:val="100"/>
          <w:position w:val="0"/>
        </w:rPr>
        <w:t>处；每只吊笼立柱、顶 梁检测各不少于</w:t>
      </w:r>
      <w:r>
        <w:rPr>
          <w:rFonts w:ascii="Times New Roman" w:eastAsia="Times New Roman" w:hAnsi="Times New Roman" w:cs="Times New Roman"/>
          <w:color w:val="000000"/>
          <w:spacing w:val="0"/>
          <w:w w:val="100"/>
          <w:position w:val="0"/>
        </w:rPr>
        <w:t>1</w:t>
      </w:r>
      <w:r>
        <w:rPr>
          <w:color w:val="000000"/>
          <w:spacing w:val="0"/>
          <w:w w:val="100"/>
          <w:position w:val="0"/>
        </w:rPr>
        <w:t>处，底梁检测不少于</w:t>
      </w:r>
      <w:r>
        <w:rPr>
          <w:rFonts w:ascii="Times New Roman" w:eastAsia="Times New Roman" w:hAnsi="Times New Roman" w:cs="Times New Roman"/>
          <w:color w:val="000000"/>
          <w:spacing w:val="0"/>
          <w:w w:val="100"/>
          <w:position w:val="0"/>
        </w:rPr>
        <w:t>2</w:t>
      </w:r>
      <w:r>
        <w:rPr>
          <w:color w:val="000000"/>
          <w:spacing w:val="0"/>
          <w:w w:val="100"/>
          <w:position w:val="0"/>
        </w:rPr>
        <w:t>处。</w:t>
      </w:r>
    </w:p>
    <w:p>
      <w:pPr>
        <w:pStyle w:val="Bodytext20"/>
        <w:keepNext w:val="0"/>
        <w:keepLines w:val="0"/>
        <w:widowControl w:val="0"/>
        <w:shd w:val="clear" w:color="auto" w:fill="auto"/>
        <w:bidi w:val="0"/>
        <w:spacing w:before="0" w:after="80" w:line="322" w:lineRule="auto"/>
        <w:ind w:left="0" w:right="0" w:firstLine="0"/>
        <w:jc w:val="both"/>
      </w:pPr>
      <w:r>
        <w:rPr>
          <w:rFonts w:ascii="Times New Roman" w:eastAsia="Times New Roman" w:hAnsi="Times New Roman" w:cs="Times New Roman"/>
          <w:color w:val="000000"/>
          <w:spacing w:val="0"/>
          <w:w w:val="100"/>
          <w:position w:val="0"/>
          <w:lang w:val="en-US" w:eastAsia="en-US" w:bidi="en-US"/>
        </w:rPr>
        <w:t>A.2.3</w:t>
      </w:r>
      <w:r>
        <w:rPr>
          <w:rFonts w:ascii="SimSun" w:eastAsia="SimSun" w:hAnsi="SimSun" w:cs="SimSun"/>
          <w:b/>
          <w:bCs/>
          <w:color w:val="000000"/>
          <w:spacing w:val="0"/>
          <w:w w:val="100"/>
          <w:position w:val="0"/>
          <w:lang w:val="zh-TW" w:eastAsia="zh-TW" w:bidi="zh-TW"/>
        </w:rPr>
        <w:t>磨损</w:t>
      </w:r>
    </w:p>
    <w:p>
      <w:pPr>
        <w:pStyle w:val="Bodytext10"/>
        <w:keepNext w:val="0"/>
        <w:keepLines w:val="0"/>
        <w:widowControl w:val="0"/>
        <w:shd w:val="clear" w:color="auto" w:fill="auto"/>
        <w:bidi w:val="0"/>
        <w:spacing w:before="0" w:after="0" w:line="308" w:lineRule="exact"/>
        <w:ind w:left="0" w:right="0" w:firstLine="440"/>
        <w:jc w:val="both"/>
      </w:pPr>
      <w:r>
        <w:rPr>
          <w:color w:val="000000"/>
          <w:spacing w:val="0"/>
          <w:w w:val="100"/>
          <w:position w:val="0"/>
        </w:rPr>
        <w:t>重要结构件因磨损引起壁厚减薄，减薄量不应超过原壁厚的</w:t>
      </w:r>
      <w:r>
        <w:rPr>
          <w:rFonts w:ascii="Times New Roman" w:eastAsia="Times New Roman" w:hAnsi="Times New Roman" w:cs="Times New Roman"/>
          <w:color w:val="000000"/>
          <w:spacing w:val="0"/>
          <w:w w:val="100"/>
          <w:position w:val="0"/>
        </w:rPr>
        <w:t>10%,</w:t>
      </w:r>
      <w:r>
        <w:rPr>
          <w:color w:val="000000"/>
          <w:spacing w:val="0"/>
          <w:w w:val="100"/>
          <w:position w:val="0"/>
        </w:rPr>
        <w:t>结构件特殊部位的磨损减薄量应 符合以下要求：导轨架标准节导轨面</w:t>
      </w:r>
      <w:r>
        <w:rPr>
          <w:rFonts w:ascii="Times New Roman" w:eastAsia="Times New Roman" w:hAnsi="Times New Roman" w:cs="Times New Roman"/>
          <w:color w:val="000000"/>
          <w:spacing w:val="0"/>
          <w:w w:val="100"/>
          <w:position w:val="0"/>
        </w:rPr>
        <w:t>＜25%</w:t>
      </w:r>
      <w:r>
        <w:rPr>
          <w:color w:val="000000"/>
          <w:spacing w:val="0"/>
          <w:w w:val="100"/>
          <w:position w:val="0"/>
        </w:rPr>
        <w:t>；</w:t>
      </w:r>
      <w:r>
        <w:rPr>
          <w:color w:val="000000"/>
          <w:spacing w:val="0"/>
          <w:w w:val="100"/>
          <w:position w:val="0"/>
        </w:rPr>
        <w:t>齿轮</w:t>
      </w:r>
      <w:r>
        <w:rPr>
          <w:rFonts w:ascii="Times New Roman" w:eastAsia="Times New Roman" w:hAnsi="Times New Roman" w:cs="Times New Roman"/>
          <w:color w:val="000000"/>
          <w:spacing w:val="0"/>
          <w:w w:val="100"/>
          <w:position w:val="0"/>
        </w:rPr>
        <w:t>＜4.5%,</w:t>
      </w:r>
      <w:r>
        <w:rPr>
          <w:color w:val="000000"/>
          <w:spacing w:val="0"/>
          <w:w w:val="100"/>
          <w:position w:val="0"/>
        </w:rPr>
        <w:t>齿轮公法线长度磨损量</w:t>
      </w:r>
      <w:r>
        <w:rPr>
          <w:rFonts w:ascii="Times New Roman" w:eastAsia="Times New Roman" w:hAnsi="Times New Roman" w:cs="Times New Roman"/>
          <w:color w:val="000000"/>
          <w:spacing w:val="0"/>
          <w:w w:val="100"/>
          <w:position w:val="0"/>
          <w:lang w:val="en-US" w:eastAsia="en-US" w:bidi="en-US"/>
        </w:rPr>
        <w:t>＜3.5mm</w:t>
      </w:r>
      <w:r>
        <w:rPr>
          <w:color w:val="000000"/>
          <w:spacing w:val="0"/>
          <w:w w:val="100"/>
          <w:position w:val="0"/>
          <w:lang w:val="en-US" w:eastAsia="en-US" w:bidi="en-US"/>
        </w:rPr>
        <w:t>；</w:t>
      </w:r>
      <w:r>
        <w:rPr>
          <w:color w:val="000000"/>
          <w:spacing w:val="0"/>
          <w:w w:val="100"/>
          <w:position w:val="0"/>
        </w:rPr>
        <w:t>齿条</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color w:val="000000"/>
          <w:spacing w:val="0"/>
          <w:w w:val="100"/>
          <w:position w:val="0"/>
        </w:rPr>
        <w:t>齿条分度线齿厚磨损量</w:t>
      </w:r>
      <w:r>
        <w:rPr>
          <w:rFonts w:ascii="Times New Roman" w:eastAsia="Times New Roman" w:hAnsi="Times New Roman" w:cs="Times New Roman"/>
          <w:color w:val="000000"/>
          <w:spacing w:val="0"/>
          <w:w w:val="100"/>
          <w:position w:val="0"/>
          <w:lang w:val="en-US" w:eastAsia="en-US" w:bidi="en-US"/>
        </w:rPr>
        <w:t>＜3.7mm</w:t>
      </w:r>
      <w:r>
        <w:rPr>
          <w:color w:val="000000"/>
          <w:spacing w:val="0"/>
          <w:w w:val="100"/>
          <w:position w:val="0"/>
          <w:lang w:val="en-US" w:eastAsia="en-US" w:bidi="en-US"/>
        </w:rPr>
        <w:t>；</w:t>
      </w:r>
      <w:r>
        <w:rPr>
          <w:color w:val="000000"/>
          <w:spacing w:val="0"/>
          <w:w w:val="100"/>
          <w:position w:val="0"/>
        </w:rPr>
        <w:t>轴孔与销轴直径磨损变形量</w:t>
      </w:r>
      <w:r>
        <w:rPr>
          <w:rFonts w:ascii="Times New Roman" w:eastAsia="Times New Roman" w:hAnsi="Times New Roman" w:cs="Times New Roman"/>
          <w:color w:val="000000"/>
          <w:spacing w:val="0"/>
          <w:w w:val="100"/>
          <w:position w:val="0"/>
        </w:rPr>
        <w:t>＜3%</w:t>
      </w:r>
      <w:r>
        <w:rPr>
          <w:color w:val="000000"/>
          <w:spacing w:val="0"/>
          <w:w w:val="100"/>
          <w:position w:val="0"/>
        </w:rPr>
        <w:t>。</w:t>
      </w:r>
    </w:p>
    <w:p>
      <w:pPr>
        <w:pStyle w:val="Bodytext10"/>
        <w:keepNext w:val="0"/>
        <w:keepLines w:val="0"/>
        <w:widowControl w:val="0"/>
        <w:shd w:val="clear" w:color="auto" w:fill="auto"/>
        <w:bidi w:val="0"/>
        <w:spacing w:before="0" w:after="0" w:line="308" w:lineRule="exact"/>
        <w:ind w:left="0" w:right="0" w:firstLine="440"/>
        <w:jc w:val="both"/>
      </w:pPr>
      <w:r>
        <w:rPr>
          <w:color w:val="000000"/>
          <w:spacing w:val="0"/>
          <w:w w:val="100"/>
          <w:position w:val="0"/>
        </w:rPr>
        <w:t>齿面承载均匀性要求：接触斑点的分布位置应趋近中部，不可分布于齿顶和两端部棱边；接触斑点 沿高度方向</w:t>
      </w:r>
      <w:r>
        <w:rPr>
          <w:rFonts w:ascii="Times New Roman" w:eastAsia="Times New Roman" w:hAnsi="Times New Roman" w:cs="Times New Roman"/>
          <w:color w:val="000000"/>
          <w:spacing w:val="0"/>
          <w:w w:val="100"/>
          <w:position w:val="0"/>
          <w:lang w:val="en-US" w:eastAsia="en-US" w:bidi="en-US"/>
        </w:rPr>
        <w:t>N40%,</w:t>
      </w:r>
      <w:r>
        <w:rPr>
          <w:color w:val="000000"/>
          <w:spacing w:val="0"/>
          <w:w w:val="100"/>
          <w:position w:val="0"/>
        </w:rPr>
        <w:t>按长度方向</w:t>
      </w:r>
      <w:r>
        <w:rPr>
          <w:rFonts w:ascii="Times New Roman" w:eastAsia="Times New Roman" w:hAnsi="Times New Roman" w:cs="Times New Roman"/>
          <w:color w:val="000000"/>
          <w:spacing w:val="0"/>
          <w:w w:val="100"/>
          <w:position w:val="0"/>
          <w:lang w:val="en-US" w:eastAsia="en-US" w:bidi="en-US"/>
        </w:rPr>
        <w:t>N50%</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20" w:line="308" w:lineRule="exact"/>
        <w:ind w:left="0" w:right="0" w:firstLine="440"/>
        <w:jc w:val="both"/>
      </w:pPr>
      <w:r>
        <w:rPr>
          <w:color w:val="000000"/>
          <w:spacing w:val="0"/>
          <w:w w:val="100"/>
          <w:position w:val="0"/>
        </w:rPr>
        <w:t>抽样要求：导轨架标准节抽样数量不得少于总数</w:t>
      </w:r>
      <w:r>
        <w:rPr>
          <w:rFonts w:ascii="Times New Roman" w:eastAsia="Times New Roman" w:hAnsi="Times New Roman" w:cs="Times New Roman"/>
          <w:color w:val="000000"/>
          <w:spacing w:val="0"/>
          <w:w w:val="100"/>
          <w:position w:val="0"/>
        </w:rPr>
        <w:t>10%,</w:t>
      </w:r>
      <w:r>
        <w:rPr>
          <w:color w:val="000000"/>
          <w:spacing w:val="0"/>
          <w:w w:val="100"/>
          <w:position w:val="0"/>
        </w:rPr>
        <w:t>每节检测不得少于</w:t>
      </w:r>
      <w:r>
        <w:rPr>
          <w:rFonts w:ascii="Times New Roman" w:eastAsia="Times New Roman" w:hAnsi="Times New Roman" w:cs="Times New Roman"/>
          <w:color w:val="000000"/>
          <w:spacing w:val="0"/>
          <w:w w:val="100"/>
          <w:position w:val="0"/>
        </w:rPr>
        <w:t>1</w:t>
      </w:r>
      <w:r>
        <w:rPr>
          <w:color w:val="000000"/>
          <w:spacing w:val="0"/>
          <w:w w:val="100"/>
          <w:position w:val="0"/>
        </w:rPr>
        <w:t>处；每只吊笼立柱、顶 梁检测各不少于</w:t>
      </w:r>
      <w:r>
        <w:rPr>
          <w:rFonts w:ascii="Times New Roman" w:eastAsia="Times New Roman" w:hAnsi="Times New Roman" w:cs="Times New Roman"/>
          <w:color w:val="000000"/>
          <w:spacing w:val="0"/>
          <w:w w:val="100"/>
          <w:position w:val="0"/>
        </w:rPr>
        <w:t>1</w:t>
      </w:r>
      <w:r>
        <w:rPr>
          <w:color w:val="000000"/>
          <w:spacing w:val="0"/>
          <w:w w:val="100"/>
          <w:position w:val="0"/>
        </w:rPr>
        <w:t>处，底梁检测不少于</w:t>
      </w:r>
      <w:r>
        <w:rPr>
          <w:rFonts w:ascii="Times New Roman" w:eastAsia="Times New Roman" w:hAnsi="Times New Roman" w:cs="Times New Roman"/>
          <w:color w:val="000000"/>
          <w:spacing w:val="0"/>
          <w:w w:val="100"/>
          <w:position w:val="0"/>
        </w:rPr>
        <w:t>2</w:t>
      </w:r>
      <w:r>
        <w:rPr>
          <w:color w:val="000000"/>
          <w:spacing w:val="0"/>
          <w:w w:val="100"/>
          <w:position w:val="0"/>
        </w:rPr>
        <w:t>处。</w:t>
      </w:r>
    </w:p>
    <w:p>
      <w:pPr>
        <w:pStyle w:val="Bodytext20"/>
        <w:keepNext w:val="0"/>
        <w:keepLines w:val="0"/>
        <w:widowControl w:val="0"/>
        <w:shd w:val="clear" w:color="auto" w:fill="auto"/>
        <w:bidi w:val="0"/>
        <w:spacing w:before="0" w:after="80" w:line="322" w:lineRule="auto"/>
        <w:ind w:left="0" w:right="0" w:firstLine="0"/>
        <w:jc w:val="both"/>
      </w:pPr>
      <w:r>
        <w:rPr>
          <w:rFonts w:ascii="Times New Roman" w:eastAsia="Times New Roman" w:hAnsi="Times New Roman" w:cs="Times New Roman"/>
          <w:color w:val="000000"/>
          <w:spacing w:val="0"/>
          <w:w w:val="100"/>
          <w:position w:val="0"/>
          <w:lang w:val="en-US" w:eastAsia="en-US" w:bidi="en-US"/>
        </w:rPr>
        <w:t>A.2.4</w:t>
      </w:r>
      <w:r>
        <w:rPr>
          <w:rFonts w:ascii="SimSun" w:eastAsia="SimSun" w:hAnsi="SimSun" w:cs="SimSun"/>
          <w:b/>
          <w:bCs/>
          <w:color w:val="000000"/>
          <w:spacing w:val="0"/>
          <w:w w:val="100"/>
          <w:position w:val="0"/>
          <w:lang w:val="zh-TW" w:eastAsia="zh-TW" w:bidi="zh-TW"/>
        </w:rPr>
        <w:t>变形</w:t>
      </w:r>
    </w:p>
    <w:p>
      <w:pPr>
        <w:pStyle w:val="Bodytext10"/>
        <w:keepNext w:val="0"/>
        <w:keepLines w:val="0"/>
        <w:widowControl w:val="0"/>
        <w:shd w:val="clear" w:color="auto" w:fill="auto"/>
        <w:bidi w:val="0"/>
        <w:spacing w:before="0" w:after="0" w:line="311" w:lineRule="exact"/>
        <w:ind w:left="0" w:right="0" w:firstLine="440"/>
        <w:jc w:val="both"/>
      </w:pPr>
      <w:r>
        <w:rPr>
          <w:color w:val="000000"/>
          <w:spacing w:val="0"/>
          <w:w w:val="100"/>
          <w:position w:val="0"/>
        </w:rPr>
        <w:t>重要结构件不应失去整体稳定性，主弦杆直线度</w:t>
      </w:r>
      <w:r>
        <w:rPr>
          <w:rFonts w:ascii="Times New Roman" w:eastAsia="Times New Roman" w:hAnsi="Times New Roman" w:cs="Times New Roman"/>
          <w:color w:val="000000"/>
          <w:spacing w:val="0"/>
          <w:w w:val="100"/>
          <w:position w:val="0"/>
        </w:rPr>
        <w:t>＜1%</w:t>
      </w:r>
      <w:r>
        <w:rPr>
          <w:color w:val="000000"/>
          <w:spacing w:val="0"/>
          <w:w w:val="100"/>
          <w:position w:val="0"/>
        </w:rPr>
        <w:t>。；斜杆直线度</w:t>
      </w:r>
      <w:r>
        <w:rPr>
          <w:rFonts w:ascii="Times New Roman" w:eastAsia="Times New Roman" w:hAnsi="Times New Roman" w:cs="Times New Roman"/>
          <w:color w:val="000000"/>
          <w:spacing w:val="0"/>
          <w:w w:val="100"/>
          <w:position w:val="0"/>
        </w:rPr>
        <w:t>＜1/750</w:t>
      </w:r>
      <w:r>
        <w:rPr>
          <w:color w:val="000000"/>
          <w:spacing w:val="0"/>
          <w:w w:val="100"/>
          <w:position w:val="0"/>
        </w:rPr>
        <w:t>。标准节截面对角线偏 差</w:t>
      </w:r>
      <w:r>
        <w:rPr>
          <w:rFonts w:ascii="Times New Roman" w:eastAsia="Times New Roman" w:hAnsi="Times New Roman" w:cs="Times New Roman"/>
          <w:color w:val="000000"/>
          <w:spacing w:val="0"/>
          <w:w w:val="100"/>
          <w:position w:val="0"/>
        </w:rPr>
        <w:t>＜1.5%</w:t>
      </w:r>
      <w:r>
        <w:rPr>
          <w:color w:val="000000"/>
          <w:spacing w:val="0"/>
          <w:w w:val="100"/>
          <w:position w:val="0"/>
        </w:rPr>
        <w:t>。吊笼结构在笼门方向投影的对角线偏差</w:t>
      </w:r>
      <w:r>
        <w:rPr>
          <w:rFonts w:ascii="Times New Roman" w:eastAsia="Times New Roman" w:hAnsi="Times New Roman" w:cs="Times New Roman"/>
          <w:color w:val="000000"/>
          <w:spacing w:val="0"/>
          <w:w w:val="100"/>
          <w:position w:val="0"/>
        </w:rPr>
        <w:t>＜1.5%,</w:t>
      </w:r>
      <w:r>
        <w:rPr>
          <w:color w:val="000000"/>
          <w:spacing w:val="0"/>
          <w:w w:val="100"/>
          <w:position w:val="0"/>
        </w:rPr>
        <w:t>吊笼门框平行度偏差</w:t>
      </w:r>
      <w:r>
        <w:rPr>
          <w:rFonts w:ascii="Times New Roman" w:eastAsia="Times New Roman" w:hAnsi="Times New Roman" w:cs="Times New Roman"/>
          <w:color w:val="000000"/>
          <w:spacing w:val="0"/>
          <w:w w:val="100"/>
          <w:position w:val="0"/>
        </w:rPr>
        <w:t>＜1.5%</w:t>
      </w:r>
      <w:r>
        <w:rPr>
          <w:color w:val="000000"/>
          <w:spacing w:val="0"/>
          <w:w w:val="100"/>
          <w:position w:val="0"/>
        </w:rPr>
        <w:t>。。</w:t>
      </w:r>
    </w:p>
    <w:p>
      <w:pPr>
        <w:pStyle w:val="Bodytext10"/>
        <w:keepNext w:val="0"/>
        <w:keepLines w:val="0"/>
        <w:widowControl w:val="0"/>
        <w:shd w:val="clear" w:color="auto" w:fill="auto"/>
        <w:bidi w:val="0"/>
        <w:spacing w:before="0" w:after="220" w:line="311" w:lineRule="exact"/>
        <w:ind w:left="0" w:right="0" w:firstLine="440"/>
        <w:jc w:val="both"/>
      </w:pPr>
      <w:r>
        <w:rPr>
          <w:color w:val="000000"/>
          <w:spacing w:val="0"/>
          <w:w w:val="100"/>
          <w:position w:val="0"/>
        </w:rPr>
        <w:t>抽样要求：标准节应进行目测检查，对发现的可疑部位应进行检测；对目测未见异常的标准节，抽 样数量不少于</w:t>
      </w:r>
      <w:r>
        <w:rPr>
          <w:rFonts w:ascii="Times New Roman" w:eastAsia="Times New Roman" w:hAnsi="Times New Roman" w:cs="Times New Roman"/>
          <w:color w:val="000000"/>
          <w:spacing w:val="0"/>
          <w:w w:val="100"/>
          <w:position w:val="0"/>
        </w:rPr>
        <w:t>2</w:t>
      </w:r>
      <w:r>
        <w:rPr>
          <w:color w:val="000000"/>
          <w:spacing w:val="0"/>
          <w:w w:val="100"/>
          <w:position w:val="0"/>
        </w:rPr>
        <w:t>节，应测量主弦杆直线度偏差及截面对角线偏差。吊笼结构应进行目测检查，对发现的 可疑部位应进行检测；在目测未见异常时，选择一台吊笼测量其笼门方向投影的对角线偏差和吊笼门框 平行度偏差。</w:t>
      </w:r>
    </w:p>
    <w:p>
      <w:pPr>
        <w:pStyle w:val="Bodytext1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rPr>
        <w:t>5</w:t>
      </w:r>
      <w:r>
        <w:rPr>
          <w:b/>
          <w:bCs/>
          <w:color w:val="000000"/>
          <w:spacing w:val="0"/>
          <w:w w:val="100"/>
          <w:position w:val="0"/>
        </w:rPr>
        <w:t>连接件间的防松</w:t>
      </w:r>
    </w:p>
    <w:p>
      <w:pPr>
        <w:pStyle w:val="Bodytext10"/>
        <w:keepNext w:val="0"/>
        <w:keepLines w:val="0"/>
        <w:widowControl w:val="0"/>
        <w:shd w:val="clear" w:color="auto" w:fill="auto"/>
        <w:bidi w:val="0"/>
        <w:spacing w:before="0" w:after="380" w:line="308" w:lineRule="exact"/>
        <w:ind w:left="0" w:right="0" w:firstLine="420"/>
        <w:jc w:val="both"/>
      </w:pPr>
      <w:r>
        <w:rPr>
          <w:color w:val="000000"/>
          <w:spacing w:val="0"/>
          <w:w w:val="100"/>
          <w:position w:val="0"/>
        </w:rPr>
        <w:t>连接件间的防</w:t>
      </w:r>
      <w:r>
        <w:rPr>
          <w:color w:val="434952"/>
          <w:spacing w:val="0"/>
          <w:w w:val="100"/>
          <w:position w:val="0"/>
        </w:rPr>
        <w:t>松防脱</w:t>
      </w:r>
      <w:r>
        <w:rPr>
          <w:color w:val="000000"/>
          <w:spacing w:val="0"/>
          <w:w w:val="100"/>
          <w:position w:val="0"/>
        </w:rPr>
        <w:t>件应符合使用说明书的规定，不应用其他物件代替。</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3</w:t>
      </w:r>
      <w:r>
        <w:rPr>
          <w:b/>
          <w:bCs/>
          <w:color w:val="000000"/>
          <w:spacing w:val="0"/>
          <w:w w:val="100"/>
          <w:position w:val="0"/>
        </w:rPr>
        <w:t>主要零部件</w:t>
      </w:r>
    </w:p>
    <w:p>
      <w:pPr>
        <w:pStyle w:val="Bodytext1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rPr>
        <w:t>1</w:t>
      </w:r>
      <w:r>
        <w:rPr>
          <w:b/>
          <w:bCs/>
          <w:color w:val="000000"/>
          <w:spacing w:val="0"/>
          <w:w w:val="100"/>
          <w:position w:val="0"/>
        </w:rPr>
        <w:t>高强度连接螺栓副</w:t>
      </w:r>
    </w:p>
    <w:p>
      <w:pPr>
        <w:pStyle w:val="Bodytext10"/>
        <w:keepNext w:val="0"/>
        <w:keepLines w:val="0"/>
        <w:widowControl w:val="0"/>
        <w:shd w:val="clear" w:color="auto" w:fill="auto"/>
        <w:bidi w:val="0"/>
        <w:spacing w:before="0" w:after="160" w:line="293" w:lineRule="exact"/>
        <w:ind w:left="0" w:right="0" w:firstLine="440"/>
        <w:jc w:val="both"/>
      </w:pPr>
      <w:r>
        <w:rPr>
          <w:color w:val="000000"/>
          <w:spacing w:val="0"/>
          <w:w w:val="100"/>
          <w:position w:val="0"/>
        </w:rPr>
        <w:t>传动系统、导轨架、附着架、对重系统、</w:t>
      </w:r>
      <w:r>
        <w:rPr>
          <w:color w:val="1D2025"/>
          <w:spacing w:val="0"/>
          <w:w w:val="100"/>
          <w:position w:val="0"/>
        </w:rPr>
        <w:t>齿条、</w:t>
      </w:r>
      <w:r>
        <w:rPr>
          <w:color w:val="000000"/>
          <w:spacing w:val="0"/>
          <w:w w:val="100"/>
          <w:position w:val="0"/>
        </w:rPr>
        <w:t>安</w:t>
      </w:r>
      <w:r>
        <w:rPr>
          <w:color w:val="434952"/>
          <w:spacing w:val="0"/>
          <w:w w:val="100"/>
          <w:position w:val="0"/>
        </w:rPr>
        <w:t>全钩及</w:t>
      </w:r>
      <w:r>
        <w:rPr>
          <w:color w:val="000000"/>
          <w:spacing w:val="0"/>
          <w:w w:val="100"/>
          <w:position w:val="0"/>
        </w:rPr>
        <w:t>吊杆底座等的安装连接螺栓的强度等级不 应当低于</w:t>
      </w: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8</w:t>
      </w:r>
      <w:r>
        <w:rPr>
          <w:color w:val="000000"/>
          <w:spacing w:val="0"/>
          <w:w w:val="100"/>
          <w:position w:val="0"/>
        </w:rPr>
        <w:t>级。</w:t>
      </w:r>
    </w:p>
    <w:p>
      <w:pPr>
        <w:pStyle w:val="Bodytext20"/>
        <w:keepNext w:val="0"/>
        <w:keepLines w:val="0"/>
        <w:widowControl w:val="0"/>
        <w:shd w:val="clear" w:color="auto" w:fill="auto"/>
        <w:bidi w:val="0"/>
        <w:spacing w:before="0" w:after="160" w:line="308"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 xml:space="preserve">2 </w:t>
      </w:r>
      <w:r>
        <w:rPr>
          <w:rFonts w:ascii="SimSun" w:eastAsia="SimSun" w:hAnsi="SimSun" w:cs="SimSun"/>
          <w:b/>
          <w:bCs/>
          <w:color w:val="000000"/>
          <w:spacing w:val="0"/>
          <w:w w:val="100"/>
          <w:position w:val="0"/>
          <w:lang w:val="zh-TW" w:eastAsia="zh-TW" w:bidi="zh-TW"/>
        </w:rPr>
        <w:t>齿轮齿条副</w:t>
      </w:r>
    </w:p>
    <w:p>
      <w:pPr>
        <w:pStyle w:val="Bodytext20"/>
        <w:keepNext w:val="0"/>
        <w:keepLines w:val="0"/>
        <w:widowControl w:val="0"/>
        <w:shd w:val="clear" w:color="auto" w:fill="auto"/>
        <w:bidi w:val="0"/>
        <w:spacing w:before="0" w:after="160" w:line="308" w:lineRule="exact"/>
        <w:ind w:left="0" w:right="0" w:firstLine="420"/>
        <w:jc w:val="both"/>
      </w:pPr>
      <w:r>
        <w:rPr>
          <w:rFonts w:ascii="SimSun" w:eastAsia="SimSun" w:hAnsi="SimSun" w:cs="SimSun"/>
          <w:color w:val="000000"/>
          <w:spacing w:val="0"/>
          <w:w w:val="100"/>
          <w:position w:val="0"/>
          <w:lang w:val="zh-TW" w:eastAsia="zh-TW" w:bidi="zh-TW"/>
        </w:rPr>
        <w:t>齿轮齿条副应符合</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26557</w:t>
      </w:r>
      <w:r>
        <w:rPr>
          <w:rFonts w:ascii="SimSun" w:eastAsia="SimSun" w:hAnsi="SimSun" w:cs="SimSun"/>
          <w:color w:val="000000"/>
          <w:spacing w:val="0"/>
          <w:w w:val="100"/>
          <w:position w:val="0"/>
          <w:lang w:val="zh-TW" w:eastAsia="zh-TW" w:bidi="zh-TW"/>
        </w:rPr>
        <w:t>中</w:t>
      </w:r>
      <w:r>
        <w:rPr>
          <w:rFonts w:ascii="Times New Roman" w:eastAsia="Times New Roman" w:hAnsi="Times New Roman" w:cs="Times New Roman"/>
          <w:color w:val="000000"/>
          <w:spacing w:val="0"/>
          <w:w w:val="100"/>
          <w:position w:val="0"/>
          <w:lang w:val="en-US" w:eastAsia="en-US" w:bidi="en-US"/>
        </w:rPr>
        <w:t xml:space="preserve">5. 7. 3.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的规定。</w:t>
      </w:r>
    </w:p>
    <w:p>
      <w:pPr>
        <w:pStyle w:val="Bodytext20"/>
        <w:keepNext w:val="0"/>
        <w:keepLines w:val="0"/>
        <w:widowControl w:val="0"/>
        <w:shd w:val="clear" w:color="auto" w:fill="auto"/>
        <w:bidi w:val="0"/>
        <w:spacing w:before="0" w:after="160" w:line="308"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3</w:t>
      </w:r>
      <w:r>
        <w:rPr>
          <w:rFonts w:ascii="SimSun" w:eastAsia="SimSun" w:hAnsi="SimSun" w:cs="SimSun"/>
          <w:b/>
          <w:bCs/>
          <w:color w:val="000000"/>
          <w:spacing w:val="0"/>
          <w:w w:val="100"/>
          <w:position w:val="0"/>
          <w:lang w:val="zh-TW" w:eastAsia="zh-TW" w:bidi="zh-TW"/>
        </w:rPr>
        <w:t>主要机构</w:t>
      </w:r>
    </w:p>
    <w:p>
      <w:pPr>
        <w:pStyle w:val="Bodytext10"/>
        <w:keepNext w:val="0"/>
        <w:keepLines w:val="0"/>
        <w:widowControl w:val="0"/>
        <w:shd w:val="clear" w:color="auto" w:fill="auto"/>
        <w:bidi w:val="0"/>
        <w:spacing w:before="0" w:after="220" w:line="308" w:lineRule="exact"/>
        <w:ind w:left="0" w:right="0" w:firstLine="420"/>
        <w:jc w:val="both"/>
      </w:pPr>
      <w:r>
        <w:rPr>
          <w:color w:val="000000"/>
          <w:spacing w:val="0"/>
          <w:w w:val="100"/>
          <w:position w:val="0"/>
        </w:rPr>
        <w:t>主要机构应外观完整，无可见裂纹、明显变形和严重腐蚀。</w:t>
      </w:r>
    </w:p>
    <w:p>
      <w:pPr>
        <w:pStyle w:val="Bodytext2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4</w:t>
      </w:r>
      <w:r>
        <w:rPr>
          <w:rFonts w:ascii="SimSun" w:eastAsia="SimSun" w:hAnsi="SimSun" w:cs="SimSun"/>
          <w:b/>
          <w:bCs/>
          <w:color w:val="000000"/>
          <w:spacing w:val="0"/>
          <w:w w:val="100"/>
          <w:position w:val="0"/>
          <w:lang w:val="zh-TW" w:eastAsia="zh-TW" w:bidi="zh-TW"/>
        </w:rPr>
        <w:t>电缆</w:t>
      </w:r>
    </w:p>
    <w:p>
      <w:pPr>
        <w:pStyle w:val="Bodytext10"/>
        <w:keepNext w:val="0"/>
        <w:keepLines w:val="0"/>
        <w:widowControl w:val="0"/>
        <w:shd w:val="clear" w:color="auto" w:fill="auto"/>
        <w:bidi w:val="0"/>
        <w:spacing w:before="0" w:after="180" w:line="240" w:lineRule="auto"/>
        <w:ind w:left="0" w:right="0" w:firstLine="420"/>
        <w:jc w:val="both"/>
      </w:pPr>
      <w:r>
        <w:rPr>
          <w:color w:val="000000"/>
          <w:spacing w:val="0"/>
          <w:w w:val="100"/>
          <w:position w:val="0"/>
        </w:rPr>
        <w:t>电缆应外观完整，无破损。</w:t>
      </w:r>
    </w:p>
    <w:p>
      <w:pPr>
        <w:pStyle w:val="Bodytext20"/>
        <w:keepNext w:val="0"/>
        <w:keepLines w:val="0"/>
        <w:widowControl w:val="0"/>
        <w:shd w:val="clear" w:color="auto" w:fill="auto"/>
        <w:bidi w:val="0"/>
        <w:spacing w:before="0" w:after="140" w:line="240" w:lineRule="auto"/>
        <w:ind w:left="0" w:right="0" w:firstLine="0"/>
        <w:jc w:val="left"/>
        <w:sectPr>
          <w:headerReference w:type="even" r:id="rId31"/>
          <w:headerReference w:type="default" r:id="rId32"/>
          <w:footerReference w:type="even" r:id="rId33"/>
          <w:footerReference w:type="default" r:id="rId34"/>
          <w:type w:val="nextPage"/>
          <w:pgSz w:w="11900" w:h="16840"/>
          <w:pgMar w:top="1974" w:right="1157" w:bottom="1691" w:left="1233" w:header="0" w:footer="3" w:gutter="0"/>
          <w:pgNumType w:start="6"/>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A.3.5</w:t>
      </w:r>
      <w:r>
        <w:rPr>
          <w:rFonts w:ascii="SimSun" w:eastAsia="SimSun" w:hAnsi="SimSun" w:cs="SimSun"/>
          <w:b/>
          <w:bCs/>
          <w:color w:val="000000"/>
          <w:spacing w:val="0"/>
          <w:w w:val="100"/>
          <w:position w:val="0"/>
          <w:lang w:val="zh-TW" w:eastAsia="zh-TW" w:bidi="zh-TW"/>
        </w:rPr>
        <w:t>防护罩壳</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防护罩壳应外观完整，固定可靠。</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A.3.6</w:t>
      </w:r>
      <w:r>
        <w:rPr>
          <w:rFonts w:ascii="SimSun" w:eastAsia="SimSun" w:hAnsi="SimSun" w:cs="SimSun"/>
          <w:b/>
          <w:bCs/>
          <w:color w:val="000000"/>
          <w:spacing w:val="0"/>
          <w:w w:val="100"/>
          <w:position w:val="0"/>
          <w:lang w:val="zh-TW" w:eastAsia="zh-TW" w:bidi="zh-TW"/>
        </w:rPr>
        <w:t>吊笼</w:t>
      </w:r>
    </w:p>
    <w:p>
      <w:pPr>
        <w:pStyle w:val="Bodytext10"/>
        <w:keepNext w:val="0"/>
        <w:keepLines w:val="0"/>
        <w:widowControl w:val="0"/>
        <w:shd w:val="clear" w:color="auto" w:fill="auto"/>
        <w:bidi w:val="0"/>
        <w:spacing w:before="0" w:after="220" w:line="310" w:lineRule="exact"/>
        <w:ind w:left="0" w:right="0" w:firstLine="440"/>
        <w:jc w:val="left"/>
      </w:pPr>
      <w:r>
        <w:rPr>
          <w:color w:val="000000"/>
          <w:spacing w:val="0"/>
          <w:w w:val="100"/>
          <w:position w:val="0"/>
        </w:rPr>
        <w:t>吊笼上应设机械锁勾以保证运动时不会自动打开；吊笼门应设电气安全开关，当门未完全关闭时， 该开关应有效切断控制回路电源，使吊笼停止或无法起动；吊笼应设紧急逃离天窗，并设电气联锁；笼 顶应设防护围栏，围栏高度不小于</w:t>
      </w:r>
      <w:r>
        <w:rPr>
          <w:rFonts w:ascii="Times New Roman" w:eastAsia="Times New Roman" w:hAnsi="Times New Roman" w:cs="Times New Roman"/>
          <w:color w:val="000000"/>
          <w:spacing w:val="0"/>
          <w:w w:val="100"/>
          <w:position w:val="0"/>
          <w:lang w:val="en-US" w:eastAsia="en-US" w:bidi="en-US"/>
        </w:rPr>
        <w:t>1.05m</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A.3.7</w:t>
      </w:r>
      <w:r>
        <w:rPr>
          <w:rFonts w:ascii="SimSun" w:eastAsia="SimSun" w:hAnsi="SimSun" w:cs="SimSun"/>
          <w:b/>
          <w:bCs/>
          <w:color w:val="000000"/>
          <w:spacing w:val="0"/>
          <w:w w:val="100"/>
          <w:position w:val="0"/>
          <w:lang w:val="zh-TW" w:eastAsia="zh-TW" w:bidi="zh-TW"/>
        </w:rPr>
        <w:t>制动器</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制动性能良好，有手动松闸功能。</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A.3.8</w:t>
      </w:r>
      <w:r>
        <w:rPr>
          <w:b/>
          <w:bCs/>
          <w:color w:val="000000"/>
          <w:spacing w:val="0"/>
          <w:w w:val="100"/>
          <w:position w:val="0"/>
        </w:rPr>
        <w:t>导向轮、背轮</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导向轮应导向灵活、无明显倾侧现象，背轮上下各设置一处挡块。</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A.3.9</w:t>
      </w:r>
      <w:r>
        <w:rPr>
          <w:b/>
          <w:bCs/>
          <w:color w:val="000000"/>
          <w:spacing w:val="0"/>
          <w:w w:val="100"/>
          <w:position w:val="0"/>
        </w:rPr>
        <w:t>电缆导向架</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应按要求设置电缆导向架。</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A.3.10</w:t>
      </w:r>
      <w:r>
        <w:rPr>
          <w:rFonts w:ascii="SimSun" w:eastAsia="SimSun" w:hAnsi="SimSun" w:cs="SimSun"/>
          <w:b/>
          <w:bCs/>
          <w:color w:val="000000"/>
          <w:spacing w:val="0"/>
          <w:w w:val="100"/>
          <w:position w:val="0"/>
          <w:lang w:val="zh-TW" w:eastAsia="zh-TW" w:bidi="zh-TW"/>
        </w:rPr>
        <w:t>对重导轨</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对重导轨接缝应平整，导向良好。</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11</w:t>
      </w:r>
      <w:r>
        <w:rPr>
          <w:rFonts w:ascii="SimSun" w:eastAsia="SimSun" w:hAnsi="SimSun" w:cs="SimSun"/>
          <w:b/>
          <w:bCs/>
          <w:color w:val="000000"/>
          <w:spacing w:val="0"/>
          <w:w w:val="100"/>
          <w:position w:val="0"/>
          <w:lang w:val="zh-TW" w:eastAsia="zh-TW" w:bidi="zh-TW"/>
        </w:rPr>
        <w:t>附着架</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附着架的附着间距和自由端高度应符合使用说明书要求。</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12</w:t>
      </w:r>
      <w:r>
        <w:rPr>
          <w:rFonts w:ascii="SimSun" w:eastAsia="SimSun" w:hAnsi="SimSun" w:cs="SimSun"/>
          <w:b/>
          <w:bCs/>
          <w:color w:val="000000"/>
          <w:spacing w:val="0"/>
          <w:w w:val="100"/>
          <w:position w:val="0"/>
          <w:lang w:val="zh-TW" w:eastAsia="zh-TW" w:bidi="zh-TW"/>
        </w:rPr>
        <w:t>防坠安全器</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防坠安全器应在有效标定期限内使用。</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 xml:space="preserve">13 </w:t>
      </w:r>
      <w:r>
        <w:rPr>
          <w:rFonts w:ascii="SimSun" w:eastAsia="SimSun" w:hAnsi="SimSun" w:cs="SimSun"/>
          <w:b/>
          <w:bCs/>
          <w:color w:val="000000"/>
          <w:spacing w:val="0"/>
          <w:w w:val="100"/>
          <w:position w:val="0"/>
          <w:lang w:val="zh-TW" w:eastAsia="zh-TW" w:bidi="zh-TW"/>
        </w:rPr>
        <w:t>安全钩</w:t>
      </w:r>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安全钩的安装位置原</w:t>
      </w:r>
      <w:r>
        <w:rPr>
          <w:color w:val="1D2025"/>
          <w:spacing w:val="0"/>
          <w:w w:val="100"/>
          <w:position w:val="0"/>
        </w:rPr>
        <w:t>构应能防止吊</w:t>
      </w:r>
      <w:r>
        <w:rPr>
          <w:color w:val="000000"/>
          <w:spacing w:val="0"/>
          <w:w w:val="100"/>
          <w:position w:val="0"/>
        </w:rPr>
        <w:t>笼脱离导轨架或防坠安全器输岀齿轮脱离齿条。</w:t>
      </w:r>
    </w:p>
    <w:p>
      <w:pPr>
        <w:pStyle w:val="Bodytext20"/>
        <w:keepNext w:val="0"/>
        <w:keepLines w:val="0"/>
        <w:widowControl w:val="0"/>
        <w:shd w:val="clear" w:color="auto" w:fill="auto"/>
        <w:bidi w:val="0"/>
        <w:spacing w:before="0" w:after="6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3. </w:t>
      </w:r>
      <w:r>
        <w:rPr>
          <w:rFonts w:ascii="Times New Roman" w:eastAsia="Times New Roman" w:hAnsi="Times New Roman" w:cs="Times New Roman"/>
          <w:color w:val="000000"/>
          <w:spacing w:val="0"/>
          <w:w w:val="100"/>
          <w:position w:val="0"/>
          <w:lang w:val="zh-TW" w:eastAsia="zh-TW" w:bidi="zh-TW"/>
        </w:rPr>
        <w:t>14</w:t>
      </w:r>
      <w:r>
        <w:rPr>
          <w:rFonts w:ascii="SimSun" w:eastAsia="SimSun" w:hAnsi="SimSun" w:cs="SimSun"/>
          <w:b/>
          <w:bCs/>
          <w:color w:val="000000"/>
          <w:spacing w:val="0"/>
          <w:w w:val="100"/>
          <w:position w:val="0"/>
          <w:lang w:val="zh-TW" w:eastAsia="zh-TW" w:bidi="zh-TW"/>
        </w:rPr>
        <w:t>电控柜</w:t>
      </w:r>
    </w:p>
    <w:p>
      <w:pPr>
        <w:pStyle w:val="Bodytext10"/>
        <w:keepNext w:val="0"/>
        <w:keepLines w:val="0"/>
        <w:widowControl w:val="0"/>
        <w:shd w:val="clear" w:color="auto" w:fill="auto"/>
        <w:bidi w:val="0"/>
        <w:spacing w:before="0" w:after="380" w:line="305" w:lineRule="exact"/>
        <w:ind w:left="0" w:right="0" w:firstLine="440"/>
        <w:jc w:val="left"/>
      </w:pPr>
      <w:r>
        <w:rPr>
          <w:color w:val="000000"/>
          <w:spacing w:val="0"/>
          <w:w w:val="100"/>
          <w:position w:val="0"/>
        </w:rPr>
        <w:t>电控柜的设置应符合设计文件规定。任</w:t>
      </w:r>
      <w:r>
        <w:rPr>
          <w:color w:val="1D2025"/>
          <w:spacing w:val="0"/>
          <w:w w:val="100"/>
          <w:position w:val="0"/>
        </w:rPr>
        <w:t>何电气设备都应能</w:t>
      </w:r>
      <w:r>
        <w:rPr>
          <w:color w:val="000000"/>
          <w:spacing w:val="0"/>
          <w:w w:val="100"/>
          <w:position w:val="0"/>
        </w:rPr>
        <w:t>防护外部的有害或危险影响及落物（如雨、 雪、泥浆、灰尘等）。防护等级应为：便携式控</w:t>
      </w:r>
      <w:r>
        <w:rPr>
          <w:color w:val="1D2025"/>
          <w:spacing w:val="0"/>
          <w:w w:val="100"/>
          <w:position w:val="0"/>
        </w:rPr>
        <w:t>制装置</w:t>
      </w:r>
      <w:r>
        <w:rPr>
          <w:color w:val="000000"/>
          <w:spacing w:val="0"/>
          <w:w w:val="100"/>
          <w:position w:val="0"/>
        </w:rPr>
        <w:t>不低于</w:t>
      </w:r>
      <w:r>
        <w:rPr>
          <w:rFonts w:ascii="Times New Roman" w:eastAsia="Times New Roman" w:hAnsi="Times New Roman" w:cs="Times New Roman"/>
          <w:color w:val="1D2025"/>
          <w:spacing w:val="0"/>
          <w:w w:val="100"/>
          <w:position w:val="0"/>
          <w:lang w:val="en-US" w:eastAsia="en-US" w:bidi="en-US"/>
        </w:rPr>
        <w:t>IP65</w:t>
      </w:r>
      <w:r>
        <w:rPr>
          <w:color w:val="1D2025"/>
          <w:spacing w:val="0"/>
          <w:w w:val="100"/>
          <w:position w:val="0"/>
          <w:lang w:val="en-US" w:eastAsia="en-US" w:bidi="en-US"/>
        </w:rPr>
        <w:t>；</w:t>
      </w:r>
      <w:r>
        <w:rPr>
          <w:color w:val="000000"/>
          <w:spacing w:val="0"/>
          <w:w w:val="100"/>
          <w:position w:val="0"/>
        </w:rPr>
        <w:t>控制柜、开关、制动器的电气元件 不低于</w:t>
      </w:r>
      <w:r>
        <w:rPr>
          <w:rFonts w:ascii="Times New Roman" w:eastAsia="Times New Roman" w:hAnsi="Times New Roman" w:cs="Times New Roman"/>
          <w:color w:val="000000"/>
          <w:spacing w:val="0"/>
          <w:w w:val="100"/>
          <w:position w:val="0"/>
          <w:lang w:val="en-US" w:eastAsia="en-US" w:bidi="en-US"/>
        </w:rPr>
        <w:t>IP53</w:t>
      </w:r>
      <w:r>
        <w:rPr>
          <w:color w:val="000000"/>
          <w:spacing w:val="0"/>
          <w:w w:val="100"/>
          <w:position w:val="0"/>
          <w:lang w:val="en-US" w:eastAsia="en-US" w:bidi="en-US"/>
        </w:rPr>
        <w:t>；</w:t>
      </w:r>
      <w:r>
        <w:rPr>
          <w:color w:val="000000"/>
          <w:spacing w:val="0"/>
          <w:w w:val="100"/>
          <w:position w:val="0"/>
        </w:rPr>
        <w:t>电动机不低于</w:t>
      </w:r>
      <w:r>
        <w:rPr>
          <w:rFonts w:ascii="Times New Roman" w:eastAsia="Times New Roman" w:hAnsi="Times New Roman" w:cs="Times New Roman"/>
          <w:color w:val="000000"/>
          <w:spacing w:val="0"/>
          <w:w w:val="100"/>
          <w:position w:val="0"/>
          <w:lang w:val="en-US" w:eastAsia="en-US" w:bidi="en-US"/>
        </w:rPr>
        <w:t>IP44</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A.4</w:t>
      </w:r>
      <w:r>
        <w:rPr>
          <w:b/>
          <w:bCs/>
          <w:color w:val="000000"/>
          <w:spacing w:val="0"/>
          <w:w w:val="100"/>
          <w:position w:val="0"/>
        </w:rPr>
        <w:t>安全保护装置</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4. </w:t>
      </w:r>
      <w:r>
        <w:rPr>
          <w:rFonts w:ascii="Times New Roman" w:eastAsia="Times New Roman" w:hAnsi="Times New Roman" w:cs="Times New Roman"/>
          <w:color w:val="000000"/>
          <w:spacing w:val="0"/>
          <w:w w:val="100"/>
          <w:position w:val="0"/>
        </w:rPr>
        <w:t>1</w:t>
      </w:r>
      <w:r>
        <w:rPr>
          <w:b/>
          <w:bCs/>
          <w:color w:val="000000"/>
          <w:spacing w:val="0"/>
          <w:w w:val="100"/>
          <w:position w:val="0"/>
        </w:rPr>
        <w:t>上、下行程开关</w:t>
      </w:r>
    </w:p>
    <w:p>
      <w:pPr>
        <w:pStyle w:val="Bodytext10"/>
        <w:keepNext w:val="0"/>
        <w:keepLines w:val="0"/>
        <w:widowControl w:val="0"/>
        <w:shd w:val="clear" w:color="auto" w:fill="auto"/>
        <w:bidi w:val="0"/>
        <w:spacing w:before="0" w:after="220" w:line="317" w:lineRule="exact"/>
        <w:ind w:left="0" w:right="0" w:firstLine="440"/>
        <w:jc w:val="both"/>
      </w:pPr>
      <w:r>
        <w:rPr>
          <w:color w:val="000000"/>
          <w:spacing w:val="0"/>
          <w:w w:val="100"/>
          <w:position w:val="0"/>
        </w:rPr>
        <w:t>应设置上、下行程开关，上、下行程开关应能使以额定速度运行的吊笼在接触到上、下极限开关前 自动停止。</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4.2</w:t>
      </w:r>
      <w:r>
        <w:rPr>
          <w:b/>
          <w:bCs/>
          <w:color w:val="000000"/>
          <w:spacing w:val="0"/>
          <w:w w:val="100"/>
          <w:position w:val="0"/>
        </w:rPr>
        <w:t>上、下极限开关</w:t>
      </w:r>
    </w:p>
    <w:p>
      <w:pPr>
        <w:pStyle w:val="Bodytext10"/>
        <w:keepNext w:val="0"/>
        <w:keepLines w:val="0"/>
        <w:widowControl w:val="0"/>
        <w:shd w:val="clear" w:color="auto" w:fill="auto"/>
        <w:bidi w:val="0"/>
        <w:spacing w:before="0" w:after="220" w:line="312" w:lineRule="exact"/>
        <w:ind w:left="0" w:right="0" w:firstLine="440"/>
        <w:jc w:val="both"/>
        <w:sectPr>
          <w:headerReference w:type="even" r:id="rId35"/>
          <w:headerReference w:type="default" r:id="rId36"/>
          <w:footerReference w:type="even" r:id="rId37"/>
          <w:footerReference w:type="default" r:id="rId38"/>
          <w:type w:val="nextPage"/>
          <w:pgSz w:w="11900" w:h="16840"/>
          <w:pgMar w:top="1974" w:right="1157" w:bottom="1691" w:left="1233" w:header="0" w:footer="3" w:gutter="0"/>
          <w:pgNumType w:start="7"/>
          <w:cols w:space="720"/>
          <w:noEndnote/>
          <w:titlePg w:val="0"/>
          <w:rtlGutter w:val="0"/>
          <w:docGrid w:linePitch="360"/>
        </w:sectPr>
      </w:pPr>
      <w:r>
        <w:rPr>
          <w:color w:val="000000"/>
          <w:spacing w:val="0"/>
          <w:w w:val="100"/>
          <w:position w:val="0"/>
        </w:rPr>
        <w:t>在行程最上和最下端均应设置一个极限开关，其应能在吊笼与其他机械式停止装置（如缓冲器）接</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 xml:space="preserve"> 触前切断动力供应，使吊笼停止。极限开关与行程开关不应共用一个触发元件。极限开关均应由吊笼或</w:t>
      </w:r>
      <w:r>
        <w:rPr>
          <w:color w:val="000000"/>
          <w:spacing w:val="0"/>
          <w:w w:val="100"/>
          <w:position w:val="0"/>
        </w:rPr>
        <w:t xml:space="preserve"> 其相关部件的运动直接触发。极限开关应为符合要求的电气安全装置。</w:t>
      </w:r>
    </w:p>
    <w:p>
      <w:pPr>
        <w:pStyle w:val="Bodytext10"/>
        <w:keepNext w:val="0"/>
        <w:keepLines w:val="0"/>
        <w:widowControl w:val="0"/>
        <w:shd w:val="clear" w:color="auto" w:fill="auto"/>
        <w:bidi w:val="0"/>
        <w:spacing w:before="0" w:after="16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A.4.3</w:t>
      </w:r>
      <w:r>
        <w:rPr>
          <w:b/>
          <w:bCs/>
          <w:color w:val="000000"/>
          <w:spacing w:val="0"/>
          <w:w w:val="100"/>
          <w:position w:val="0"/>
        </w:rPr>
        <w:t>防松绳装置</w:t>
      </w:r>
    </w:p>
    <w:p>
      <w:pPr>
        <w:pStyle w:val="Bodytext10"/>
        <w:keepNext w:val="0"/>
        <w:keepLines w:val="0"/>
        <w:widowControl w:val="0"/>
        <w:shd w:val="clear" w:color="auto" w:fill="auto"/>
        <w:bidi w:val="0"/>
        <w:spacing w:before="0" w:after="220" w:line="307" w:lineRule="exact"/>
        <w:ind w:left="0" w:right="0" w:firstLine="440"/>
        <w:jc w:val="both"/>
      </w:pPr>
      <w:r>
        <w:rPr>
          <w:color w:val="000000"/>
          <w:spacing w:val="0"/>
          <w:w w:val="100"/>
          <w:position w:val="0"/>
        </w:rPr>
        <w:t>对重用的钢丝绳应设有防松绳装置，应采用符合要求的电气安全装置作为松绳开关，并能中断吊笼 的任何运动，直到经专业人员操作后才能恢复吊笼运动。</w:t>
      </w:r>
    </w:p>
    <w:p>
      <w:pPr>
        <w:pStyle w:val="Bodytext10"/>
        <w:keepNext w:val="0"/>
        <w:keepLines w:val="0"/>
        <w:widowControl w:val="0"/>
        <w:shd w:val="clear" w:color="auto" w:fill="auto"/>
        <w:bidi w:val="0"/>
        <w:spacing w:before="0" w:after="16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A.4.4</w:t>
      </w:r>
      <w:r>
        <w:rPr>
          <w:b/>
          <w:bCs/>
          <w:color w:val="000000"/>
          <w:spacing w:val="0"/>
          <w:w w:val="100"/>
          <w:position w:val="0"/>
        </w:rPr>
        <w:t>门的电气联锁装置</w:t>
      </w:r>
    </w:p>
    <w:p>
      <w:pPr>
        <w:pStyle w:val="Bodytext10"/>
        <w:keepNext w:val="0"/>
        <w:keepLines w:val="0"/>
        <w:widowControl w:val="0"/>
        <w:shd w:val="clear" w:color="auto" w:fill="auto"/>
        <w:bidi w:val="0"/>
        <w:spacing w:before="0" w:after="220" w:line="310" w:lineRule="exact"/>
        <w:ind w:left="0" w:right="0" w:firstLine="440"/>
        <w:jc w:val="left"/>
      </w:pPr>
      <w:r>
        <w:rPr>
          <w:color w:val="000000"/>
          <w:spacing w:val="0"/>
          <w:w w:val="100"/>
          <w:position w:val="0"/>
        </w:rPr>
        <w:t>当围栏门未完全关闭时，应使吊笼停止或无法启动，该电气联锁装置应为符合要求的电气安全装置。 吊笼门、层门应设有电气安全开关。当门未完全关闭时，该开关应有效切断控制回路电源，使吊笼 停止或无法启动。</w:t>
      </w:r>
    </w:p>
    <w:p>
      <w:pPr>
        <w:pStyle w:val="Bodytext10"/>
        <w:keepNext w:val="0"/>
        <w:keepLines w:val="0"/>
        <w:widowControl w:val="0"/>
        <w:shd w:val="clear" w:color="auto" w:fill="auto"/>
        <w:bidi w:val="0"/>
        <w:spacing w:before="0" w:after="16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A.4.5</w:t>
      </w:r>
      <w:r>
        <w:rPr>
          <w:b/>
          <w:bCs/>
          <w:color w:val="000000"/>
          <w:spacing w:val="0"/>
          <w:w w:val="100"/>
          <w:position w:val="0"/>
        </w:rPr>
        <w:t>安装、拆卸和维护</w:t>
      </w:r>
      <w:r>
        <w:rPr>
          <w:rFonts w:ascii="Times New Roman" w:eastAsia="Times New Roman" w:hAnsi="Times New Roman" w:cs="Times New Roman"/>
          <w:color w:val="000000"/>
          <w:spacing w:val="0"/>
          <w:w w:val="100"/>
          <w:position w:val="0"/>
        </w:rPr>
        <w:t>/</w:t>
      </w:r>
      <w:r>
        <w:rPr>
          <w:b/>
          <w:bCs/>
          <w:color w:val="000000"/>
          <w:spacing w:val="0"/>
          <w:w w:val="100"/>
          <w:position w:val="0"/>
        </w:rPr>
        <w:t>检查作业控制装置</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该装置应为符合要求的电气安全装置，该开关应是双稳态的，能锁住并且能不受维护</w:t>
      </w:r>
      <w:r>
        <w:rPr>
          <w:rFonts w:ascii="Times New Roman" w:eastAsia="Times New Roman" w:hAnsi="Times New Roman" w:cs="Times New Roman"/>
          <w:color w:val="000000"/>
          <w:spacing w:val="0"/>
          <w:w w:val="100"/>
          <w:position w:val="0"/>
        </w:rPr>
        <w:t>/</w:t>
      </w:r>
      <w:r>
        <w:rPr>
          <w:color w:val="000000"/>
          <w:spacing w:val="0"/>
          <w:w w:val="100"/>
          <w:position w:val="0"/>
        </w:rPr>
        <w:t>检查控制装 置以外的所有控制信号的干扰。只有通过维护</w:t>
      </w:r>
      <w:r>
        <w:rPr>
          <w:rFonts w:ascii="Times New Roman" w:eastAsia="Times New Roman" w:hAnsi="Times New Roman" w:cs="Times New Roman"/>
          <w:color w:val="000000"/>
          <w:spacing w:val="0"/>
          <w:w w:val="100"/>
          <w:position w:val="0"/>
        </w:rPr>
        <w:t>/</w:t>
      </w:r>
      <w:r>
        <w:rPr>
          <w:color w:val="000000"/>
          <w:spacing w:val="0"/>
          <w:w w:val="100"/>
          <w:position w:val="0"/>
        </w:rPr>
        <w:t>检查开关的操作，才能使升降机恢复正常作业。止一动 控制装置应设计成只能由人工操作开启，并且应清楚地标明运行方向。</w:t>
      </w:r>
    </w:p>
    <w:p>
      <w:pPr>
        <w:pStyle w:val="Bodytext10"/>
        <w:keepNext w:val="0"/>
        <w:keepLines w:val="0"/>
        <w:widowControl w:val="0"/>
        <w:shd w:val="clear" w:color="auto" w:fill="auto"/>
        <w:bidi w:val="0"/>
        <w:spacing w:before="0" w:after="16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A.4.6</w:t>
      </w:r>
      <w:r>
        <w:rPr>
          <w:b/>
          <w:bCs/>
          <w:color w:val="000000"/>
          <w:spacing w:val="0"/>
          <w:w w:val="100"/>
          <w:position w:val="0"/>
        </w:rPr>
        <w:t>电气保护装置</w:t>
      </w:r>
    </w:p>
    <w:p>
      <w:pPr>
        <w:pStyle w:val="Bodytext10"/>
        <w:keepNext w:val="0"/>
        <w:keepLines w:val="0"/>
        <w:widowControl w:val="0"/>
        <w:shd w:val="clear" w:color="auto" w:fill="auto"/>
        <w:bidi w:val="0"/>
        <w:spacing w:before="0" w:after="220" w:line="312" w:lineRule="exact"/>
        <w:ind w:left="0" w:right="0" w:firstLine="440"/>
        <w:jc w:val="left"/>
      </w:pPr>
      <w:r>
        <w:rPr>
          <w:color w:val="000000"/>
          <w:spacing w:val="0"/>
          <w:w w:val="100"/>
          <w:position w:val="0"/>
        </w:rPr>
        <w:t>应设置短路及过流保护、欠压、过压及失压保护、零位保护、电源错相与断相保护等电气保护装置, 上述保护装置中的任一装置起作用时，整机应停止运行，直至故障消除。</w:t>
      </w:r>
    </w:p>
    <w:p>
      <w:pPr>
        <w:pStyle w:val="Bodytext1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4.7</w:t>
      </w:r>
      <w:r>
        <w:rPr>
          <w:b/>
          <w:bCs/>
          <w:color w:val="000000"/>
          <w:spacing w:val="0"/>
          <w:w w:val="100"/>
          <w:position w:val="0"/>
        </w:rPr>
        <w:t>超载保护装置</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应设置超载保护装置，该装置应对吊笼内载荷、吊笼自重载荷、吊笼顶部载荷均有效，应在吊笼载 荷达到额定载重量的</w:t>
      </w:r>
      <w:r>
        <w:rPr>
          <w:rFonts w:ascii="Times New Roman" w:eastAsia="Times New Roman" w:hAnsi="Times New Roman" w:cs="Times New Roman"/>
          <w:color w:val="000000"/>
          <w:spacing w:val="0"/>
          <w:w w:val="100"/>
          <w:position w:val="0"/>
        </w:rPr>
        <w:t>90%</w:t>
      </w:r>
      <w:r>
        <w:rPr>
          <w:color w:val="000000"/>
          <w:spacing w:val="0"/>
          <w:w w:val="100"/>
          <w:position w:val="0"/>
        </w:rPr>
        <w:t>时给岀清晰的报警信号，并在载荷达到额定载重量</w:t>
      </w:r>
      <w:r>
        <w:rPr>
          <w:rFonts w:ascii="Times New Roman" w:eastAsia="Times New Roman" w:hAnsi="Times New Roman" w:cs="Times New Roman"/>
          <w:color w:val="000000"/>
          <w:spacing w:val="0"/>
          <w:w w:val="100"/>
          <w:position w:val="0"/>
        </w:rPr>
        <w:t>110%</w:t>
      </w:r>
      <w:r>
        <w:rPr>
          <w:color w:val="000000"/>
          <w:spacing w:val="0"/>
          <w:w w:val="100"/>
          <w:position w:val="0"/>
        </w:rPr>
        <w:t>前终止吊笼启动（对 于货用施工升降机可以没有报警功能）。</w:t>
      </w:r>
    </w:p>
    <w:p>
      <w:pPr>
        <w:pStyle w:val="Bodytext2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4. </w:t>
      </w:r>
      <w:r>
        <w:rPr>
          <w:rFonts w:ascii="Times New Roman" w:eastAsia="Times New Roman" w:hAnsi="Times New Roman" w:cs="Times New Roman"/>
          <w:color w:val="000000"/>
          <w:spacing w:val="0"/>
          <w:w w:val="100"/>
          <w:position w:val="0"/>
          <w:lang w:val="zh-TW" w:eastAsia="zh-TW" w:bidi="zh-TW"/>
        </w:rPr>
        <w:t>8</w:t>
      </w:r>
      <w:r>
        <w:rPr>
          <w:rFonts w:ascii="SimSun" w:eastAsia="SimSun" w:hAnsi="SimSun" w:cs="SimSun"/>
          <w:b/>
          <w:bCs/>
          <w:color w:val="000000"/>
          <w:spacing w:val="0"/>
          <w:w w:val="100"/>
          <w:position w:val="0"/>
          <w:lang w:val="zh-TW" w:eastAsia="zh-TW" w:bidi="zh-TW"/>
        </w:rPr>
        <w:t>急停开关</w:t>
      </w:r>
    </w:p>
    <w:p>
      <w:pPr>
        <w:pStyle w:val="Bodytext10"/>
        <w:keepNext w:val="0"/>
        <w:keepLines w:val="0"/>
        <w:widowControl w:val="0"/>
        <w:shd w:val="clear" w:color="auto" w:fill="auto"/>
        <w:bidi w:val="0"/>
        <w:spacing w:before="0" w:after="320" w:line="312" w:lineRule="exact"/>
        <w:ind w:left="0" w:right="0" w:firstLine="420"/>
        <w:jc w:val="left"/>
      </w:pPr>
      <w:r>
        <w:rPr>
          <w:color w:val="000000"/>
          <w:spacing w:val="0"/>
          <w:w w:val="100"/>
          <w:position w:val="0"/>
        </w:rPr>
        <w:t>应设置非自动复位的急</w:t>
      </w:r>
      <w:r>
        <w:rPr>
          <w:color w:val="1D2025"/>
          <w:spacing w:val="0"/>
          <w:w w:val="100"/>
          <w:position w:val="0"/>
        </w:rPr>
        <w:t>停开羌</w:t>
      </w:r>
      <w:r>
        <w:rPr>
          <w:rFonts w:ascii="Times New Roman" w:eastAsia="Times New Roman" w:hAnsi="Times New Roman" w:cs="Times New Roman"/>
          <w:color w:val="000000"/>
          <w:spacing w:val="0"/>
          <w:w w:val="100"/>
          <w:position w:val="0"/>
        </w:rPr>
        <w:t>3</w:t>
      </w:r>
    </w:p>
    <w:p>
      <w:pPr>
        <w:pStyle w:val="Bodytext20"/>
        <w:keepNext w:val="0"/>
        <w:keepLines w:val="0"/>
        <w:widowControl w:val="0"/>
        <w:shd w:val="clear" w:color="auto" w:fill="auto"/>
        <w:bidi w:val="0"/>
        <w:spacing w:before="0" w:after="32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5</w:t>
      </w:r>
      <w:r>
        <w:rPr>
          <w:rFonts w:ascii="SimSun" w:eastAsia="SimSun" w:hAnsi="SimSun" w:cs="SimSun"/>
          <w:b/>
          <w:bCs/>
          <w:color w:val="000000"/>
          <w:spacing w:val="0"/>
          <w:w w:val="100"/>
          <w:position w:val="0"/>
          <w:lang w:val="zh-TW" w:eastAsia="zh-TW" w:bidi="zh-TW"/>
        </w:rPr>
        <w:t>试验</w:t>
      </w:r>
    </w:p>
    <w:p>
      <w:pPr>
        <w:pStyle w:val="Bodytext20"/>
        <w:keepNext w:val="0"/>
        <w:keepLines w:val="0"/>
        <w:widowControl w:val="0"/>
        <w:shd w:val="clear" w:color="auto" w:fill="auto"/>
        <w:bidi w:val="0"/>
        <w:spacing w:before="0" w:after="16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5.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bCs/>
          <w:color w:val="000000"/>
          <w:spacing w:val="0"/>
          <w:w w:val="100"/>
          <w:position w:val="0"/>
          <w:lang w:val="zh-TW" w:eastAsia="zh-TW" w:bidi="zh-TW"/>
        </w:rPr>
        <w:t>绝缘试验</w:t>
      </w:r>
    </w:p>
    <w:p>
      <w:pPr>
        <w:pStyle w:val="Bodytext10"/>
        <w:keepNext w:val="0"/>
        <w:keepLines w:val="0"/>
        <w:widowControl w:val="0"/>
        <w:shd w:val="clear" w:color="auto" w:fill="auto"/>
        <w:bidi w:val="0"/>
        <w:spacing w:before="0" w:after="260" w:line="312" w:lineRule="exact"/>
        <w:ind w:left="0" w:right="0" w:firstLine="420"/>
        <w:jc w:val="left"/>
      </w:pPr>
      <w:r>
        <w:rPr>
          <w:color w:val="000000"/>
          <w:spacing w:val="0"/>
          <w:w w:val="100"/>
          <w:position w:val="0"/>
        </w:rPr>
        <w:t>主回路和控制回路的绝缘电阻不小于</w:t>
      </w:r>
      <w:r>
        <w:rPr>
          <w:rFonts w:ascii="Times New Roman" w:eastAsia="Times New Roman" w:hAnsi="Times New Roman" w:cs="Times New Roman"/>
          <w:color w:val="000000"/>
          <w:spacing w:val="0"/>
          <w:w w:val="100"/>
          <w:position w:val="0"/>
          <w:lang w:val="en-US" w:eastAsia="en-US" w:bidi="en-US"/>
        </w:rPr>
        <w:t>1MQ,</w:t>
      </w:r>
      <w:r>
        <w:rPr>
          <w:color w:val="000000"/>
          <w:spacing w:val="0"/>
          <w:w w:val="100"/>
          <w:position w:val="0"/>
        </w:rPr>
        <w:t>所有</w:t>
      </w:r>
      <w:r>
        <w:rPr>
          <w:color w:val="1D2025"/>
          <w:spacing w:val="0"/>
          <w:w w:val="100"/>
          <w:position w:val="0"/>
        </w:rPr>
        <w:t>电气设</w:t>
      </w:r>
      <w:r>
        <w:rPr>
          <w:color w:val="434952"/>
          <w:spacing w:val="0"/>
          <w:w w:val="100"/>
          <w:position w:val="0"/>
        </w:rPr>
        <w:t>食的绝</w:t>
      </w:r>
      <w:r>
        <w:rPr>
          <w:color w:val="1D2025"/>
          <w:spacing w:val="0"/>
          <w:w w:val="100"/>
          <w:position w:val="0"/>
        </w:rPr>
        <w:t>缘电阻</w:t>
      </w:r>
      <w:r>
        <w:rPr>
          <w:color w:val="000000"/>
          <w:spacing w:val="0"/>
          <w:w w:val="100"/>
          <w:position w:val="0"/>
        </w:rPr>
        <w:t>不小于</w:t>
      </w:r>
      <w:r>
        <w:rPr>
          <w:rFonts w:ascii="Times New Roman" w:eastAsia="Times New Roman" w:hAnsi="Times New Roman" w:cs="Times New Roman"/>
          <w:color w:val="000000"/>
          <w:spacing w:val="0"/>
          <w:w w:val="100"/>
          <w:position w:val="0"/>
          <w:lang w:val="en-US" w:eastAsia="en-US" w:bidi="en-US"/>
        </w:rPr>
        <w:t>0.5MQ</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5. </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b/>
          <w:bCs/>
          <w:color w:val="000000"/>
          <w:spacing w:val="0"/>
          <w:w w:val="100"/>
          <w:position w:val="0"/>
          <w:lang w:val="zh-TW" w:eastAsia="zh-TW" w:bidi="zh-TW"/>
        </w:rPr>
        <w:t>空载试验</w:t>
      </w:r>
    </w:p>
    <w:p>
      <w:pPr>
        <w:pStyle w:val="Bodytext10"/>
        <w:keepNext w:val="0"/>
        <w:keepLines w:val="0"/>
        <w:widowControl w:val="0"/>
        <w:shd w:val="clear" w:color="auto" w:fill="auto"/>
        <w:bidi w:val="0"/>
        <w:spacing w:before="0" w:after="0" w:line="307" w:lineRule="exact"/>
        <w:ind w:left="0" w:right="0" w:firstLine="440"/>
        <w:jc w:val="both"/>
      </w:pPr>
      <w:r>
        <w:rPr>
          <w:color w:val="000000"/>
          <w:spacing w:val="0"/>
          <w:w w:val="100"/>
          <w:position w:val="0"/>
        </w:rPr>
        <w:t>在空载条件下，进行全程运行试验，升、降过程中各进行不少于两次的制动，</w:t>
      </w:r>
      <w:r>
        <w:rPr>
          <w:color w:val="1D2025"/>
          <w:spacing w:val="0"/>
          <w:w w:val="100"/>
          <w:position w:val="0"/>
        </w:rPr>
        <w:t>并且试</w:t>
      </w:r>
      <w:r>
        <w:rPr>
          <w:color w:val="000000"/>
          <w:spacing w:val="0"/>
          <w:w w:val="100"/>
          <w:position w:val="0"/>
        </w:rPr>
        <w:t>验各行程限位 装置，各项试验重复进行不少于</w:t>
      </w:r>
      <w:r>
        <w:rPr>
          <w:rFonts w:ascii="Times New Roman" w:eastAsia="Times New Roman" w:hAnsi="Times New Roman" w:cs="Times New Roman"/>
          <w:color w:val="000000"/>
          <w:spacing w:val="0"/>
          <w:w w:val="100"/>
          <w:position w:val="0"/>
        </w:rPr>
        <w:t>3</w:t>
      </w:r>
      <w:r>
        <w:rPr>
          <w:color w:val="000000"/>
          <w:spacing w:val="0"/>
          <w:w w:val="100"/>
          <w:position w:val="0"/>
        </w:rPr>
        <w:t>个循环，检查是否符合以下要求：</w:t>
      </w:r>
    </w:p>
    <w:p>
      <w:pPr>
        <w:pStyle w:val="Bodytext10"/>
        <w:keepNext w:val="0"/>
        <w:keepLines w:val="0"/>
        <w:widowControl w:val="0"/>
        <w:shd w:val="clear" w:color="auto" w:fill="auto"/>
        <w:bidi w:val="0"/>
        <w:spacing w:before="0" w:after="220" w:line="307" w:lineRule="exact"/>
        <w:ind w:left="0" w:right="0" w:firstLine="440"/>
        <w:jc w:val="both"/>
      </w:pPr>
      <w:r>
        <w:rPr>
          <w:color w:val="000000"/>
          <w:spacing w:val="0"/>
          <w:w w:val="100"/>
          <w:position w:val="0"/>
        </w:rPr>
        <w:t>操纵系统、控制系统、安全装置动作准确、灵敏、可靠；各机构动作平稳，驱动机构制动可靠，起 制动过程中无瞬时下滑现象；驱动系统无漏油过热、异常振颤、冲击、噪声异常等现象。</w:t>
      </w:r>
    </w:p>
    <w:p>
      <w:pPr>
        <w:pStyle w:val="Bodytext10"/>
        <w:keepNext w:val="0"/>
        <w:keepLines w:val="0"/>
        <w:widowControl w:val="0"/>
        <w:shd w:val="clear" w:color="auto" w:fill="auto"/>
        <w:bidi w:val="0"/>
        <w:spacing w:before="0" w:after="220" w:line="240" w:lineRule="auto"/>
        <w:ind w:left="0" w:right="0" w:firstLine="0"/>
        <w:jc w:val="left"/>
        <w:sectPr>
          <w:headerReference w:type="even" r:id="rId39"/>
          <w:headerReference w:type="default" r:id="rId40"/>
          <w:footerReference w:type="even" r:id="rId41"/>
          <w:footerReference w:type="default" r:id="rId42"/>
          <w:type w:val="nextPage"/>
          <w:pgSz w:w="11900" w:h="16840"/>
          <w:pgMar w:top="1974" w:right="1157" w:bottom="1691" w:left="1233" w:header="0" w:footer="3" w:gutter="0"/>
          <w:pgNumType w:start="8"/>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A. 5.3</w:t>
      </w:r>
      <w:r>
        <w:rPr>
          <w:b/>
          <w:bCs/>
          <w:color w:val="000000"/>
          <w:spacing w:val="0"/>
          <w:w w:val="100"/>
          <w:position w:val="0"/>
        </w:rPr>
        <w:t>额定载荷试验</w:t>
      </w:r>
    </w:p>
    <w:p>
      <w:pPr>
        <w:pStyle w:val="Bodytext10"/>
        <w:keepNext w:val="0"/>
        <w:keepLines w:val="0"/>
        <w:widowControl w:val="0"/>
        <w:shd w:val="clear" w:color="auto" w:fill="auto"/>
        <w:bidi w:val="0"/>
        <w:spacing w:before="0" w:after="220" w:line="317" w:lineRule="exact"/>
        <w:ind w:left="0" w:right="0" w:firstLine="440"/>
        <w:jc w:val="both"/>
      </w:pPr>
      <w:r>
        <w:rPr>
          <w:color w:val="000000"/>
          <w:spacing w:val="0"/>
          <w:w w:val="100"/>
          <w:position w:val="0"/>
        </w:rPr>
        <w:t>根据设计的额定载荷，进行不少于</w:t>
      </w:r>
      <w:r>
        <w:rPr>
          <w:rFonts w:ascii="Times New Roman" w:eastAsia="Times New Roman" w:hAnsi="Times New Roman" w:cs="Times New Roman"/>
          <w:color w:val="000000"/>
          <w:spacing w:val="0"/>
          <w:w w:val="100"/>
          <w:position w:val="0"/>
        </w:rPr>
        <w:t>3</w:t>
      </w:r>
      <w:r>
        <w:rPr>
          <w:color w:val="000000"/>
          <w:spacing w:val="0"/>
          <w:w w:val="100"/>
          <w:position w:val="0"/>
        </w:rPr>
        <w:t>个工作循环的额定载荷试验，每一工作循环的升、降过程应进 行不少于一次的制动（停止）操作。应检查是否符合要求：要求同空载试验。</w:t>
      </w:r>
    </w:p>
    <w:p>
      <w:pPr>
        <w:pStyle w:val="Bodytext2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A.5.4</w:t>
      </w:r>
      <w:r>
        <w:rPr>
          <w:rFonts w:ascii="SimSun" w:eastAsia="SimSun" w:hAnsi="SimSun" w:cs="SimSun"/>
          <w:b/>
          <w:bCs/>
          <w:color w:val="000000"/>
          <w:spacing w:val="0"/>
          <w:w w:val="100"/>
          <w:position w:val="0"/>
          <w:lang w:val="zh-TW" w:eastAsia="zh-TW" w:bidi="zh-TW"/>
        </w:rPr>
        <w:t>动载试验</w:t>
      </w:r>
    </w:p>
    <w:p>
      <w:pPr>
        <w:pStyle w:val="Bodytext10"/>
        <w:keepNext w:val="0"/>
        <w:keepLines w:val="0"/>
        <w:widowControl w:val="0"/>
        <w:shd w:val="clear" w:color="auto" w:fill="auto"/>
        <w:bidi w:val="0"/>
        <w:spacing w:before="0" w:after="220" w:line="319" w:lineRule="exact"/>
        <w:ind w:left="0" w:right="0" w:firstLine="640"/>
        <w:jc w:val="left"/>
      </w:pPr>
      <w:r>
        <w:rPr>
          <w:color w:val="000000"/>
          <w:spacing w:val="0"/>
          <w:w w:val="100"/>
          <w:position w:val="0"/>
        </w:rPr>
        <w:t>吊笼均匀装载</w:t>
      </w:r>
      <w:r>
        <w:rPr>
          <w:rFonts w:ascii="Times New Roman" w:eastAsia="Times New Roman" w:hAnsi="Times New Roman" w:cs="Times New Roman"/>
          <w:color w:val="000000"/>
          <w:spacing w:val="0"/>
          <w:w w:val="100"/>
          <w:position w:val="0"/>
        </w:rPr>
        <w:t>125%</w:t>
      </w:r>
      <w:r>
        <w:rPr>
          <w:color w:val="000000"/>
          <w:spacing w:val="0"/>
          <w:w w:val="100"/>
          <w:position w:val="0"/>
        </w:rPr>
        <w:t>的额定载重量，进行全程运行试验，升、降过程中各进行不少于一次的制动， 检查是否符合以下要求：机构运行正常，制动有效；卸载后升降机不应岀现可见裂纹严重变形连接松动 及其他对升降机性能和安全有影响的损坏。</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A.5.5</w:t>
      </w:r>
      <w:r>
        <w:rPr>
          <w:b/>
          <w:bCs/>
          <w:color w:val="000000"/>
          <w:spacing w:val="0"/>
          <w:w w:val="100"/>
          <w:position w:val="0"/>
        </w:rPr>
        <w:t>吊笼坠落试验</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通过操作按钮盒驱动吊笼上升</w:t>
      </w:r>
      <w:r>
        <w:rPr>
          <w:rFonts w:ascii="Times New Roman" w:eastAsia="Times New Roman" w:hAnsi="Times New Roman" w:cs="Times New Roman"/>
          <w:color w:val="000000"/>
          <w:spacing w:val="0"/>
          <w:w w:val="100"/>
          <w:position w:val="0"/>
          <w:lang w:val="en-US" w:eastAsia="en-US" w:bidi="en-US"/>
        </w:rPr>
        <w:t>3m</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10m</w:t>
      </w:r>
      <w:r>
        <w:rPr>
          <w:color w:val="000000"/>
          <w:spacing w:val="0"/>
          <w:w w:val="100"/>
          <w:position w:val="0"/>
        </w:rPr>
        <w:t>，按坠落试验按钮，使驱动机构制动器松闸，吊笼坠落，达到 动作速度时防坠安全器动作，将吊笼制停。检查是否符合以下要求：防坠安全器动作时电气安全开关切 断驱动机构控制电源，制动距离符合</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26557</w:t>
      </w:r>
      <w:r>
        <w:rPr>
          <w:color w:val="000000"/>
          <w:spacing w:val="0"/>
          <w:w w:val="100"/>
          <w:position w:val="0"/>
        </w:rPr>
        <w:t>的要求，结构及连接件无损坏及永久变形。</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A.5.6</w:t>
      </w:r>
      <w:r>
        <w:rPr>
          <w:b/>
          <w:bCs/>
          <w:color w:val="000000"/>
          <w:spacing w:val="0"/>
          <w:w w:val="100"/>
          <w:position w:val="0"/>
        </w:rPr>
        <w:t>金属结构应力测试</w:t>
      </w:r>
    </w:p>
    <w:p>
      <w:pPr>
        <w:pStyle w:val="Bodytext10"/>
        <w:keepNext w:val="0"/>
        <w:keepLines w:val="0"/>
        <w:widowControl w:val="0"/>
        <w:shd w:val="clear" w:color="auto" w:fill="auto"/>
        <w:bidi w:val="0"/>
        <w:spacing w:before="0" w:after="1700" w:line="317" w:lineRule="exact"/>
        <w:ind w:left="0" w:right="0" w:firstLine="440"/>
        <w:jc w:val="left"/>
        <w:sectPr>
          <w:headerReference w:type="even" r:id="rId43"/>
          <w:headerReference w:type="default" r:id="rId44"/>
          <w:footerReference w:type="even" r:id="rId45"/>
          <w:footerReference w:type="default" r:id="rId46"/>
          <w:pgSz w:w="11900" w:h="16840"/>
          <w:pgMar w:top="1878" w:right="1287" w:bottom="899" w:left="1105" w:header="0" w:footer="471" w:gutter="0"/>
          <w:pgNumType w:start="12"/>
          <w:cols w:space="720"/>
          <w:noEndnote/>
          <w:rtlGutter w:val="0"/>
          <w:docGrid w:linePitch="360"/>
        </w:sectPr>
      </w:pPr>
      <w:r>
        <w:rPr>
          <w:color w:val="000000"/>
          <w:spacing w:val="0"/>
          <w:w w:val="100"/>
          <w:position w:val="0"/>
        </w:rPr>
        <w:t>根据设计文件确定的主要受力结构件的危险应力部位，进行应力测试。</w:t>
      </w:r>
    </w:p>
    <w:p>
      <w:pPr>
        <w:widowControl w:val="0"/>
        <w:jc w:val="center"/>
        <w:rPr>
          <w:sz w:val="2"/>
          <w:szCs w:val="2"/>
        </w:rPr>
        <w:sectPr>
          <w:headerReference w:type="even" r:id="rId47"/>
          <w:headerReference w:type="default" r:id="rId48"/>
          <w:footerReference w:type="even" r:id="rId49"/>
          <w:footerReference w:type="default" r:id="rId50"/>
          <w:type w:val="nextPage"/>
          <w:pgSz w:w="11900" w:h="16840"/>
          <w:pgMar w:top="1878" w:right="1287" w:bottom="899" w:left="1105" w:header="0" w:footer="471" w:gutter="0"/>
          <w:pgNumType w:start="13"/>
          <w:cols w:space="720"/>
          <w:noEndnote/>
          <w:titlePg w:val="0"/>
          <w:rtlGutter w:val="0"/>
          <w:docGrid w:linePitch="360"/>
        </w:sectPr>
      </w:pPr>
      <w:r>
        <w:drawing>
          <wp:inline>
            <wp:extent cx="7120255" cy="488315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Id51"/>
                    <a:stretch>
                      <a:fillRect/>
                    </a:stretch>
                  </pic:blipFill>
                  <pic:spPr>
                    <a:xfrm>
                      <a:off x="0" y="0"/>
                      <a:ext cx="7120255" cy="4883150"/>
                    </a:xfrm>
                    <a:prstGeom prst="rect">
                      <a:avLst/>
                    </a:prstGeom>
                  </pic:spPr>
                </pic:pic>
              </a:graphicData>
            </a:graphic>
          </wp:inline>
        </w:drawing>
      </w:r>
    </w:p>
    <w:p>
      <w:pPr>
        <w:pStyle w:val="Bodytext10"/>
        <w:keepNext w:val="0"/>
        <w:keepLines w:val="0"/>
        <w:widowControl w:val="0"/>
        <w:shd w:val="clear" w:color="auto" w:fill="auto"/>
        <w:bidi w:val="0"/>
        <w:spacing w:before="0" w:after="320" w:line="314" w:lineRule="exact"/>
        <w:ind w:left="0" w:right="0" w:firstLine="0"/>
        <w:jc w:val="center"/>
      </w:pPr>
      <w:r>
        <w:rPr>
          <w:b/>
          <w:bCs/>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br/>
      </w:r>
      <w:r>
        <w:rPr>
          <w:b/>
          <w:bCs/>
          <w:color w:val="000000"/>
          <w:spacing w:val="0"/>
          <w:w w:val="100"/>
          <w:position w:val="0"/>
        </w:rPr>
        <w:t>（规范性）</w:t>
        <w:br/>
        <w:t>施工升降机安全评估结论判定</w:t>
      </w:r>
    </w:p>
    <w:p>
      <w:pPr>
        <w:pStyle w:val="Bodytext10"/>
        <w:keepNext w:val="0"/>
        <w:keepLines w:val="0"/>
        <w:widowControl w:val="0"/>
        <w:shd w:val="clear" w:color="auto" w:fill="auto"/>
        <w:bidi w:val="0"/>
        <w:spacing w:before="0" w:after="980" w:line="312" w:lineRule="exact"/>
        <w:ind w:left="0" w:right="0" w:firstLine="420"/>
        <w:jc w:val="both"/>
      </w:pPr>
      <w:bookmarkStart w:id="32" w:name="bookmark32"/>
      <w:r>
        <w:rPr>
          <w:color w:val="000000"/>
          <w:spacing w:val="0"/>
          <w:w w:val="100"/>
          <w:position w:val="0"/>
        </w:rPr>
        <w:t>施工升降机安全评估是采用风险的理论，对所有评估项目逐一进行评价后，综合单项评价项目的严 重程度等级和失效概率等级的结果，根据施工升降机整机安全状况等级的判定准则的要求，判定得岀施 工升降机整体的安全评估结论。</w:t>
      </w:r>
      <w:bookmarkEnd w:id="32"/>
    </w:p>
    <w:p>
      <w:pPr>
        <w:pStyle w:val="Bodytext10"/>
        <w:keepNext w:val="0"/>
        <w:keepLines w:val="0"/>
        <w:widowControl w:val="0"/>
        <w:shd w:val="clear" w:color="auto" w:fill="auto"/>
        <w:bidi w:val="0"/>
        <w:spacing w:before="0" w:after="3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B.1</w:t>
      </w:r>
      <w:r>
        <w:rPr>
          <w:b/>
          <w:bCs/>
          <w:color w:val="000000"/>
          <w:spacing w:val="0"/>
          <w:w w:val="100"/>
          <w:position w:val="0"/>
        </w:rPr>
        <w:t>严重程度（</w:t>
      </w:r>
      <w:r>
        <w:rPr>
          <w:rFonts w:ascii="Times New Roman" w:eastAsia="Times New Roman" w:hAnsi="Times New Roman" w:cs="Times New Roman"/>
          <w:color w:val="000000"/>
          <w:spacing w:val="0"/>
          <w:w w:val="100"/>
          <w:position w:val="0"/>
          <w:lang w:val="en-US" w:eastAsia="en-US" w:bidi="en-US"/>
        </w:rPr>
        <w:t>C）</w:t>
      </w:r>
      <w:r>
        <w:rPr>
          <w:b/>
          <w:bCs/>
          <w:color w:val="000000"/>
          <w:spacing w:val="0"/>
          <w:w w:val="100"/>
          <w:position w:val="0"/>
        </w:rPr>
        <w:t>的等级</w:t>
      </w:r>
    </w:p>
    <w:p>
      <w:pPr>
        <w:pStyle w:val="Bodytext10"/>
        <w:keepNext w:val="0"/>
        <w:keepLines w:val="0"/>
        <w:widowControl w:val="0"/>
        <w:shd w:val="clear" w:color="auto" w:fill="auto"/>
        <w:bidi w:val="0"/>
        <w:spacing w:before="0" w:after="80" w:line="293" w:lineRule="exact"/>
        <w:ind w:left="0" w:right="0" w:firstLine="420"/>
        <w:jc w:val="left"/>
      </w:pPr>
      <w:r>
        <w:rPr>
          <w:color w:val="000000"/>
          <w:spacing w:val="0"/>
          <w:w w:val="100"/>
          <w:position w:val="0"/>
        </w:rPr>
        <w:t>通过考虑施工升降机失效或故障造成人身、财产及环境的后果，对可能发生风险（</w:t>
      </w:r>
      <w:r>
        <w:rPr>
          <w:rFonts w:ascii="Times New Roman" w:eastAsia="Times New Roman" w:hAnsi="Times New Roman" w:cs="Times New Roman"/>
          <w:color w:val="000000"/>
          <w:spacing w:val="0"/>
          <w:w w:val="100"/>
          <w:position w:val="0"/>
          <w:lang w:val="en-US" w:eastAsia="en-US" w:bidi="en-US"/>
        </w:rPr>
        <w:t>R）</w:t>
      </w:r>
      <w:r>
        <w:rPr>
          <w:color w:val="000000"/>
          <w:spacing w:val="0"/>
          <w:w w:val="100"/>
          <w:position w:val="0"/>
        </w:rPr>
        <w:t xml:space="preserve">的严重程度规 定了 </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共四个等级：</w:t>
      </w:r>
    </w:p>
    <w:p>
      <w:pPr>
        <w:pStyle w:val="Bodytext10"/>
        <w:keepNext w:val="0"/>
        <w:keepLines w:val="0"/>
        <w:widowControl w:val="0"/>
        <w:shd w:val="clear" w:color="auto" w:fill="auto"/>
        <w:tabs>
          <w:tab w:val="left" w:pos="807"/>
        </w:tabs>
        <w:bidi w:val="0"/>
        <w:spacing w:before="0" w:after="0" w:line="305" w:lineRule="auto"/>
        <w:ind w:left="0" w:right="0" w:firstLine="420"/>
        <w:jc w:val="left"/>
      </w:pPr>
      <w:bookmarkStart w:id="33" w:name="bookmark33"/>
      <w:r>
        <w:rPr>
          <w:rFonts w:ascii="Times New Roman" w:eastAsia="Times New Roman" w:hAnsi="Times New Roman" w:cs="Times New Roman"/>
          <w:color w:val="000000"/>
          <w:spacing w:val="0"/>
          <w:w w:val="100"/>
          <w:position w:val="0"/>
          <w:lang w:val="en-US" w:eastAsia="en-US" w:bidi="en-US"/>
        </w:rPr>
        <w:t>a</w:t>
      </w:r>
      <w:bookmarkEnd w:id="3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严重程度为</w:t>
      </w:r>
      <w:r>
        <w:rPr>
          <w:rFonts w:ascii="Times New Roman" w:eastAsia="Times New Roman" w:hAnsi="Times New Roman" w:cs="Times New Roman"/>
          <w:color w:val="000000"/>
          <w:spacing w:val="0"/>
          <w:w w:val="100"/>
          <w:position w:val="0"/>
          <w:lang w:val="en-US" w:eastAsia="en-US" w:bidi="en-US"/>
        </w:rPr>
        <w:t>'T'</w:t>
      </w:r>
      <w:r>
        <w:rPr>
          <w:color w:val="000000"/>
          <w:spacing w:val="0"/>
          <w:w w:val="100"/>
          <w:position w:val="0"/>
          <w:lang w:val="en-US" w:eastAsia="en-US" w:bidi="en-US"/>
        </w:rPr>
        <w:t>：</w:t>
      </w:r>
      <w:r>
        <w:rPr>
          <w:color w:val="000000"/>
          <w:spacing w:val="0"/>
          <w:w w:val="100"/>
          <w:position w:val="0"/>
        </w:rPr>
        <w:t>高；</w:t>
      </w:r>
    </w:p>
    <w:p>
      <w:pPr>
        <w:pStyle w:val="Bodytext10"/>
        <w:keepNext w:val="0"/>
        <w:keepLines w:val="0"/>
        <w:widowControl w:val="0"/>
        <w:shd w:val="clear" w:color="auto" w:fill="auto"/>
        <w:tabs>
          <w:tab w:val="left" w:pos="807"/>
        </w:tabs>
        <w:bidi w:val="0"/>
        <w:spacing w:before="0" w:after="0" w:line="305" w:lineRule="auto"/>
        <w:ind w:left="0" w:right="0" w:firstLine="420"/>
        <w:jc w:val="left"/>
      </w:pPr>
      <w:bookmarkStart w:id="34" w:name="bookmark34"/>
      <w:r>
        <w:rPr>
          <w:rFonts w:ascii="Times New Roman" w:eastAsia="Times New Roman" w:hAnsi="Times New Roman" w:cs="Times New Roman"/>
          <w:color w:val="000000"/>
          <w:spacing w:val="0"/>
          <w:w w:val="100"/>
          <w:position w:val="0"/>
          <w:lang w:val="en-US" w:eastAsia="en-US" w:bidi="en-US"/>
        </w:rPr>
        <w:t>b</w:t>
      </w:r>
      <w:bookmarkEnd w:id="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严重程度为</w:t>
      </w:r>
      <w:r>
        <w:rPr>
          <w:rFonts w:ascii="Times New Roman" w:eastAsia="Times New Roman" w:hAnsi="Times New Roman" w:cs="Times New Roman"/>
          <w:color w:val="000000"/>
          <w:spacing w:val="0"/>
          <w:w w:val="100"/>
          <w:position w:val="0"/>
        </w:rPr>
        <w:t>“2”</w:t>
      </w:r>
      <w:r>
        <w:rPr>
          <w:color w:val="000000"/>
          <w:spacing w:val="0"/>
          <w:w w:val="100"/>
          <w:position w:val="0"/>
        </w:rPr>
        <w:t>：中；</w:t>
      </w:r>
    </w:p>
    <w:p>
      <w:pPr>
        <w:pStyle w:val="Bodytext10"/>
        <w:keepNext w:val="0"/>
        <w:keepLines w:val="0"/>
        <w:widowControl w:val="0"/>
        <w:shd w:val="clear" w:color="auto" w:fill="auto"/>
        <w:tabs>
          <w:tab w:val="left" w:pos="807"/>
        </w:tabs>
        <w:bidi w:val="0"/>
        <w:spacing w:before="0" w:after="0" w:line="305" w:lineRule="auto"/>
        <w:ind w:left="0" w:right="0" w:firstLine="420"/>
        <w:jc w:val="left"/>
      </w:pPr>
      <w:bookmarkStart w:id="35" w:name="bookmark35"/>
      <w:r>
        <w:rPr>
          <w:rFonts w:ascii="Times New Roman" w:eastAsia="Times New Roman" w:hAnsi="Times New Roman" w:cs="Times New Roman"/>
          <w:color w:val="000000"/>
          <w:spacing w:val="0"/>
          <w:w w:val="100"/>
          <w:position w:val="0"/>
          <w:lang w:val="en-US" w:eastAsia="en-US" w:bidi="en-US"/>
        </w:rPr>
        <w:t>c</w:t>
      </w:r>
      <w:bookmarkEnd w:id="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严重程度为</w:t>
      </w:r>
      <w:r>
        <w:rPr>
          <w:rFonts w:ascii="Times New Roman" w:eastAsia="Times New Roman" w:hAnsi="Times New Roman" w:cs="Times New Roman"/>
          <w:color w:val="000000"/>
          <w:spacing w:val="0"/>
          <w:w w:val="100"/>
          <w:position w:val="0"/>
        </w:rPr>
        <w:t>“3”</w:t>
      </w:r>
      <w:r>
        <w:rPr>
          <w:color w:val="000000"/>
          <w:spacing w:val="0"/>
          <w:w w:val="100"/>
          <w:position w:val="0"/>
        </w:rPr>
        <w:t>：低；</w:t>
      </w:r>
    </w:p>
    <w:p>
      <w:pPr>
        <w:pStyle w:val="Bodytext10"/>
        <w:keepNext w:val="0"/>
        <w:keepLines w:val="0"/>
        <w:widowControl w:val="0"/>
        <w:shd w:val="clear" w:color="auto" w:fill="auto"/>
        <w:tabs>
          <w:tab w:val="left" w:pos="807"/>
        </w:tabs>
        <w:bidi w:val="0"/>
        <w:spacing w:before="0" w:after="320" w:line="305" w:lineRule="auto"/>
        <w:ind w:left="0" w:right="0" w:firstLine="420"/>
        <w:jc w:val="left"/>
      </w:pPr>
      <w:bookmarkStart w:id="36" w:name="bookmark36"/>
      <w:r>
        <w:rPr>
          <w:rFonts w:ascii="Times New Roman" w:eastAsia="Times New Roman" w:hAnsi="Times New Roman" w:cs="Times New Roman"/>
          <w:color w:val="000000"/>
          <w:spacing w:val="0"/>
          <w:w w:val="100"/>
          <w:position w:val="0"/>
          <w:lang w:val="en-US" w:eastAsia="en-US" w:bidi="en-US"/>
        </w:rPr>
        <w:t>d</w:t>
      </w:r>
      <w:bookmarkEnd w:id="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严重程度为</w:t>
      </w:r>
      <w:r>
        <w:rPr>
          <w:rFonts w:ascii="Times New Roman" w:eastAsia="Times New Roman" w:hAnsi="Times New Roman" w:cs="Times New Roman"/>
          <w:color w:val="000000"/>
          <w:spacing w:val="0"/>
          <w:w w:val="100"/>
          <w:position w:val="0"/>
        </w:rPr>
        <w:t>“4”</w:t>
      </w:r>
      <w:r>
        <w:rPr>
          <w:color w:val="000000"/>
          <w:spacing w:val="0"/>
          <w:w w:val="100"/>
          <w:position w:val="0"/>
        </w:rPr>
        <w:t>：可忽略。</w:t>
      </w:r>
    </w:p>
    <w:p>
      <w:pPr>
        <w:pStyle w:val="Bodytext10"/>
        <w:keepNext w:val="0"/>
        <w:keepLines w:val="0"/>
        <w:widowControl w:val="0"/>
        <w:shd w:val="clear" w:color="auto" w:fill="auto"/>
        <w:bidi w:val="0"/>
        <w:spacing w:before="0" w:after="3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B.2</w:t>
      </w:r>
      <w:r>
        <w:rPr>
          <w:b/>
          <w:bCs/>
          <w:color w:val="000000"/>
          <w:spacing w:val="0"/>
          <w:w w:val="100"/>
          <w:position w:val="0"/>
        </w:rPr>
        <w:t>失效概率（</w:t>
      </w:r>
      <w:r>
        <w:rPr>
          <w:rFonts w:ascii="Times New Roman" w:eastAsia="Times New Roman" w:hAnsi="Times New Roman" w:cs="Times New Roman"/>
          <w:color w:val="000000"/>
          <w:spacing w:val="0"/>
          <w:w w:val="100"/>
          <w:position w:val="0"/>
          <w:lang w:val="en-US" w:eastAsia="en-US" w:bidi="en-US"/>
        </w:rPr>
        <w:t>F）</w:t>
      </w:r>
      <w:r>
        <w:rPr>
          <w:b/>
          <w:bCs/>
          <w:color w:val="000000"/>
          <w:spacing w:val="0"/>
          <w:w w:val="100"/>
          <w:position w:val="0"/>
        </w:rPr>
        <w:t>的等级</w:t>
      </w:r>
    </w:p>
    <w:p>
      <w:pPr>
        <w:pStyle w:val="Bodytext10"/>
        <w:keepNext w:val="0"/>
        <w:keepLines w:val="0"/>
        <w:widowControl w:val="0"/>
        <w:shd w:val="clear" w:color="auto" w:fill="auto"/>
        <w:bidi w:val="0"/>
        <w:spacing w:before="0" w:after="0" w:line="302" w:lineRule="exact"/>
        <w:ind w:left="0" w:right="0" w:firstLine="420"/>
        <w:jc w:val="left"/>
      </w:pPr>
      <w:r>
        <w:rPr>
          <w:color w:val="000000"/>
          <w:spacing w:val="0"/>
          <w:w w:val="100"/>
          <w:position w:val="0"/>
        </w:rPr>
        <w:t>通过考虑风险</w:t>
      </w:r>
      <w:r>
        <w:rPr>
          <w:rFonts w:ascii="Times New Roman" w:eastAsia="Times New Roman" w:hAnsi="Times New Roman" w:cs="Times New Roman"/>
          <w:color w:val="000000"/>
          <w:spacing w:val="0"/>
          <w:w w:val="100"/>
          <w:position w:val="0"/>
          <w:lang w:val="en-US" w:eastAsia="en-US" w:bidi="en-US"/>
        </w:rPr>
        <w:t>（R）</w:t>
      </w:r>
      <w:r>
        <w:rPr>
          <w:color w:val="000000"/>
          <w:spacing w:val="0"/>
          <w:w w:val="100"/>
          <w:position w:val="0"/>
        </w:rPr>
        <w:t>发生的概率及造成伤害暴露和持续的时间，对风险发生的概率规定了</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共六个等级：</w:t>
      </w:r>
    </w:p>
    <w:p>
      <w:pPr>
        <w:pStyle w:val="Bodytext10"/>
        <w:keepNext w:val="0"/>
        <w:keepLines w:val="0"/>
        <w:widowControl w:val="0"/>
        <w:shd w:val="clear" w:color="auto" w:fill="auto"/>
        <w:tabs>
          <w:tab w:val="left" w:pos="807"/>
        </w:tabs>
        <w:bidi w:val="0"/>
        <w:spacing w:before="0" w:after="0" w:line="302" w:lineRule="exact"/>
        <w:ind w:left="0" w:right="0" w:firstLine="420"/>
        <w:jc w:val="left"/>
      </w:pPr>
      <w:bookmarkStart w:id="37" w:name="bookmark37"/>
      <w:r>
        <w:rPr>
          <w:rFonts w:ascii="Times New Roman" w:eastAsia="Times New Roman" w:hAnsi="Times New Roman" w:cs="Times New Roman"/>
          <w:color w:val="000000"/>
          <w:spacing w:val="0"/>
          <w:w w:val="100"/>
          <w:position w:val="0"/>
          <w:lang w:val="en-US" w:eastAsia="en-US" w:bidi="en-US"/>
        </w:rPr>
        <w:t>a</w:t>
      </w:r>
      <w:bookmarkEnd w:id="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概率等级为</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color w:val="000000"/>
          <w:spacing w:val="0"/>
          <w:w w:val="100"/>
          <w:position w:val="0"/>
        </w:rPr>
        <w:t>频繁；</w:t>
      </w:r>
    </w:p>
    <w:p>
      <w:pPr>
        <w:pStyle w:val="Bodytext10"/>
        <w:keepNext w:val="0"/>
        <w:keepLines w:val="0"/>
        <w:widowControl w:val="0"/>
        <w:shd w:val="clear" w:color="auto" w:fill="auto"/>
        <w:tabs>
          <w:tab w:val="left" w:pos="807"/>
        </w:tabs>
        <w:bidi w:val="0"/>
        <w:spacing w:before="0" w:after="0" w:line="302" w:lineRule="exact"/>
        <w:ind w:left="0" w:right="0" w:firstLine="420"/>
        <w:jc w:val="left"/>
      </w:pPr>
      <w:bookmarkStart w:id="38" w:name="bookmark38"/>
      <w:r>
        <w:rPr>
          <w:rFonts w:ascii="Times New Roman" w:eastAsia="Times New Roman" w:hAnsi="Times New Roman" w:cs="Times New Roman"/>
          <w:color w:val="000000"/>
          <w:spacing w:val="0"/>
          <w:w w:val="100"/>
          <w:position w:val="0"/>
          <w:lang w:val="en-US" w:eastAsia="en-US" w:bidi="en-US"/>
        </w:rPr>
        <w:t>b</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概率等级为</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很可能；</w:t>
      </w:r>
    </w:p>
    <w:p>
      <w:pPr>
        <w:pStyle w:val="Bodytext10"/>
        <w:keepNext w:val="0"/>
        <w:keepLines w:val="0"/>
        <w:widowControl w:val="0"/>
        <w:shd w:val="clear" w:color="auto" w:fill="auto"/>
        <w:tabs>
          <w:tab w:val="left" w:pos="807"/>
        </w:tabs>
        <w:bidi w:val="0"/>
        <w:spacing w:before="0" w:after="0" w:line="302" w:lineRule="exact"/>
        <w:ind w:left="0" w:right="0" w:firstLine="420"/>
        <w:jc w:val="left"/>
      </w:pPr>
      <w:bookmarkStart w:id="39" w:name="bookmark39"/>
      <w:r>
        <w:rPr>
          <w:rFonts w:ascii="Times New Roman" w:eastAsia="Times New Roman" w:hAnsi="Times New Roman" w:cs="Times New Roman"/>
          <w:color w:val="000000"/>
          <w:spacing w:val="0"/>
          <w:w w:val="100"/>
          <w:position w:val="0"/>
          <w:lang w:val="en-US" w:eastAsia="en-US" w:bidi="en-US"/>
        </w:rPr>
        <w:t>c</w:t>
      </w:r>
      <w:bookmarkEnd w:id="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概率等级为</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偶尔；</w:t>
      </w:r>
    </w:p>
    <w:p>
      <w:pPr>
        <w:pStyle w:val="Bodytext10"/>
        <w:keepNext w:val="0"/>
        <w:keepLines w:val="0"/>
        <w:widowControl w:val="0"/>
        <w:shd w:val="clear" w:color="auto" w:fill="auto"/>
        <w:tabs>
          <w:tab w:val="left" w:pos="807"/>
        </w:tabs>
        <w:bidi w:val="0"/>
        <w:spacing w:before="0" w:after="80" w:line="302" w:lineRule="exact"/>
        <w:ind w:left="0" w:right="0" w:firstLine="420"/>
        <w:jc w:val="left"/>
      </w:pPr>
      <w:bookmarkStart w:id="40" w:name="bookmark40"/>
      <w:r>
        <w:rPr>
          <w:rFonts w:ascii="Times New Roman" w:eastAsia="Times New Roman" w:hAnsi="Times New Roman" w:cs="Times New Roman"/>
          <w:color w:val="000000"/>
          <w:spacing w:val="0"/>
          <w:w w:val="100"/>
          <w:position w:val="0"/>
          <w:lang w:val="en-US" w:eastAsia="en-US" w:bidi="en-US"/>
        </w:rPr>
        <w:t>d</w:t>
      </w:r>
      <w:bookmarkEnd w:id="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概率等级为</w:t>
      </w:r>
      <w:r>
        <w:rPr>
          <w:rFonts w:ascii="Times New Roman" w:eastAsia="Times New Roman" w:hAnsi="Times New Roman" w:cs="Times New Roman"/>
          <w:color w:val="1D2025"/>
          <w:spacing w:val="0"/>
          <w:w w:val="100"/>
          <w:position w:val="0"/>
          <w:lang w:val="en-US" w:eastAsia="en-US" w:bidi="en-US"/>
        </w:rPr>
        <w:t>'</w:t>
      </w:r>
      <w:r>
        <w:rPr>
          <w:color w:val="1D2025"/>
          <w:spacing w:val="0"/>
          <w:w w:val="100"/>
          <w:position w:val="0"/>
          <w:lang w:val="en-US" w:eastAsia="en-US" w:bidi="en-US"/>
        </w:rPr>
        <w:t>◎</w:t>
      </w:r>
      <w:r>
        <w:rPr>
          <w:rFonts w:ascii="Times New Roman" w:eastAsia="Times New Roman" w:hAnsi="Times New Roman" w:cs="Times New Roman"/>
          <w:color w:val="1D2025"/>
          <w:spacing w:val="0"/>
          <w:w w:val="100"/>
          <w:position w:val="0"/>
          <w:lang w:val="en-US" w:eastAsia="en-US" w:bidi="en-US"/>
        </w:rPr>
        <w:t>'</w:t>
      </w:r>
      <w:r>
        <w:rPr>
          <w:color w:val="1D2025"/>
          <w:spacing w:val="0"/>
          <w:w w:val="100"/>
          <w:position w:val="0"/>
          <w:lang w:val="en-US" w:eastAsia="en-US" w:bidi="en-US"/>
        </w:rPr>
        <w:t>：</w:t>
      </w:r>
      <w:r>
        <w:rPr>
          <w:color w:val="000000"/>
          <w:spacing w:val="0"/>
          <w:w w:val="100"/>
          <w:position w:val="0"/>
        </w:rPr>
        <w:t>极少；</w:t>
      </w:r>
    </w:p>
    <w:p>
      <w:pPr>
        <w:pStyle w:val="Bodytext10"/>
        <w:keepNext w:val="0"/>
        <w:keepLines w:val="0"/>
        <w:widowControl w:val="0"/>
        <w:shd w:val="clear" w:color="auto" w:fill="auto"/>
        <w:tabs>
          <w:tab w:val="left" w:pos="807"/>
        </w:tabs>
        <w:bidi w:val="0"/>
        <w:spacing w:before="0" w:after="0" w:line="302" w:lineRule="exact"/>
        <w:ind w:left="0" w:right="0" w:firstLine="420"/>
        <w:jc w:val="left"/>
      </w:pPr>
      <w:bookmarkStart w:id="41" w:name="bookmark41"/>
      <w:r>
        <w:rPr>
          <w:rFonts w:ascii="Times New Roman" w:eastAsia="Times New Roman" w:hAnsi="Times New Roman" w:cs="Times New Roman"/>
          <w:color w:val="000000"/>
          <w:spacing w:val="0"/>
          <w:w w:val="100"/>
          <w:position w:val="0"/>
          <w:lang w:val="en-US" w:eastAsia="en-US" w:bidi="en-US"/>
        </w:rPr>
        <w:t>e</w:t>
      </w:r>
      <w:bookmarkEnd w:id="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概率等级为</w:t>
      </w:r>
      <w:r>
        <w:rPr>
          <w:color w:val="434952"/>
          <w:spacing w:val="0"/>
          <w:w w:val="100"/>
          <w:position w:val="0"/>
        </w:rPr>
        <w:t>“蜡：</w:t>
      </w:r>
      <w:r>
        <w:rPr>
          <w:color w:val="000000"/>
          <w:spacing w:val="0"/>
          <w:w w:val="100"/>
          <w:position w:val="0"/>
        </w:rPr>
        <w:t>不炎:能；</w:t>
      </w:r>
    </w:p>
    <w:p>
      <w:pPr>
        <w:pStyle w:val="Bodytext10"/>
        <w:keepNext w:val="0"/>
        <w:keepLines w:val="0"/>
        <w:widowControl w:val="0"/>
        <w:shd w:val="clear" w:color="auto" w:fill="auto"/>
        <w:tabs>
          <w:tab w:val="left" w:pos="807"/>
        </w:tabs>
        <w:bidi w:val="0"/>
        <w:spacing w:before="0" w:after="360" w:line="302" w:lineRule="exact"/>
        <w:ind w:left="0" w:right="0" w:firstLine="420"/>
        <w:jc w:val="left"/>
      </w:pPr>
      <w:bookmarkStart w:id="42" w:name="bookmark42"/>
      <w:r>
        <w:rPr>
          <w:rFonts w:ascii="Times New Roman" w:eastAsia="Times New Roman" w:hAnsi="Times New Roman" w:cs="Times New Roman"/>
          <w:color w:val="000000"/>
          <w:spacing w:val="0"/>
          <w:w w:val="100"/>
          <w:position w:val="0"/>
          <w:lang w:val="en-US" w:eastAsia="en-US" w:bidi="en-US"/>
        </w:rPr>
        <w:t>f</w:t>
      </w:r>
      <w:bookmarkEnd w:id="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概率等级为</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lang w:val="en-US" w:eastAsia="en-US" w:bidi="en-US"/>
        </w:rPr>
        <w:t>：</w:t>
      </w:r>
      <w:r>
        <w:rPr>
          <w:color w:val="1D2025"/>
          <w:spacing w:val="0"/>
          <w:w w:val="100"/>
          <w:position w:val="0"/>
        </w:rPr>
        <w:t>几乎不可能。</w:t>
      </w:r>
    </w:p>
    <w:p>
      <w:pPr>
        <w:pStyle w:val="Bodytext10"/>
        <w:keepNext w:val="0"/>
        <w:keepLines w:val="0"/>
        <w:widowControl w:val="0"/>
        <w:shd w:val="clear" w:color="auto" w:fill="auto"/>
        <w:bidi w:val="0"/>
        <w:spacing w:before="0" w:after="3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3</w:t>
      </w:r>
      <w:r>
        <w:rPr>
          <w:b/>
          <w:bCs/>
          <w:color w:val="000000"/>
          <w:spacing w:val="0"/>
          <w:w w:val="100"/>
          <w:position w:val="0"/>
        </w:rPr>
        <w:t>失效概率评价的方法</w:t>
      </w:r>
    </w:p>
    <w:p>
      <w:pPr>
        <w:pStyle w:val="Bodytext10"/>
        <w:keepNext w:val="0"/>
        <w:keepLines w:val="0"/>
        <w:widowControl w:val="0"/>
        <w:shd w:val="clear" w:color="auto" w:fill="auto"/>
        <w:bidi w:val="0"/>
        <w:spacing w:before="0" w:after="0" w:line="319" w:lineRule="exact"/>
        <w:ind w:left="0" w:right="0" w:firstLine="420"/>
        <w:jc w:val="left"/>
      </w:pPr>
      <w:r>
        <w:rPr>
          <w:color w:val="000000"/>
          <w:spacing w:val="0"/>
          <w:w w:val="100"/>
          <w:position w:val="0"/>
        </w:rPr>
        <w:t>根据失效模式的特性及对施工升降机安全评估项目</w:t>
      </w:r>
      <w:r>
        <w:rPr>
          <w:color w:val="1D2025"/>
          <w:spacing w:val="0"/>
          <w:w w:val="100"/>
          <w:position w:val="0"/>
        </w:rPr>
        <w:t>检查、</w:t>
      </w:r>
      <w:r>
        <w:rPr>
          <w:color w:val="000000"/>
          <w:spacing w:val="0"/>
          <w:w w:val="100"/>
          <w:position w:val="0"/>
        </w:rPr>
        <w:t>测试或计算结果的不同，可采用一类、二 类、三类三种不同评价方法，对安全评估项目的失效</w:t>
      </w:r>
      <w:r>
        <w:rPr>
          <w:color w:val="1D2025"/>
          <w:spacing w:val="0"/>
          <w:w w:val="100"/>
          <w:position w:val="0"/>
        </w:rPr>
        <w:t>概魅行</w:t>
      </w:r>
      <w:r>
        <w:rPr>
          <w:color w:val="000000"/>
          <w:spacing w:val="0"/>
          <w:w w:val="100"/>
          <w:position w:val="0"/>
        </w:rPr>
        <w:t>孑</w:t>
      </w:r>
      <w:r>
        <w:rPr>
          <w:color w:val="1D2025"/>
          <w:spacing w:val="0"/>
          <w:w w:val="100"/>
          <w:position w:val="0"/>
        </w:rPr>
        <w:t>价，</w:t>
      </w:r>
      <w:r>
        <w:rPr>
          <w:color w:val="000000"/>
          <w:spacing w:val="0"/>
          <w:w w:val="100"/>
          <w:position w:val="0"/>
        </w:rPr>
        <w:t>确定其等级。</w:t>
      </w:r>
    </w:p>
    <w:p>
      <w:pPr>
        <w:pStyle w:val="Bodytext10"/>
        <w:keepNext w:val="0"/>
        <w:keepLines w:val="0"/>
        <w:widowControl w:val="0"/>
        <w:shd w:val="clear" w:color="auto" w:fill="auto"/>
        <w:tabs>
          <w:tab w:val="left" w:pos="800"/>
        </w:tabs>
        <w:bidi w:val="0"/>
        <w:spacing w:before="0" w:after="0" w:line="319" w:lineRule="exact"/>
        <w:ind w:left="0" w:right="0" w:firstLine="420"/>
        <w:jc w:val="left"/>
      </w:pPr>
      <w:bookmarkStart w:id="43" w:name="bookmark43"/>
      <w:r>
        <w:rPr>
          <w:rFonts w:ascii="Times New Roman" w:eastAsia="Times New Roman" w:hAnsi="Times New Roman" w:cs="Times New Roman"/>
          <w:color w:val="000000"/>
          <w:spacing w:val="0"/>
          <w:w w:val="100"/>
          <w:position w:val="0"/>
          <w:lang w:val="en-US" w:eastAsia="en-US" w:bidi="en-US"/>
        </w:rPr>
        <w:t>a</w:t>
      </w:r>
      <w:bookmarkEnd w:id="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一类方法适用项目：安全评价项目无法测量计算或测</w:t>
      </w:r>
      <w:r>
        <w:rPr>
          <w:rFonts w:ascii="Times New Roman" w:eastAsia="Times New Roman" w:hAnsi="Times New Roman" w:cs="Times New Roman"/>
          <w:color w:val="000000"/>
          <w:spacing w:val="0"/>
          <w:w w:val="100"/>
          <w:position w:val="0"/>
          <w:lang w:val="en-US" w:eastAsia="en-US" w:bidi="en-US"/>
        </w:rPr>
        <w:t>t</w:t>
      </w:r>
      <w:r>
        <w:rPr>
          <w:color w:val="1D2025"/>
          <w:spacing w:val="0"/>
          <w:w w:val="100"/>
          <w:position w:val="0"/>
        </w:rPr>
        <w:t>協果无法进</w:t>
      </w:r>
      <w:r>
        <w:rPr>
          <w:color w:val="000000"/>
          <w:spacing w:val="0"/>
          <w:w w:val="100"/>
          <w:position w:val="0"/>
        </w:rPr>
        <w:t>行区分等级，评价结果仅为 定性的符合或不符合两种结论的项目。</w:t>
      </w:r>
    </w:p>
    <w:p>
      <w:pPr>
        <w:pStyle w:val="Bodytext10"/>
        <w:keepNext w:val="0"/>
        <w:keepLines w:val="0"/>
        <w:widowControl w:val="0"/>
        <w:shd w:val="clear" w:color="auto" w:fill="auto"/>
        <w:bidi w:val="0"/>
        <w:spacing w:before="0" w:after="0" w:line="322" w:lineRule="exact"/>
        <w:ind w:left="0" w:right="0"/>
        <w:jc w:val="left"/>
      </w:pPr>
      <w:r>
        <w:rPr>
          <w:color w:val="000000"/>
          <w:spacing w:val="0"/>
          <w:w w:val="100"/>
          <w:position w:val="0"/>
        </w:rPr>
        <w:t>评价结果为符合，推荐概率等级为</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级或</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级；评价结果为不符合，推荐概率等级为</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级或</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级。</w:t>
      </w:r>
    </w:p>
    <w:p>
      <w:pPr>
        <w:pStyle w:val="Bodytext10"/>
        <w:keepNext w:val="0"/>
        <w:keepLines w:val="0"/>
        <w:widowControl w:val="0"/>
        <w:shd w:val="clear" w:color="auto" w:fill="auto"/>
        <w:tabs>
          <w:tab w:val="left" w:pos="805"/>
        </w:tabs>
        <w:bidi w:val="0"/>
        <w:spacing w:before="0" w:after="0" w:line="322" w:lineRule="exact"/>
        <w:ind w:left="0" w:right="0" w:firstLine="420"/>
        <w:jc w:val="left"/>
      </w:pPr>
      <w:bookmarkStart w:id="44" w:name="bookmark44"/>
      <w:r>
        <w:rPr>
          <w:rFonts w:ascii="Times New Roman" w:eastAsia="Times New Roman" w:hAnsi="Times New Roman" w:cs="Times New Roman"/>
          <w:color w:val="000000"/>
          <w:spacing w:val="0"/>
          <w:w w:val="100"/>
          <w:position w:val="0"/>
          <w:lang w:val="en-US" w:eastAsia="en-US" w:bidi="en-US"/>
        </w:rPr>
        <w:t>b</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二类方法适用项目：评价结果可通过检验测试的手段得到具体检测值或检事</w:t>
      </w:r>
      <w:r>
        <w:rPr>
          <w:color w:val="434952"/>
          <w:spacing w:val="0"/>
          <w:w w:val="100"/>
          <w:position w:val="0"/>
        </w:rPr>
        <w:t>结论，</w:t>
      </w:r>
      <w:r>
        <w:rPr>
          <w:color w:val="000000"/>
          <w:spacing w:val="0"/>
          <w:w w:val="100"/>
          <w:position w:val="0"/>
        </w:rPr>
        <w:t>根据检测值 或检测结论与相关技术要求的规定值进行比较判断，能够确定岀等级的项目。</w:t>
      </w:r>
    </w:p>
    <w:p>
      <w:pPr>
        <w:pStyle w:val="Bodytext10"/>
        <w:keepNext w:val="0"/>
        <w:keepLines w:val="0"/>
        <w:widowControl w:val="0"/>
        <w:shd w:val="clear" w:color="auto" w:fill="auto"/>
        <w:bidi w:val="0"/>
        <w:spacing w:before="0" w:after="0" w:line="317" w:lineRule="exact"/>
        <w:ind w:left="0" w:right="0"/>
        <w:jc w:val="left"/>
      </w:pPr>
      <w:r>
        <w:rPr>
          <w:color w:val="000000"/>
          <w:spacing w:val="0"/>
          <w:w w:val="100"/>
          <w:position w:val="0"/>
        </w:rPr>
        <w:t>评价等级根据检测值或检测结论与规定值的符合性程度从</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级至</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级中确定。</w:t>
      </w:r>
    </w:p>
    <w:p>
      <w:pPr>
        <w:pStyle w:val="Bodytext10"/>
        <w:keepNext w:val="0"/>
        <w:keepLines w:val="0"/>
        <w:widowControl w:val="0"/>
        <w:shd w:val="clear" w:color="auto" w:fill="auto"/>
        <w:tabs>
          <w:tab w:val="left" w:pos="810"/>
        </w:tabs>
        <w:bidi w:val="0"/>
        <w:spacing w:before="0" w:after="40" w:line="317" w:lineRule="exact"/>
        <w:ind w:left="0" w:right="0" w:firstLine="420"/>
        <w:jc w:val="both"/>
        <w:sectPr>
          <w:headerReference w:type="even" r:id="rId52"/>
          <w:headerReference w:type="default" r:id="rId53"/>
          <w:footerReference w:type="even" r:id="rId54"/>
          <w:footerReference w:type="default" r:id="rId55"/>
          <w:headerReference w:type="first" r:id="rId56"/>
          <w:footerReference w:type="first" r:id="rId57"/>
          <w:pgSz w:w="11900" w:h="16840"/>
          <w:pgMar w:top="1974" w:right="1224" w:bottom="1528" w:left="1248" w:header="0" w:footer="3" w:gutter="0"/>
          <w:pgNumType w:start="9"/>
          <w:cols w:space="720"/>
          <w:noEndnote/>
          <w:titlePg/>
          <w:rtlGutter w:val="0"/>
          <w:docGrid w:linePitch="360"/>
        </w:sectPr>
      </w:pPr>
      <w:bookmarkStart w:id="45" w:name="bookmark45"/>
      <w:r>
        <w:rPr>
          <w:rFonts w:ascii="Times New Roman" w:eastAsia="Times New Roman" w:hAnsi="Times New Roman" w:cs="Times New Roman"/>
          <w:color w:val="000000"/>
          <w:spacing w:val="0"/>
          <w:w w:val="100"/>
          <w:position w:val="0"/>
          <w:lang w:val="en-US" w:eastAsia="en-US" w:bidi="en-US"/>
        </w:rPr>
        <w:t>c</w:t>
      </w:r>
      <w:bookmarkEnd w:id="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三类方法适用项目：评估结果可利用检测仪器测试的测试数据，通过软件计算岀的失效概率值</w:t>
      </w:r>
      <w:r>
        <w:rPr>
          <w:color w:val="000000"/>
          <w:spacing w:val="0"/>
          <w:w w:val="100"/>
          <w:position w:val="0"/>
        </w:rPr>
        <w:t xml:space="preserve"> 或试验数据按统计方法获得部件或功能的可靠寿命数学计算模型，根据实际情况可对计算模型进行修</w:t>
      </w:r>
    </w:p>
    <w:p>
      <w:pPr>
        <w:pStyle w:val="Bodytext10"/>
        <w:keepNext w:val="0"/>
        <w:keepLines w:val="0"/>
        <w:widowControl w:val="0"/>
        <w:shd w:val="clear" w:color="auto" w:fill="auto"/>
        <w:tabs>
          <w:tab w:val="left" w:pos="810"/>
        </w:tabs>
        <w:bidi w:val="0"/>
        <w:spacing w:before="0" w:after="40" w:line="317" w:lineRule="exact"/>
        <w:ind w:left="0" w:right="0" w:firstLine="420"/>
        <w:jc w:val="both"/>
        <w:sectPr>
          <w:headerReference w:type="even" r:id="rId58"/>
          <w:headerReference w:type="default" r:id="rId59"/>
          <w:footerReference w:type="even" r:id="rId60"/>
          <w:footerReference w:type="default" r:id="rId61"/>
          <w:headerReference w:type="first" r:id="rId62"/>
          <w:footerReference w:type="first" r:id="rId63"/>
          <w:type w:val="nextPage"/>
          <w:pgSz w:w="11900" w:h="16840"/>
          <w:pgMar w:top="1974" w:right="1224" w:bottom="1528" w:left="1248" w:header="0" w:footer="3" w:gutter="0"/>
          <w:pgNumType w:start="10"/>
          <w:cols w:space="720"/>
          <w:noEndnote/>
          <w:titlePg w:val="0"/>
          <w:rtlGutter w:val="0"/>
          <w:docGrid w:linePitch="360"/>
        </w:sectPr>
      </w:pPr>
      <w:r>
        <w:rPr>
          <w:color w:val="000000"/>
          <w:spacing w:val="0"/>
          <w:w w:val="100"/>
          <w:position w:val="0"/>
        </w:rPr>
        <w:t xml:space="preserve"> 正，能够得岀评价部件或功能实际失效概率值的项目。</w:t>
      </w:r>
    </w:p>
    <w:p>
      <w:pPr>
        <w:pStyle w:val="Bodytext10"/>
        <w:keepNext w:val="0"/>
        <w:keepLines w:val="0"/>
        <w:widowControl w:val="0"/>
        <w:shd w:val="clear" w:color="auto" w:fill="auto"/>
        <w:bidi w:val="0"/>
        <w:spacing w:before="0" w:after="380" w:line="312" w:lineRule="exact"/>
        <w:ind w:left="0" w:right="0" w:firstLine="420"/>
        <w:jc w:val="both"/>
      </w:pPr>
      <w:r>
        <w:rPr>
          <w:color w:val="000000"/>
          <w:spacing w:val="0"/>
          <w:w w:val="100"/>
          <w:position w:val="0"/>
        </w:rPr>
        <w:t>概率等级由计算得岀的概率值从</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级至</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级中确定。</w:t>
      </w:r>
    </w:p>
    <w:p>
      <w:pPr>
        <w:pStyle w:val="Bodytext1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B.4</w:t>
      </w:r>
      <w:r>
        <w:rPr>
          <w:b/>
          <w:bCs/>
          <w:color w:val="000000"/>
          <w:spacing w:val="0"/>
          <w:w w:val="100"/>
          <w:position w:val="0"/>
        </w:rPr>
        <w:t>评估子项目风险等级的判定准则</w:t>
      </w:r>
    </w:p>
    <w:p>
      <w:pPr>
        <w:pStyle w:val="Bodytext10"/>
        <w:keepNext w:val="0"/>
        <w:keepLines w:val="0"/>
        <w:widowControl w:val="0"/>
        <w:shd w:val="clear" w:color="auto" w:fill="auto"/>
        <w:bidi w:val="0"/>
        <w:spacing w:before="0" w:after="1080" w:line="312" w:lineRule="exact"/>
        <w:ind w:left="0" w:right="0" w:firstLine="420"/>
        <w:jc w:val="both"/>
      </w:pPr>
      <w:r>
        <w:drawing>
          <wp:anchor distT="0" distB="0" distL="114300" distR="114300" simplePos="0" relativeHeight="251658240" behindDoc="0" locked="0" layoutInCell="1" allowOverlap="1">
            <wp:simplePos x="0" y="0"/>
            <wp:positionH relativeFrom="page">
              <wp:posOffset>2597150</wp:posOffset>
            </wp:positionH>
            <wp:positionV relativeFrom="paragraph">
              <wp:posOffset>1181100</wp:posOffset>
            </wp:positionV>
            <wp:extent cx="3554095" cy="1560830"/>
            <wp:wrapSquare wrapText="left"/>
            <wp:docPr id="31" name="Shape 31"/>
            <wp:cNvGraphicFramePr/>
            <a:graphic xmlns:a="http://schemas.openxmlformats.org/drawingml/2006/main">
              <a:graphicData uri="http://schemas.openxmlformats.org/drawingml/2006/picture">
                <pic:pic xmlns:pic="http://schemas.openxmlformats.org/drawingml/2006/picture">
                  <pic:nvPicPr>
                    <pic:cNvPr id="31" name="Picture box 32"/>
                    <pic:cNvPicPr/>
                  </pic:nvPicPr>
                  <pic:blipFill>
                    <a:blip xmlns:r="http://schemas.openxmlformats.org/officeDocument/2006/relationships" r:embed="rId64"/>
                    <a:stretch>
                      <a:fillRect/>
                    </a:stretch>
                  </pic:blipFill>
                  <pic:spPr>
                    <a:xfrm>
                      <a:off x="0" y="0"/>
                      <a:ext cx="3554095" cy="1560830"/>
                    </a:xfrm>
                    <a:prstGeom prst="rect">
                      <a:avLst/>
                    </a:prstGeom>
                  </pic:spPr>
                </pic:pic>
              </a:graphicData>
            </a:graphic>
          </wp:anchor>
        </w:drawing>
      </w:r>
      <w:r>
        <w:rPr>
          <w:color w:val="000000"/>
          <w:spacing w:val="0"/>
          <w:w w:val="100"/>
          <w:position w:val="0"/>
        </w:rPr>
        <w:t>根据风险的定义：风险</w:t>
      </w:r>
      <w:r>
        <w:rPr>
          <w:rFonts w:ascii="Times New Roman" w:eastAsia="Times New Roman" w:hAnsi="Times New Roman" w:cs="Times New Roman"/>
          <w:color w:val="000000"/>
          <w:spacing w:val="0"/>
          <w:w w:val="100"/>
          <w:position w:val="0"/>
          <w:lang w:val="en-US" w:eastAsia="en-US" w:bidi="en-US"/>
        </w:rPr>
        <w:t>(R)=</w:t>
      </w:r>
      <w:r>
        <w:rPr>
          <w:color w:val="000000"/>
          <w:spacing w:val="0"/>
          <w:w w:val="100"/>
          <w:position w:val="0"/>
        </w:rPr>
        <w:t>严重程度(</w:t>
      </w:r>
      <w:r>
        <w:rPr>
          <w:i/>
          <w:iCs/>
          <w:color w:val="000000"/>
          <w:spacing w:val="0"/>
          <w:w w:val="100"/>
          <w:position w:val="0"/>
          <w:lang w:val="en-US" w:eastAsia="en-US" w:bidi="en-US"/>
        </w:rPr>
        <w:t>C)X</w:t>
      </w:r>
      <w:r>
        <w:rPr>
          <w:color w:val="000000"/>
          <w:spacing w:val="0"/>
          <w:w w:val="100"/>
          <w:position w:val="0"/>
        </w:rPr>
        <w:t>失效概率</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 xml:space="preserve">每个评价项目的风险等级分值等于该项目 经现场评价得岀的失效后果严重程度等级分值乘以失效概率等级分值的结果值。按照下图确定风险等级 为 </w:t>
      </w:r>
      <w:r>
        <w:rPr>
          <w:rFonts w:ascii="Times New Roman" w:eastAsia="Times New Roman" w:hAnsi="Times New Roman" w:cs="Times New Roman"/>
          <w:color w:val="000000"/>
          <w:spacing w:val="0"/>
          <w:w w:val="100"/>
          <w:position w:val="0"/>
        </w:rPr>
        <w:t>I</w:t>
      </w:r>
      <w:r>
        <w:rPr>
          <w:color w:val="000000"/>
          <w:spacing w:val="0"/>
          <w:w w:val="100"/>
          <w:position w:val="0"/>
        </w:rPr>
        <w:t>、</w:t>
      </w:r>
      <w:r>
        <w:rPr>
          <w:rFonts w:ascii="Times New Roman" w:eastAsia="Times New Roman" w:hAnsi="Times New Roman" w:cs="Times New Roman"/>
          <w:color w:val="000000"/>
          <w:spacing w:val="0"/>
          <w:w w:val="100"/>
          <w:position w:val="0"/>
        </w:rPr>
        <w:t>II</w:t>
      </w:r>
      <w:r>
        <w:rPr>
          <w:color w:val="000000"/>
          <w:spacing w:val="0"/>
          <w:w w:val="100"/>
          <w:position w:val="0"/>
        </w:rPr>
        <w:t>、</w:t>
      </w:r>
      <w:r>
        <w:rPr>
          <w:rFonts w:ascii="Times New Roman" w:eastAsia="Times New Roman" w:hAnsi="Times New Roman" w:cs="Times New Roman"/>
          <w:color w:val="000000"/>
          <w:spacing w:val="0"/>
          <w:w w:val="100"/>
          <w:position w:val="0"/>
        </w:rPr>
        <w:t>III</w:t>
      </w:r>
      <w:r>
        <w:rPr>
          <w:color w:val="000000"/>
          <w:spacing w:val="0"/>
          <w:w w:val="100"/>
          <w:position w:val="0"/>
        </w:rPr>
        <w:t>級。</w:t>
      </w:r>
    </w:p>
    <w:p>
      <w:pPr>
        <w:pStyle w:val="Bodytext10"/>
        <w:keepNext w:val="0"/>
        <w:keepLines w:val="0"/>
        <w:widowControl w:val="0"/>
        <w:shd w:val="clear" w:color="auto" w:fill="auto"/>
        <w:bidi w:val="0"/>
        <w:spacing w:before="0" w:after="220" w:line="240" w:lineRule="auto"/>
        <w:ind w:left="1700" w:right="0" w:firstLine="0"/>
        <w:jc w:val="left"/>
      </w:pPr>
      <w:r>
        <w:rPr>
          <w:b/>
          <w:bCs/>
          <w:color w:val="000000"/>
          <w:spacing w:val="0"/>
          <w:w w:val="100"/>
          <w:position w:val="0"/>
        </w:rPr>
        <w:t>慨率等级</w:t>
      </w:r>
    </w:p>
    <w:p>
      <w:pPr>
        <w:pStyle w:val="Bodytext10"/>
        <w:keepNext w:val="0"/>
        <w:keepLines w:val="0"/>
        <w:widowControl w:val="0"/>
        <w:shd w:val="clear" w:color="auto" w:fill="auto"/>
        <w:bidi w:val="0"/>
        <w:spacing w:before="0" w:after="40" w:line="240" w:lineRule="auto"/>
        <w:ind w:left="1400" w:right="0" w:firstLine="0"/>
        <w:jc w:val="left"/>
      </w:pPr>
      <w:r>
        <w:rPr>
          <w:rFonts w:ascii="Times New Roman" w:eastAsia="Times New Roman" w:hAnsi="Times New Roman" w:cs="Times New Roman"/>
          <w:b/>
          <w:bCs/>
          <w:color w:val="000000"/>
          <w:spacing w:val="0"/>
          <w:w w:val="100"/>
          <w:position w:val="0"/>
          <w:sz w:val="19"/>
          <w:szCs w:val="19"/>
          <w:u w:val="single"/>
          <w:lang w:val="en-US" w:eastAsia="en-US" w:bidi="en-US"/>
        </w:rPr>
        <w:t>A-</w:t>
      </w:r>
      <w:r>
        <w:rPr>
          <w:b/>
          <w:bCs/>
          <w:color w:val="000000"/>
          <w:spacing w:val="0"/>
          <w:w w:val="100"/>
          <w:position w:val="0"/>
          <w:u w:val="single"/>
        </w:rPr>
        <w:t>频繁</w:t>
      </w:r>
    </w:p>
    <w:p>
      <w:pPr>
        <w:pStyle w:val="Bodytext10"/>
        <w:keepNext w:val="0"/>
        <w:keepLines w:val="0"/>
        <w:widowControl w:val="0"/>
        <w:shd w:val="clear" w:color="auto" w:fill="auto"/>
        <w:bidi w:val="0"/>
        <w:spacing w:before="0" w:after="40" w:line="240" w:lineRule="auto"/>
        <w:ind w:left="1400" w:right="0" w:firstLine="0"/>
        <w:jc w:val="both"/>
      </w:pPr>
      <w:r>
        <w:rPr>
          <w:rFonts w:ascii="Times New Roman" w:eastAsia="Times New Roman" w:hAnsi="Times New Roman" w:cs="Times New Roman"/>
          <w:smallCaps/>
          <w:color w:val="000000"/>
          <w:spacing w:val="0"/>
          <w:w w:val="100"/>
          <w:position w:val="0"/>
          <w:sz w:val="24"/>
          <w:szCs w:val="24"/>
          <w:lang w:val="en-US" w:eastAsia="en-US" w:bidi="en-US"/>
        </w:rPr>
        <w:t>bHM</w:t>
      </w:r>
      <w:r>
        <w:rPr>
          <w:b/>
          <w:bCs/>
          <w:color w:val="000000"/>
          <w:spacing w:val="0"/>
          <w:w w:val="100"/>
          <w:position w:val="0"/>
        </w:rPr>
        <w:t>可能~</w:t>
      </w:r>
    </w:p>
    <w:p>
      <w:pPr>
        <w:pStyle w:val="Bodytext40"/>
        <w:keepNext w:val="0"/>
        <w:keepLines w:val="0"/>
        <w:widowControl w:val="0"/>
        <w:shd w:val="clear" w:color="auto" w:fill="auto"/>
        <w:bidi w:val="0"/>
        <w:spacing w:before="0" w:after="80" w:line="240" w:lineRule="auto"/>
        <w:ind w:left="1400" w:right="0" w:firstLine="0"/>
        <w:jc w:val="both"/>
      </w:pPr>
      <w:r>
        <w:rPr>
          <w:rFonts w:ascii="Times New Roman" w:eastAsia="Times New Roman" w:hAnsi="Times New Roman" w:cs="Times New Roman"/>
          <w:color w:val="000000"/>
          <w:spacing w:val="0"/>
          <w:w w:val="100"/>
          <w:position w:val="0"/>
          <w:u w:val="none"/>
          <w:lang w:val="en-US" w:eastAsia="en-US" w:bidi="en-US"/>
        </w:rPr>
        <w:t>cdijL</w:t>
      </w:r>
    </w:p>
    <w:p>
      <w:pPr>
        <w:pStyle w:val="Bodytext10"/>
        <w:keepNext w:val="0"/>
        <w:keepLines w:val="0"/>
        <w:widowControl w:val="0"/>
        <w:shd w:val="clear" w:color="auto" w:fill="auto"/>
        <w:bidi w:val="0"/>
        <w:spacing w:before="0" w:after="40" w:line="240" w:lineRule="auto"/>
        <w:ind w:left="1400" w:right="0" w:firstLine="0"/>
        <w:jc w:val="both"/>
      </w:pPr>
      <w:r>
        <w:rPr>
          <w:rFonts w:ascii="Times New Roman" w:eastAsia="Times New Roman" w:hAnsi="Times New Roman" w:cs="Times New Roman"/>
          <w:b/>
          <w:bCs/>
          <w:color w:val="000000"/>
          <w:spacing w:val="0"/>
          <w:w w:val="100"/>
          <w:position w:val="0"/>
          <w:sz w:val="19"/>
          <w:szCs w:val="19"/>
          <w:lang w:val="en-US" w:eastAsia="en-US" w:bidi="en-US"/>
        </w:rPr>
        <w:t>D-</w:t>
      </w:r>
      <w:r>
        <w:rPr>
          <w:b/>
          <w:bCs/>
          <w:color w:val="000000"/>
          <w:spacing w:val="0"/>
          <w:w w:val="100"/>
          <w:position w:val="0"/>
        </w:rPr>
        <w:t>极少</w:t>
      </w:r>
    </w:p>
    <w:p>
      <w:pPr>
        <w:pStyle w:val="Bodytext10"/>
        <w:keepNext w:val="0"/>
        <w:keepLines w:val="0"/>
        <w:widowControl w:val="0"/>
        <w:shd w:val="clear" w:color="auto" w:fill="auto"/>
        <w:bidi w:val="0"/>
        <w:spacing w:before="0" w:after="40" w:line="240" w:lineRule="auto"/>
        <w:ind w:left="1400" w:right="0" w:firstLine="0"/>
        <w:jc w:val="both"/>
      </w:pPr>
      <w:r>
        <w:rPr>
          <w:rFonts w:ascii="Times New Roman" w:eastAsia="Times New Roman" w:hAnsi="Times New Roman" w:cs="Times New Roman"/>
          <w:b/>
          <w:bCs/>
          <w:color w:val="000000"/>
          <w:spacing w:val="0"/>
          <w:w w:val="100"/>
          <w:position w:val="0"/>
          <w:sz w:val="19"/>
          <w:szCs w:val="19"/>
          <w:lang w:val="en-US" w:eastAsia="en-US" w:bidi="en-US"/>
        </w:rPr>
        <w:t>E-</w:t>
      </w:r>
      <w:r>
        <w:rPr>
          <w:b/>
          <w:bCs/>
          <w:color w:val="000000"/>
          <w:spacing w:val="0"/>
          <w:w w:val="100"/>
          <w:position w:val="0"/>
        </w:rPr>
        <w:t>不大可能</w:t>
      </w:r>
    </w:p>
    <w:p>
      <w:pPr>
        <w:pStyle w:val="Bodytext10"/>
        <w:keepNext w:val="0"/>
        <w:keepLines w:val="0"/>
        <w:widowControl w:val="0"/>
        <w:shd w:val="clear" w:color="auto" w:fill="auto"/>
        <w:bidi w:val="0"/>
        <w:spacing w:before="0" w:after="80" w:line="240" w:lineRule="auto"/>
        <w:ind w:left="1400" w:right="0" w:firstLine="0"/>
        <w:jc w:val="both"/>
      </w:pPr>
      <w:r>
        <w:rPr>
          <w:rFonts w:ascii="Times New Roman" w:eastAsia="Times New Roman" w:hAnsi="Times New Roman" w:cs="Times New Roman"/>
          <w:b/>
          <w:bCs/>
          <w:color w:val="000000"/>
          <w:spacing w:val="0"/>
          <w:w w:val="100"/>
          <w:position w:val="0"/>
          <w:sz w:val="19"/>
          <w:szCs w:val="19"/>
          <w:lang w:val="en-US" w:eastAsia="en-US" w:bidi="en-US"/>
        </w:rPr>
        <w:t>F-</w:t>
      </w:r>
      <w:r>
        <w:rPr>
          <w:b/>
          <w:bCs/>
          <w:color w:val="000000"/>
          <w:spacing w:val="0"/>
          <w:w w:val="100"/>
          <w:position w:val="0"/>
        </w:rPr>
        <w:t>不可能</w:t>
      </w:r>
      <w:r>
        <w:rPr>
          <w:b/>
          <w:bCs/>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22" w:lineRule="exact"/>
        <w:ind w:left="0" w:right="0" w:firstLine="0"/>
        <w:jc w:val="center"/>
      </w:pPr>
      <w:r>
        <w:rPr>
          <w:rFonts w:ascii="Times New Roman" w:eastAsia="Times New Roman" w:hAnsi="Times New Roman" w:cs="Times New Roman"/>
          <w:b/>
          <w:bCs/>
          <w:color w:val="000000"/>
          <w:spacing w:val="0"/>
          <w:w w:val="100"/>
          <w:position w:val="0"/>
          <w:sz w:val="19"/>
          <w:szCs w:val="19"/>
        </w:rPr>
        <w:t>I</w:t>
      </w:r>
      <w:r>
        <w:rPr>
          <w:b/>
          <w:bCs/>
          <w:color w:val="000000"/>
          <w:spacing w:val="0"/>
          <w:w w:val="100"/>
          <w:position w:val="0"/>
        </w:rPr>
        <w:t>需要亲职防护措施消除风险</w:t>
        <w:br/>
      </w:r>
      <w:r>
        <w:rPr>
          <w:rFonts w:ascii="Times New Roman" w:eastAsia="Times New Roman" w:hAnsi="Times New Roman" w:cs="Times New Roman"/>
          <w:b/>
          <w:bCs/>
          <w:color w:val="000000"/>
          <w:spacing w:val="0"/>
          <w:w w:val="100"/>
          <w:position w:val="0"/>
          <w:sz w:val="19"/>
          <w:szCs w:val="19"/>
          <w:u w:val="single"/>
          <w:lang w:val="zh-CN" w:eastAsia="zh-CN" w:bidi="zh-CN"/>
        </w:rPr>
        <w:t>|</w:t>
      </w:r>
      <w:r>
        <w:rPr>
          <w:rFonts w:ascii="Times New Roman" w:eastAsia="Times New Roman" w:hAnsi="Times New Roman" w:cs="Times New Roman"/>
          <w:b/>
          <w:bCs/>
          <w:color w:val="000000"/>
          <w:spacing w:val="0"/>
          <w:w w:val="100"/>
          <w:position w:val="0"/>
          <w:sz w:val="19"/>
          <w:szCs w:val="19"/>
          <w:lang w:val="en-US" w:eastAsia="en-US" w:bidi="en-US"/>
        </w:rPr>
        <w:t>n</w:t>
      </w:r>
      <w:r>
        <w:rPr>
          <w:b/>
          <w:bCs/>
          <w:color w:val="000000"/>
          <w:spacing w:val="0"/>
          <w:w w:val="100"/>
          <w:position w:val="0"/>
        </w:rPr>
        <w:t>壶暴橐取貰素靠整密察善鸯社会价值的实用性后，确定进</w:t>
      </w:r>
    </w:p>
    <w:p>
      <w:pPr>
        <w:pStyle w:val="Bodytext10"/>
        <w:keepNext w:val="0"/>
        <w:keepLines w:val="0"/>
        <w:widowControl w:val="0"/>
        <w:shd w:val="clear" w:color="auto" w:fill="auto"/>
        <w:tabs>
          <w:tab w:val="left" w:pos="2701"/>
        </w:tabs>
        <w:bidi w:val="0"/>
        <w:spacing w:before="0" w:after="440" w:line="240" w:lineRule="auto"/>
        <w:ind w:left="1400" w:right="0" w:firstLine="0"/>
        <w:jc w:val="left"/>
      </w:pPr>
      <w:r>
        <w:rPr>
          <w:rFonts w:ascii="Times New Roman" w:eastAsia="Times New Roman" w:hAnsi="Times New Roman" w:cs="Times New Roman"/>
          <w:b/>
          <w:bCs/>
          <w:color w:val="000000"/>
          <w:spacing w:val="0"/>
          <w:w w:val="100"/>
          <w:position w:val="0"/>
          <w:sz w:val="19"/>
          <w:szCs w:val="19"/>
          <w:u w:val="single"/>
          <w:lang w:val="zh-CN" w:eastAsia="zh-CN" w:bidi="zh-CN"/>
        </w:rPr>
        <w:t>|</w:t>
        <w:tab/>
      </w:r>
      <w:r>
        <w:rPr>
          <w:rFonts w:ascii="Times New Roman" w:eastAsia="Times New Roman" w:hAnsi="Times New Roman" w:cs="Times New Roman"/>
          <w:b/>
          <w:bCs/>
          <w:color w:val="000092"/>
          <w:spacing w:val="0"/>
          <w:w w:val="100"/>
          <w:position w:val="0"/>
          <w:sz w:val="19"/>
          <w:szCs w:val="19"/>
          <w:u w:val="single"/>
          <w:lang w:val="en-US" w:eastAsia="en-US" w:bidi="en-US"/>
        </w:rPr>
        <w:t>］</w:t>
      </w:r>
      <w:r>
        <w:rPr>
          <w:b/>
          <w:bCs/>
          <w:color w:val="000000"/>
          <w:spacing w:val="0"/>
          <w:w w:val="100"/>
          <w:position w:val="0"/>
        </w:rPr>
        <w:t>皿不需采馭任何行动</w:t>
      </w:r>
    </w:p>
    <w:p>
      <w:pPr>
        <w:pStyle w:val="Bodytext10"/>
        <w:keepNext w:val="0"/>
        <w:keepLines w:val="0"/>
        <w:widowControl w:val="0"/>
        <w:shd w:val="clear" w:color="auto" w:fill="auto"/>
        <w:bidi w:val="0"/>
        <w:spacing w:before="0" w:after="380" w:line="240" w:lineRule="auto"/>
        <w:ind w:left="0" w:right="0" w:firstLine="0"/>
        <w:jc w:val="center"/>
      </w:pPr>
      <w:r>
        <w:rPr>
          <w:b/>
          <w:bCs/>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1</w:t>
      </w:r>
      <w:r>
        <w:rPr>
          <w:b/>
          <w:bCs/>
          <w:color w:val="000000"/>
          <w:spacing w:val="0"/>
          <w:w w:val="100"/>
          <w:position w:val="0"/>
        </w:rPr>
        <w:t>风险类别判定准则</w:t>
      </w:r>
    </w:p>
    <w:p>
      <w:pPr>
        <w:pStyle w:val="Bodytext1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B.5</w:t>
      </w:r>
      <w:r>
        <w:rPr>
          <w:b/>
          <w:bCs/>
          <w:color w:val="000000"/>
          <w:spacing w:val="0"/>
          <w:w w:val="100"/>
          <w:position w:val="0"/>
        </w:rPr>
        <w:t>施工升降机整机安全状况等级的判定准则</w:t>
      </w:r>
    </w:p>
    <w:p>
      <w:pPr>
        <w:pStyle w:val="Bodytext10"/>
        <w:keepNext w:val="0"/>
        <w:keepLines w:val="0"/>
        <w:widowControl w:val="0"/>
        <w:shd w:val="clear" w:color="auto" w:fill="auto"/>
        <w:bidi w:val="0"/>
        <w:spacing w:before="0" w:after="0" w:line="317" w:lineRule="exact"/>
        <w:ind w:left="0" w:right="0" w:firstLine="420"/>
        <w:jc w:val="both"/>
      </w:pPr>
      <w:r>
        <w:rPr>
          <w:color w:val="000000"/>
          <w:spacing w:val="0"/>
          <w:w w:val="100"/>
          <w:position w:val="0"/>
        </w:rPr>
        <w:t>在确定了施工</w:t>
      </w:r>
      <w:r>
        <w:rPr>
          <w:color w:val="434952"/>
          <w:spacing w:val="0"/>
          <w:w w:val="100"/>
          <w:position w:val="0"/>
        </w:rPr>
        <w:t>升降机</w:t>
      </w:r>
      <w:r>
        <w:rPr>
          <w:color w:val="434952"/>
          <w:spacing w:val="0"/>
          <w:w w:val="100"/>
          <w:position w:val="0"/>
          <w:lang w:val="zh-CN" w:eastAsia="zh-CN" w:bidi="zh-CN"/>
        </w:rPr>
        <w:t>安全谜</w:t>
      </w:r>
      <w:r>
        <w:rPr>
          <w:color w:val="000000"/>
          <w:spacing w:val="0"/>
          <w:w w:val="100"/>
          <w:position w:val="0"/>
        </w:rPr>
        <w:t>估项目中的单项风险等级后，按如下原则判定施工升降机整体安全状况 等級：</w:t>
      </w:r>
    </w:p>
    <w:p>
      <w:pPr>
        <w:pStyle w:val="Bodytext10"/>
        <w:keepNext w:val="0"/>
        <w:keepLines w:val="0"/>
        <w:widowControl w:val="0"/>
        <w:numPr>
          <w:ilvl w:val="0"/>
          <w:numId w:val="1"/>
        </w:numPr>
        <w:shd w:val="clear" w:color="auto" w:fill="auto"/>
        <w:tabs>
          <w:tab w:val="left" w:pos="807"/>
        </w:tabs>
        <w:bidi w:val="0"/>
        <w:spacing w:before="0" w:after="0" w:line="318" w:lineRule="exact"/>
        <w:ind w:left="0" w:right="0" w:firstLine="420"/>
        <w:jc w:val="both"/>
      </w:pPr>
      <w:bookmarkStart w:id="46" w:name="bookmark46"/>
      <w:bookmarkEnd w:id="46"/>
      <w:r>
        <w:rPr>
          <w:color w:val="000000"/>
          <w:spacing w:val="0"/>
          <w:w w:val="100"/>
          <w:position w:val="0"/>
        </w:rPr>
        <w:t>每五个</w:t>
      </w:r>
      <w:r>
        <w:rPr>
          <w:rFonts w:ascii="Times New Roman" w:eastAsia="Times New Roman" w:hAnsi="Times New Roman" w:cs="Times New Roman"/>
          <w:color w:val="000000"/>
          <w:spacing w:val="0"/>
          <w:w w:val="100"/>
          <w:position w:val="0"/>
        </w:rPr>
        <w:t>II</w:t>
      </w:r>
      <w:r>
        <w:rPr>
          <w:color w:val="000000"/>
          <w:spacing w:val="0"/>
          <w:w w:val="100"/>
          <w:position w:val="0"/>
        </w:rPr>
        <w:t>级风险项目可折算个</w:t>
      </w:r>
      <w:r>
        <w:rPr>
          <w:rFonts w:ascii="Times New Roman" w:eastAsia="Times New Roman" w:hAnsi="Times New Roman" w:cs="Times New Roman"/>
          <w:color w:val="000000"/>
          <w:spacing w:val="0"/>
          <w:w w:val="100"/>
          <w:position w:val="0"/>
        </w:rPr>
        <w:t>I</w:t>
      </w:r>
      <w:r>
        <w:rPr>
          <w:color w:val="000000"/>
          <w:spacing w:val="0"/>
          <w:w w:val="100"/>
          <w:position w:val="0"/>
        </w:rPr>
        <w:t>级风险项目；</w:t>
      </w:r>
    </w:p>
    <w:p>
      <w:pPr>
        <w:pStyle w:val="Bodytext10"/>
        <w:keepNext w:val="0"/>
        <w:keepLines w:val="0"/>
        <w:widowControl w:val="0"/>
        <w:numPr>
          <w:ilvl w:val="0"/>
          <w:numId w:val="1"/>
        </w:numPr>
        <w:shd w:val="clear" w:color="auto" w:fill="auto"/>
        <w:tabs>
          <w:tab w:val="left" w:pos="807"/>
        </w:tabs>
        <w:bidi w:val="0"/>
        <w:spacing w:before="0" w:after="0" w:line="318" w:lineRule="exact"/>
        <w:ind w:left="0" w:right="0" w:firstLine="420"/>
        <w:jc w:val="both"/>
      </w:pPr>
      <w:bookmarkStart w:id="47" w:name="bookmark47"/>
      <w:bookmarkEnd w:id="47"/>
      <w:r>
        <w:rPr>
          <w:rFonts w:ascii="Times New Roman" w:eastAsia="Times New Roman" w:hAnsi="Times New Roman" w:cs="Times New Roman"/>
          <w:color w:val="000000"/>
          <w:spacing w:val="0"/>
          <w:w w:val="100"/>
          <w:position w:val="0"/>
        </w:rPr>
        <w:t>I</w:t>
      </w:r>
      <w:r>
        <w:rPr>
          <w:color w:val="000000"/>
          <w:spacing w:val="0"/>
          <w:w w:val="100"/>
          <w:position w:val="0"/>
        </w:rPr>
        <w:t>级风险项目数(含折算)</w:t>
      </w:r>
      <w:r>
        <w:rPr>
          <w:color w:val="1D2025"/>
          <w:spacing w:val="0"/>
          <w:w w:val="100"/>
          <w:position w:val="0"/>
        </w:rPr>
        <w:t>为三个或三个以</w:t>
      </w:r>
      <w:r>
        <w:rPr>
          <w:color w:val="000000"/>
          <w:spacing w:val="0"/>
          <w:w w:val="100"/>
          <w:position w:val="0"/>
        </w:rPr>
        <w:t>上时，判定施工升降机整体安全状况为</w:t>
      </w:r>
      <w:r>
        <w:rPr>
          <w:rFonts w:ascii="Times New Roman" w:eastAsia="Times New Roman" w:hAnsi="Times New Roman" w:cs="Times New Roman"/>
          <w:color w:val="000000"/>
          <w:spacing w:val="0"/>
          <w:w w:val="100"/>
          <w:position w:val="0"/>
        </w:rPr>
        <w:t>I</w:t>
      </w:r>
      <w:r>
        <w:rPr>
          <w:color w:val="000000"/>
          <w:spacing w:val="0"/>
          <w:w w:val="100"/>
          <w:position w:val="0"/>
        </w:rPr>
        <w:t>级风险；</w:t>
      </w:r>
    </w:p>
    <w:p>
      <w:pPr>
        <w:pStyle w:val="Bodytext10"/>
        <w:keepNext w:val="0"/>
        <w:keepLines w:val="0"/>
        <w:widowControl w:val="0"/>
        <w:numPr>
          <w:ilvl w:val="0"/>
          <w:numId w:val="1"/>
        </w:numPr>
        <w:shd w:val="clear" w:color="auto" w:fill="auto"/>
        <w:tabs>
          <w:tab w:val="left" w:pos="807"/>
        </w:tabs>
        <w:bidi w:val="0"/>
        <w:spacing w:before="0" w:after="0" w:line="318" w:lineRule="exact"/>
        <w:ind w:left="0" w:right="0" w:firstLine="420"/>
        <w:jc w:val="both"/>
      </w:pPr>
      <w:bookmarkStart w:id="48" w:name="bookmark48"/>
      <w:bookmarkEnd w:id="48"/>
      <w:r>
        <w:rPr>
          <w:rFonts w:ascii="Times New Roman" w:eastAsia="Times New Roman" w:hAnsi="Times New Roman" w:cs="Times New Roman"/>
          <w:color w:val="000000"/>
          <w:spacing w:val="0"/>
          <w:w w:val="100"/>
          <w:position w:val="0"/>
        </w:rPr>
        <w:t>II</w:t>
      </w:r>
      <w:r>
        <w:rPr>
          <w:color w:val="000000"/>
          <w:spacing w:val="0"/>
          <w:w w:val="100"/>
          <w:position w:val="0"/>
        </w:rPr>
        <w:t>级风险项目数不超过五个，且没有</w:t>
      </w:r>
      <w:r>
        <w:rPr>
          <w:rFonts w:ascii="Times New Roman" w:eastAsia="Times New Roman" w:hAnsi="Times New Roman" w:cs="Times New Roman"/>
          <w:color w:val="434952"/>
          <w:spacing w:val="0"/>
          <w:w w:val="100"/>
          <w:position w:val="0"/>
        </w:rPr>
        <w:t>I</w:t>
      </w:r>
      <w:r>
        <w:rPr>
          <w:color w:val="1D2025"/>
          <w:spacing w:val="0"/>
          <w:w w:val="100"/>
          <w:position w:val="0"/>
        </w:rPr>
        <w:t>级</w:t>
      </w:r>
      <w:r>
        <w:rPr>
          <w:color w:val="434952"/>
          <w:spacing w:val="0"/>
          <w:w w:val="100"/>
          <w:position w:val="0"/>
        </w:rPr>
        <w:t>风险项</w:t>
      </w:r>
      <w:r>
        <w:rPr>
          <w:color w:val="000000"/>
          <w:spacing w:val="0"/>
          <w:w w:val="100"/>
          <w:position w:val="0"/>
        </w:rPr>
        <w:t>目时，判定施工升降机整体安全状况为</w:t>
      </w:r>
      <w:r>
        <w:rPr>
          <w:rFonts w:ascii="Times New Roman" w:eastAsia="Times New Roman" w:hAnsi="Times New Roman" w:cs="Times New Roman"/>
          <w:color w:val="000000"/>
          <w:spacing w:val="0"/>
          <w:w w:val="100"/>
          <w:position w:val="0"/>
        </w:rPr>
        <w:t>III</w:t>
      </w:r>
      <w:r>
        <w:rPr>
          <w:color w:val="000000"/>
          <w:spacing w:val="0"/>
          <w:w w:val="100"/>
          <w:position w:val="0"/>
        </w:rPr>
        <w:t>级；</w:t>
      </w:r>
    </w:p>
    <w:p>
      <w:pPr>
        <w:pStyle w:val="Bodytext10"/>
        <w:keepNext w:val="0"/>
        <w:keepLines w:val="0"/>
        <w:widowControl w:val="0"/>
        <w:numPr>
          <w:ilvl w:val="0"/>
          <w:numId w:val="1"/>
        </w:numPr>
        <w:shd w:val="clear" w:color="auto" w:fill="auto"/>
        <w:tabs>
          <w:tab w:val="left" w:pos="807"/>
        </w:tabs>
        <w:bidi w:val="0"/>
        <w:spacing w:before="0" w:after="380" w:line="318" w:lineRule="exact"/>
        <w:ind w:left="0" w:right="0" w:firstLine="420"/>
        <w:jc w:val="both"/>
      </w:pPr>
      <w:bookmarkStart w:id="49" w:name="bookmark49"/>
      <w:bookmarkEnd w:id="49"/>
      <w:r>
        <w:rPr>
          <w:color w:val="000000"/>
          <w:spacing w:val="0"/>
          <w:w w:val="100"/>
          <w:position w:val="0"/>
        </w:rPr>
        <w:t>其余情况判定施工升降机整体安全状况为</w:t>
      </w:r>
      <w:r>
        <w:rPr>
          <w:rFonts w:ascii="Times New Roman" w:eastAsia="Times New Roman" w:hAnsi="Times New Roman" w:cs="Times New Roman"/>
          <w:color w:val="000000"/>
          <w:spacing w:val="0"/>
          <w:w w:val="100"/>
          <w:position w:val="0"/>
        </w:rPr>
        <w:t>II</w:t>
      </w:r>
      <w:r>
        <w:rPr>
          <w:color w:val="000000"/>
          <w:spacing w:val="0"/>
          <w:w w:val="100"/>
          <w:position w:val="0"/>
        </w:rPr>
        <w:t>级。</w:t>
      </w:r>
    </w:p>
    <w:p>
      <w:pPr>
        <w:pStyle w:val="Bodytext1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6</w:t>
      </w:r>
      <w:r>
        <w:rPr>
          <w:b/>
          <w:bCs/>
          <w:color w:val="000000"/>
          <w:spacing w:val="0"/>
          <w:w w:val="100"/>
          <w:position w:val="0"/>
        </w:rPr>
        <w:t>安全评估结论</w:t>
      </w:r>
    </w:p>
    <w:p>
      <w:pPr>
        <w:pStyle w:val="Bodytext10"/>
        <w:keepNext w:val="0"/>
        <w:keepLines w:val="0"/>
        <w:widowControl w:val="0"/>
        <w:shd w:val="clear" w:color="auto" w:fill="auto"/>
        <w:bidi w:val="0"/>
        <w:spacing w:before="0" w:after="0" w:line="318" w:lineRule="exact"/>
        <w:ind w:left="0" w:right="0" w:firstLine="420"/>
        <w:jc w:val="both"/>
      </w:pPr>
      <w:r>
        <w:rPr>
          <w:color w:val="000000"/>
          <w:spacing w:val="0"/>
          <w:w w:val="100"/>
          <w:position w:val="0"/>
        </w:rPr>
        <w:t>在对各评估项目进行现场安全评估的基础上，根据整机安全状况的奪,或剣定、各评估项目存在的风 险和降低风险保护措施的成本，综合考虑使用环境、管理水平、能耗状况、淘汰类型等其他因素，提岀 为降低风险而采取的措施。</w:t>
      </w:r>
    </w:p>
    <w:p>
      <w:pPr>
        <w:pStyle w:val="Bodytext10"/>
        <w:keepNext w:val="0"/>
        <w:keepLines w:val="0"/>
        <w:widowControl w:val="0"/>
        <w:numPr>
          <w:ilvl w:val="0"/>
          <w:numId w:val="2"/>
        </w:numPr>
        <w:shd w:val="clear" w:color="auto" w:fill="auto"/>
        <w:tabs>
          <w:tab w:val="left" w:pos="800"/>
        </w:tabs>
        <w:bidi w:val="0"/>
        <w:spacing w:before="0" w:after="0" w:line="318" w:lineRule="exact"/>
        <w:ind w:left="0" w:right="0" w:firstLine="420"/>
        <w:jc w:val="both"/>
      </w:pPr>
      <w:bookmarkStart w:id="50" w:name="bookmark50"/>
      <w:bookmarkEnd w:id="50"/>
      <w:r>
        <w:rPr>
          <w:color w:val="000000"/>
          <w:spacing w:val="0"/>
          <w:w w:val="100"/>
          <w:position w:val="0"/>
        </w:rPr>
        <w:t>对于安全状况等级为</w:t>
      </w:r>
      <w:r>
        <w:rPr>
          <w:rFonts w:ascii="Times New Roman" w:eastAsia="Times New Roman" w:hAnsi="Times New Roman" w:cs="Times New Roman"/>
          <w:color w:val="000000"/>
          <w:spacing w:val="0"/>
          <w:w w:val="100"/>
          <w:position w:val="0"/>
        </w:rPr>
        <w:t>I</w:t>
      </w:r>
      <w:r>
        <w:rPr>
          <w:color w:val="000000"/>
          <w:spacing w:val="0"/>
          <w:w w:val="100"/>
          <w:position w:val="0"/>
        </w:rPr>
        <w:t>级的，施工升降机建议停用，应立即采取整改或防护措施，消除安全风 险后使用。</w:t>
      </w:r>
    </w:p>
    <w:p>
      <w:pPr>
        <w:pStyle w:val="Bodytext10"/>
        <w:keepNext w:val="0"/>
        <w:keepLines w:val="0"/>
        <w:widowControl w:val="0"/>
        <w:numPr>
          <w:ilvl w:val="0"/>
          <w:numId w:val="2"/>
        </w:numPr>
        <w:shd w:val="clear" w:color="auto" w:fill="auto"/>
        <w:tabs>
          <w:tab w:val="left" w:pos="810"/>
        </w:tabs>
        <w:bidi w:val="0"/>
        <w:spacing w:before="0" w:after="300" w:line="326" w:lineRule="exact"/>
        <w:ind w:left="0" w:right="0" w:firstLine="420"/>
        <w:jc w:val="both"/>
        <w:sectPr>
          <w:headerReference w:type="even" r:id="rId65"/>
          <w:headerReference w:type="default" r:id="rId66"/>
          <w:footerReference w:type="even" r:id="rId67"/>
          <w:footerReference w:type="default" r:id="rId68"/>
          <w:headerReference w:type="first" r:id="rId69"/>
          <w:footerReference w:type="first" r:id="rId70"/>
          <w:type w:val="nextPage"/>
          <w:pgSz w:w="11900" w:h="16840"/>
          <w:pgMar w:top="1974" w:right="1224" w:bottom="1528" w:left="1248" w:header="0" w:footer="3" w:gutter="0"/>
          <w:pgNumType w:start="11"/>
          <w:cols w:space="720"/>
          <w:noEndnote/>
          <w:titlePg w:val="0"/>
          <w:rtlGutter w:val="0"/>
          <w:docGrid w:linePitch="360"/>
        </w:sectPr>
      </w:pPr>
      <w:bookmarkStart w:id="51" w:name="bookmark51"/>
      <w:bookmarkEnd w:id="51"/>
      <w:r>
        <w:rPr>
          <w:color w:val="000000"/>
          <w:spacing w:val="0"/>
          <w:w w:val="100"/>
          <w:position w:val="0"/>
        </w:rPr>
        <w:t>对于安全状况等级为</w:t>
      </w:r>
      <w:r>
        <w:rPr>
          <w:rFonts w:ascii="Times New Roman" w:eastAsia="Times New Roman" w:hAnsi="Times New Roman" w:cs="Times New Roman"/>
          <w:color w:val="000000"/>
          <w:spacing w:val="0"/>
          <w:w w:val="100"/>
          <w:position w:val="0"/>
        </w:rPr>
        <w:t>II</w:t>
      </w:r>
      <w:r>
        <w:rPr>
          <w:color w:val="000000"/>
          <w:spacing w:val="0"/>
          <w:w w:val="100"/>
          <w:position w:val="0"/>
        </w:rPr>
        <w:t>級的，施工升降机应监护使用，需要对隐患部件或功能尽快更换或修复, 采取防护措施消除或降低风险。</w:t>
      </w:r>
    </w:p>
    <w:p>
      <w:pPr>
        <w:pStyle w:val="Bodytext10"/>
        <w:keepNext w:val="0"/>
        <w:keepLines w:val="0"/>
        <w:widowControl w:val="0"/>
        <w:shd w:val="clear" w:color="auto" w:fill="auto"/>
        <w:bidi w:val="0"/>
        <w:spacing w:before="0" w:after="380" w:line="317" w:lineRule="exact"/>
        <w:ind w:left="0" w:right="0" w:firstLine="440"/>
        <w:jc w:val="both"/>
      </w:pPr>
      <w:bookmarkStart w:id="52" w:name="bookmark52"/>
      <w:r>
        <w:rPr>
          <w:rFonts w:ascii="Times New Roman" w:eastAsia="Times New Roman" w:hAnsi="Times New Roman" w:cs="Times New Roman"/>
          <w:color w:val="000000"/>
          <w:spacing w:val="0"/>
          <w:w w:val="100"/>
          <w:position w:val="0"/>
          <w:lang w:val="en-US" w:eastAsia="en-US" w:bidi="en-US"/>
        </w:rPr>
        <w:t>c</w:t>
      </w:r>
      <w:bookmarkEnd w:id="52"/>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对于安全状况等级为</w:t>
      </w:r>
      <w:r>
        <w:rPr>
          <w:rFonts w:ascii="Times New Roman" w:eastAsia="Times New Roman" w:hAnsi="Times New Roman" w:cs="Times New Roman"/>
          <w:color w:val="000000"/>
          <w:spacing w:val="0"/>
          <w:w w:val="100"/>
          <w:position w:val="0"/>
          <w:lang w:val="en-US" w:eastAsia="en-US" w:bidi="en-US"/>
        </w:rPr>
        <w:t>III</w:t>
      </w:r>
      <w:r>
        <w:rPr>
          <w:color w:val="000000"/>
          <w:spacing w:val="0"/>
          <w:w w:val="100"/>
          <w:position w:val="0"/>
        </w:rPr>
        <w:t>級的，施工升降机应监护使用，需要采取加强维护或缩短检验周期的措 施防止风险的发生。</w:t>
      </w:r>
    </w:p>
    <w:p>
      <w:pPr>
        <w:pStyle w:val="Bodytext10"/>
        <w:keepNext w:val="0"/>
        <w:keepLines w:val="0"/>
        <w:widowControl w:val="0"/>
        <w:shd w:val="clear" w:color="auto" w:fill="auto"/>
        <w:bidi w:val="0"/>
        <w:spacing w:before="0" w:after="30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B.7</w:t>
      </w:r>
      <w:r>
        <w:rPr>
          <w:b/>
          <w:bCs/>
          <w:color w:val="000000"/>
          <w:spacing w:val="0"/>
          <w:w w:val="100"/>
          <w:position w:val="0"/>
        </w:rPr>
        <w:t>降低风险措施的建议</w:t>
      </w:r>
    </w:p>
    <w:p>
      <w:pPr>
        <w:pStyle w:val="Bodytext10"/>
        <w:keepNext w:val="0"/>
        <w:keepLines w:val="0"/>
        <w:widowControl w:val="0"/>
        <w:shd w:val="clear" w:color="auto" w:fill="auto"/>
        <w:bidi w:val="0"/>
        <w:spacing w:before="0" w:after="0" w:line="319" w:lineRule="exact"/>
        <w:ind w:left="0" w:right="0" w:firstLine="440"/>
        <w:jc w:val="both"/>
      </w:pPr>
      <w:r>
        <w:rPr>
          <w:color w:val="000000"/>
          <w:spacing w:val="0"/>
          <w:w w:val="100"/>
          <w:position w:val="0"/>
        </w:rPr>
        <w:t>降低风险措施的建议：</w:t>
      </w:r>
    </w:p>
    <w:p>
      <w:pPr>
        <w:pStyle w:val="Bodytext10"/>
        <w:keepNext w:val="0"/>
        <w:keepLines w:val="0"/>
        <w:widowControl w:val="0"/>
        <w:shd w:val="clear" w:color="auto" w:fill="auto"/>
        <w:tabs>
          <w:tab w:val="left" w:pos="800"/>
        </w:tabs>
        <w:bidi w:val="0"/>
        <w:spacing w:before="0" w:after="0" w:line="319" w:lineRule="exact"/>
        <w:ind w:left="0" w:right="0" w:firstLine="440"/>
        <w:jc w:val="both"/>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对于整机安全状况风险类别评定为</w:t>
      </w:r>
      <w:r>
        <w:rPr>
          <w:rFonts w:ascii="Times New Roman" w:eastAsia="Times New Roman" w:hAnsi="Times New Roman" w:cs="Times New Roman"/>
          <w:color w:val="000000"/>
          <w:spacing w:val="0"/>
          <w:w w:val="100"/>
          <w:position w:val="0"/>
        </w:rPr>
        <w:t>I</w:t>
      </w:r>
      <w:r>
        <w:rPr>
          <w:color w:val="000000"/>
          <w:spacing w:val="0"/>
          <w:w w:val="100"/>
          <w:position w:val="0"/>
        </w:rPr>
        <w:t>级的，存在风险项目的部件或功能通过修理可以恢复其安 全功能的，应当对该施工升降机进行修理或改造；如不能修复，或修复价值超过整机价值的</w:t>
      </w:r>
      <w:r>
        <w:rPr>
          <w:rFonts w:ascii="Times New Roman" w:eastAsia="Times New Roman" w:hAnsi="Times New Roman" w:cs="Times New Roman"/>
          <w:color w:val="000000"/>
          <w:spacing w:val="0"/>
          <w:w w:val="100"/>
          <w:position w:val="0"/>
        </w:rPr>
        <w:t>60%</w:t>
      </w:r>
      <w:r>
        <w:rPr>
          <w:color w:val="000000"/>
          <w:spacing w:val="0"/>
          <w:w w:val="100"/>
          <w:position w:val="0"/>
        </w:rPr>
        <w:t>以上对 整机进行报废处理；</w:t>
      </w:r>
    </w:p>
    <w:p>
      <w:pPr>
        <w:pStyle w:val="Bodytext10"/>
        <w:keepNext w:val="0"/>
        <w:keepLines w:val="0"/>
        <w:widowControl w:val="0"/>
        <w:shd w:val="clear" w:color="auto" w:fill="auto"/>
        <w:tabs>
          <w:tab w:val="left" w:pos="795"/>
        </w:tabs>
        <w:bidi w:val="0"/>
        <w:spacing w:before="0" w:after="0" w:line="331" w:lineRule="exact"/>
        <w:ind w:left="0" w:right="0" w:firstLine="440"/>
        <w:jc w:val="both"/>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对于整机安全状况风险类别评定为</w:t>
      </w:r>
      <w:r>
        <w:rPr>
          <w:rFonts w:ascii="Times New Roman" w:eastAsia="Times New Roman" w:hAnsi="Times New Roman" w:cs="Times New Roman"/>
          <w:color w:val="000000"/>
          <w:spacing w:val="0"/>
          <w:w w:val="100"/>
          <w:position w:val="0"/>
        </w:rPr>
        <w:t>I</w:t>
      </w:r>
      <w:r>
        <w:rPr>
          <w:color w:val="000000"/>
          <w:spacing w:val="0"/>
          <w:w w:val="100"/>
          <w:position w:val="0"/>
        </w:rPr>
        <w:t>级或</w:t>
      </w:r>
      <w:r>
        <w:rPr>
          <w:rFonts w:ascii="Times New Roman" w:eastAsia="Times New Roman" w:hAnsi="Times New Roman" w:cs="Times New Roman"/>
          <w:color w:val="000000"/>
          <w:spacing w:val="0"/>
          <w:w w:val="100"/>
          <w:position w:val="0"/>
        </w:rPr>
        <w:t>II</w:t>
      </w:r>
      <w:r>
        <w:rPr>
          <w:color w:val="000000"/>
          <w:spacing w:val="0"/>
          <w:w w:val="100"/>
          <w:position w:val="0"/>
        </w:rPr>
        <w:t>級的，存在风险项目的部件或功能通过修理可以恢 复其安全功能的，应当提岀对该施工升降机进行修理；</w:t>
      </w:r>
    </w:p>
    <w:p>
      <w:pPr>
        <w:pStyle w:val="Bodytext10"/>
        <w:keepNext w:val="0"/>
        <w:keepLines w:val="0"/>
        <w:widowControl w:val="0"/>
        <w:shd w:val="clear" w:color="auto" w:fill="auto"/>
        <w:tabs>
          <w:tab w:val="left" w:pos="781"/>
        </w:tabs>
        <w:bidi w:val="0"/>
        <w:spacing w:before="0" w:after="2000" w:line="319" w:lineRule="exact"/>
        <w:ind w:left="0" w:right="0" w:firstLine="440"/>
        <w:jc w:val="both"/>
        <w:sectPr>
          <w:headerReference w:type="even" r:id="rId71"/>
          <w:headerReference w:type="default" r:id="rId72"/>
          <w:footerReference w:type="even" r:id="rId73"/>
          <w:footerReference w:type="default" r:id="rId74"/>
          <w:headerReference w:type="first" r:id="rId75"/>
          <w:footerReference w:type="first" r:id="rId76"/>
          <w:pgSz w:w="11900" w:h="16840"/>
          <w:pgMar w:top="1878" w:right="1109" w:bottom="899" w:left="1393" w:header="0" w:footer="471" w:gutter="0"/>
          <w:pgNumType w:start="15"/>
          <w:cols w:space="720"/>
          <w:noEndnote/>
          <w:rtlGutter w:val="0"/>
          <w:docGrid w:linePitch="360"/>
        </w:sectPr>
      </w:pPr>
      <w:bookmarkStart w:id="55" w:name="bookmark55"/>
      <w:r>
        <w:rPr>
          <w:rFonts w:ascii="Times New Roman" w:eastAsia="Times New Roman" w:hAnsi="Times New Roman" w:cs="Times New Roman"/>
          <w:color w:val="000000"/>
          <w:spacing w:val="0"/>
          <w:w w:val="100"/>
          <w:position w:val="0"/>
          <w:lang w:val="en-US" w:eastAsia="en-US" w:bidi="en-US"/>
        </w:rPr>
        <w:t>c</w:t>
      </w:r>
      <w:bookmarkEnd w:id="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对于整机安全状况风险类别评定为</w:t>
      </w:r>
      <w:r>
        <w:rPr>
          <w:rFonts w:ascii="Times New Roman" w:eastAsia="Times New Roman" w:hAnsi="Times New Roman" w:cs="Times New Roman"/>
          <w:color w:val="000000"/>
          <w:spacing w:val="0"/>
          <w:w w:val="100"/>
          <w:position w:val="0"/>
        </w:rPr>
        <w:t>I</w:t>
      </w:r>
      <w:r>
        <w:rPr>
          <w:color w:val="000000"/>
          <w:spacing w:val="0"/>
          <w:w w:val="100"/>
          <w:position w:val="0"/>
        </w:rPr>
        <w:t>级或</w:t>
      </w:r>
      <w:r>
        <w:rPr>
          <w:rFonts w:ascii="Times New Roman" w:eastAsia="Times New Roman" w:hAnsi="Times New Roman" w:cs="Times New Roman"/>
          <w:color w:val="000000"/>
          <w:spacing w:val="0"/>
          <w:w w:val="100"/>
          <w:position w:val="0"/>
        </w:rPr>
        <w:t>II</w:t>
      </w:r>
      <w:r>
        <w:rPr>
          <w:color w:val="000000"/>
          <w:spacing w:val="0"/>
          <w:w w:val="100"/>
          <w:position w:val="0"/>
        </w:rPr>
        <w:t>級的，存在风险项目的部件或功能不能通过修理可 以恢复其安全功能的，或修理更换零部件的价值高于经济性要求，或改造后无法保证其可靠运行的，可 以提岀对该施工升降机进行更新。</w:t>
      </w:r>
    </w:p>
    <w:p>
      <w:pPr>
        <w:widowControl w:val="0"/>
        <w:jc w:val="center"/>
        <w:rPr>
          <w:sz w:val="2"/>
          <w:szCs w:val="2"/>
        </w:rPr>
        <w:sectPr>
          <w:headerReference w:type="even" r:id="rId77"/>
          <w:headerReference w:type="default" r:id="rId78"/>
          <w:footerReference w:type="even" r:id="rId79"/>
          <w:footerReference w:type="default" r:id="rId80"/>
          <w:headerReference w:type="first" r:id="rId81"/>
          <w:footerReference w:type="first" r:id="rId82"/>
          <w:type w:val="nextPage"/>
          <w:pgSz w:w="11900" w:h="16840"/>
          <w:pgMar w:top="1878" w:right="1109" w:bottom="899" w:left="1393" w:header="0" w:footer="471" w:gutter="0"/>
          <w:pgNumType w:start="16"/>
          <w:cols w:space="720"/>
          <w:noEndnote/>
          <w:titlePg w:val="0"/>
          <w:rtlGutter w:val="0"/>
          <w:docGrid w:linePitch="360"/>
        </w:sectPr>
      </w:pPr>
      <w:r>
        <w:drawing>
          <wp:inline>
            <wp:extent cx="7120255" cy="4883150"/>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Id83"/>
                    <a:stretch>
                      <a:fillRect/>
                    </a:stretch>
                  </pic:blipFill>
                  <pic:spPr>
                    <a:xfrm>
                      <a:off x="0" y="0"/>
                      <a:ext cx="7120255" cy="4883150"/>
                    </a:xfrm>
                    <a:prstGeom prst="rect">
                      <a:avLst/>
                    </a:prstGeom>
                  </pic:spPr>
                </pic:pic>
              </a:graphicData>
            </a:graphic>
          </wp:inline>
        </w:drawing>
      </w:r>
    </w:p>
    <w:p>
      <w:pPr>
        <w:pStyle w:val="Bodytext20"/>
        <w:keepNext w:val="0"/>
        <w:keepLines w:val="0"/>
        <w:widowControl w:val="0"/>
        <w:shd w:val="clear" w:color="auto" w:fill="auto"/>
        <w:bidi w:val="0"/>
        <w:spacing w:before="0" w:after="140" w:line="240" w:lineRule="auto"/>
        <w:ind w:left="0" w:right="0" w:firstLine="0"/>
        <w:jc w:val="center"/>
      </w:pPr>
      <w:r>
        <w:rPr>
          <w:rFonts w:ascii="SimSun" w:eastAsia="SimSun" w:hAnsi="SimSun" w:cs="SimSun"/>
          <w:b/>
          <w:bCs/>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C</w:t>
      </w:r>
    </w:p>
    <w:p>
      <w:pPr>
        <w:pStyle w:val="Bodytext10"/>
        <w:keepNext w:val="0"/>
        <w:keepLines w:val="0"/>
        <w:widowControl w:val="0"/>
        <w:shd w:val="clear" w:color="auto" w:fill="auto"/>
        <w:bidi w:val="0"/>
        <w:spacing w:before="0" w:after="140" w:line="240" w:lineRule="auto"/>
        <w:ind w:left="0" w:right="0" w:firstLine="0"/>
        <w:jc w:val="center"/>
      </w:pPr>
      <w:r>
        <w:rPr>
          <w:b/>
          <w:bCs/>
          <w:color w:val="000000"/>
          <w:spacing w:val="0"/>
          <w:w w:val="100"/>
          <w:position w:val="0"/>
        </w:rPr>
        <w:t>（规范性）</w:t>
      </w:r>
    </w:p>
    <w:p>
      <w:pPr>
        <w:pStyle w:val="Bodytext10"/>
        <w:keepNext w:val="0"/>
        <w:keepLines w:val="0"/>
        <w:widowControl w:val="0"/>
        <w:shd w:val="clear" w:color="auto" w:fill="auto"/>
        <w:bidi w:val="0"/>
        <w:spacing w:before="0" w:after="140" w:line="240" w:lineRule="auto"/>
        <w:ind w:left="0" w:right="0" w:firstLine="0"/>
        <w:jc w:val="center"/>
      </w:pPr>
      <w:r>
        <w:rPr>
          <w:b/>
          <w:bCs/>
          <w:color w:val="000000"/>
          <w:spacing w:val="0"/>
          <w:w w:val="100"/>
          <w:position w:val="0"/>
        </w:rPr>
        <w:t>《施工升降机安全评估记录》格式</w:t>
      </w:r>
    </w:p>
    <w:p>
      <w:pPr>
        <w:pStyle w:val="Bodytext10"/>
        <w:keepNext w:val="0"/>
        <w:keepLines w:val="0"/>
        <w:widowControl w:val="0"/>
        <w:shd w:val="clear" w:color="auto" w:fill="auto"/>
        <w:bidi w:val="0"/>
        <w:spacing w:before="0" w:after="720" w:line="240" w:lineRule="auto"/>
        <w:ind w:left="0" w:right="1140" w:firstLine="0"/>
        <w:jc w:val="right"/>
        <w:rPr>
          <w:sz w:val="22"/>
          <w:szCs w:val="22"/>
        </w:rPr>
      </w:pPr>
      <w:r>
        <w:rPr>
          <w:color w:val="000000"/>
          <w:spacing w:val="0"/>
          <w:w w:val="100"/>
          <w:position w:val="0"/>
          <w:sz w:val="22"/>
          <w:szCs w:val="22"/>
        </w:rPr>
        <w:t>记录编号:</w:t>
      </w:r>
    </w:p>
    <w:p>
      <w:pPr>
        <w:pStyle w:val="Heading210"/>
        <w:keepNext/>
        <w:keepLines/>
        <w:widowControl w:val="0"/>
        <w:shd w:val="clear" w:color="auto" w:fill="auto"/>
        <w:bidi w:val="0"/>
        <w:spacing w:before="0" w:after="2180" w:line="763" w:lineRule="exact"/>
        <w:ind w:left="0" w:right="0" w:firstLine="0"/>
        <w:jc w:val="center"/>
      </w:pPr>
      <w:bookmarkStart w:id="56" w:name="bookmark56"/>
      <w:bookmarkStart w:id="57" w:name="bookmark57"/>
      <w:bookmarkStart w:id="58" w:name="bookmark58"/>
      <w:r>
        <w:rPr>
          <w:color w:val="000000"/>
          <w:spacing w:val="0"/>
          <w:w w:val="100"/>
          <w:position w:val="0"/>
        </w:rPr>
        <w:t>施工升降机</w:t>
        <w:br/>
        <w:t>安全评估记录</w:t>
      </w:r>
      <w:bookmarkEnd w:id="56"/>
      <w:bookmarkEnd w:id="57"/>
      <w:bookmarkEnd w:id="58"/>
    </w:p>
    <w:p>
      <w:pPr>
        <w:pStyle w:val="Bodytext30"/>
        <w:keepNext w:val="0"/>
        <w:keepLines w:val="0"/>
        <w:widowControl w:val="0"/>
        <w:shd w:val="clear" w:color="auto" w:fill="auto"/>
        <w:tabs>
          <w:tab w:val="left" w:pos="6350"/>
          <w:tab w:val="left" w:pos="6365"/>
        </w:tabs>
        <w:bidi w:val="0"/>
        <w:spacing w:before="0"/>
        <w:ind w:right="0"/>
        <w:jc w:val="both"/>
      </w:pPr>
      <w:r>
        <w:rPr>
          <w:color w:val="000000"/>
          <w:spacing w:val="0"/>
          <w:w w:val="100"/>
          <w:position w:val="0"/>
        </w:rPr>
        <w:t>设备种类：</w:t>
      </w:r>
      <w:r>
        <w:rPr>
          <w:u w:val="single"/>
        </w:rPr>
        <w:t xml:space="preserve"> </w:t>
        <w:tab/>
      </w:r>
      <w:r>
        <w:rPr>
          <w:color w:val="000000"/>
          <w:spacing w:val="0"/>
          <w:w w:val="100"/>
          <w:position w:val="0"/>
        </w:rPr>
        <w:t xml:space="preserve"> 设备品种（型式）：</w:t>
      </w:r>
      <w:r>
        <w:rPr>
          <w:u w:val="single"/>
        </w:rPr>
        <w:t xml:space="preserve"> </w:t>
        <w:tab/>
      </w:r>
      <w:r>
        <w:rPr>
          <w:color w:val="000000"/>
          <w:spacing w:val="0"/>
          <w:w w:val="100"/>
          <w:position w:val="0"/>
        </w:rPr>
        <w:t xml:space="preserve"> 设备型号规格：</w:t>
      </w:r>
      <w:r>
        <w:rPr>
          <w:u w:val="single"/>
        </w:rPr>
        <w:t xml:space="preserve"> </w:t>
        <w:tab/>
      </w:r>
      <w:r>
        <w:rPr>
          <w:color w:val="000000"/>
          <w:spacing w:val="0"/>
          <w:w w:val="100"/>
          <w:position w:val="0"/>
        </w:rPr>
        <w:t xml:space="preserve"> 委托单位：</w:t>
      </w:r>
      <w:r>
        <w:rPr>
          <w:u w:val="single"/>
        </w:rPr>
        <w:t xml:space="preserve"> </w:t>
        <w:tab/>
      </w:r>
      <w:r>
        <w:rPr>
          <w:color w:val="000000"/>
          <w:spacing w:val="0"/>
          <w:w w:val="100"/>
          <w:position w:val="0"/>
        </w:rPr>
        <w:t xml:space="preserve"> 制造单位：</w:t>
      </w:r>
      <w:r>
        <w:rPr>
          <w:u w:val="single"/>
        </w:rPr>
        <w:t xml:space="preserve"> </w:t>
        <w:tab/>
      </w:r>
      <w:r>
        <w:rPr>
          <w:color w:val="000000"/>
          <w:spacing w:val="0"/>
          <w:w w:val="100"/>
          <w:position w:val="0"/>
        </w:rPr>
        <w:t xml:space="preserve"> 评估时间：</w:t>
      </w:r>
      <w:r>
        <w:rPr>
          <w:u w:val="single"/>
        </w:rPr>
        <w:t xml:space="preserve"> </w:t>
        <w:tab/>
      </w:r>
    </w:p>
    <w:p>
      <w:pPr>
        <w:pStyle w:val="Other10"/>
        <w:keepNext w:val="0"/>
        <w:keepLines w:val="0"/>
        <w:widowControl w:val="0"/>
        <w:shd w:val="clear" w:color="auto" w:fill="auto"/>
        <w:bidi w:val="0"/>
        <w:spacing w:before="0" w:after="420" w:line="240" w:lineRule="auto"/>
        <w:ind w:left="0" w:right="0" w:firstLine="0"/>
        <w:jc w:val="center"/>
        <w:rPr>
          <w:sz w:val="44"/>
          <w:szCs w:val="44"/>
        </w:rPr>
        <w:sectPr>
          <w:headerReference w:type="even" r:id="rId84"/>
          <w:headerReference w:type="default" r:id="rId85"/>
          <w:footerReference w:type="even" r:id="rId86"/>
          <w:footerReference w:type="default" r:id="rId87"/>
          <w:headerReference w:type="first" r:id="rId88"/>
          <w:footerReference w:type="first" r:id="rId89"/>
          <w:pgSz w:w="11900" w:h="16840"/>
          <w:pgMar w:top="1270" w:right="1109" w:bottom="1044" w:left="1393" w:header="0" w:footer="3" w:gutter="0"/>
          <w:pgNumType w:start="12"/>
          <w:cols w:space="720"/>
          <w:noEndnote/>
          <w:rtlGutter w:val="0"/>
          <w:docGrid w:linePitch="360"/>
        </w:sectPr>
      </w:pPr>
      <w:r>
        <w:rPr>
          <w:color w:val="000000"/>
          <w:spacing w:val="0"/>
          <w:w w:val="100"/>
          <w:position w:val="0"/>
          <w:sz w:val="44"/>
          <w:szCs w:val="44"/>
        </w:rPr>
        <w:t>（评估机构名称）</w:t>
      </w:r>
    </w:p>
    <w:p>
      <w:pPr>
        <w:pStyle w:val="Bodytext10"/>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记录填写要求</w:t>
      </w:r>
    </w:p>
    <w:p>
      <w:pPr>
        <w:pStyle w:val="Bodytext10"/>
        <w:keepNext w:val="0"/>
        <w:keepLines w:val="0"/>
        <w:widowControl w:val="0"/>
        <w:shd w:val="clear" w:color="auto" w:fill="auto"/>
        <w:tabs>
          <w:tab w:val="left" w:pos="406"/>
        </w:tabs>
        <w:bidi w:val="0"/>
        <w:spacing w:before="0" w:after="0" w:line="456" w:lineRule="exact"/>
        <w:ind w:left="0" w:right="0" w:firstLine="0"/>
        <w:jc w:val="left"/>
        <w:rPr>
          <w:sz w:val="22"/>
          <w:szCs w:val="22"/>
        </w:rPr>
      </w:pPr>
      <w:bookmarkStart w:id="59" w:name="bookmark59"/>
      <w:r>
        <w:rPr>
          <w:rFonts w:ascii="Times New Roman" w:eastAsia="Times New Roman" w:hAnsi="Times New Roman" w:cs="Times New Roman"/>
          <w:color w:val="000000"/>
          <w:spacing w:val="0"/>
          <w:w w:val="100"/>
          <w:position w:val="0"/>
          <w:sz w:val="20"/>
          <w:szCs w:val="20"/>
        </w:rPr>
        <w:t>1</w:t>
      </w:r>
      <w:bookmarkEnd w:id="59"/>
      <w:r>
        <w:rPr>
          <w:color w:val="000000"/>
          <w:spacing w:val="0"/>
          <w:w w:val="100"/>
          <w:position w:val="0"/>
          <w:sz w:val="22"/>
          <w:szCs w:val="22"/>
        </w:rPr>
        <w:t>、</w:t>
        <w:tab/>
        <w:t>评估记录要由评估人员在现场及时真实地填写、校对。</w:t>
      </w:r>
    </w:p>
    <w:p>
      <w:pPr>
        <w:pStyle w:val="Bodytext10"/>
        <w:keepNext w:val="0"/>
        <w:keepLines w:val="0"/>
        <w:widowControl w:val="0"/>
        <w:shd w:val="clear" w:color="auto" w:fill="auto"/>
        <w:tabs>
          <w:tab w:val="left" w:pos="406"/>
        </w:tabs>
        <w:bidi w:val="0"/>
        <w:spacing w:before="0" w:after="0" w:line="456" w:lineRule="exact"/>
        <w:ind w:left="0" w:right="0" w:firstLine="0"/>
        <w:jc w:val="left"/>
        <w:rPr>
          <w:sz w:val="22"/>
          <w:szCs w:val="22"/>
        </w:rPr>
      </w:pPr>
      <w:bookmarkStart w:id="60" w:name="bookmark60"/>
      <w:r>
        <w:rPr>
          <w:rFonts w:ascii="Times New Roman" w:eastAsia="Times New Roman" w:hAnsi="Times New Roman" w:cs="Times New Roman"/>
          <w:color w:val="000000"/>
          <w:spacing w:val="0"/>
          <w:w w:val="100"/>
          <w:position w:val="0"/>
          <w:sz w:val="20"/>
          <w:szCs w:val="20"/>
        </w:rPr>
        <w:t>2</w:t>
      </w:r>
      <w:bookmarkEnd w:id="60"/>
      <w:r>
        <w:rPr>
          <w:color w:val="000000"/>
          <w:spacing w:val="0"/>
          <w:w w:val="100"/>
          <w:position w:val="0"/>
          <w:sz w:val="22"/>
          <w:szCs w:val="22"/>
        </w:rPr>
        <w:t>、</w:t>
        <w:tab/>
        <w:t>评估的全过程和全部评估内容及与评估有关事项都应如实记录。</w:t>
      </w:r>
    </w:p>
    <w:p>
      <w:pPr>
        <w:pStyle w:val="Bodytext10"/>
        <w:keepNext w:val="0"/>
        <w:keepLines w:val="0"/>
        <w:widowControl w:val="0"/>
        <w:shd w:val="clear" w:color="auto" w:fill="auto"/>
        <w:tabs>
          <w:tab w:val="left" w:pos="406"/>
        </w:tabs>
        <w:bidi w:val="0"/>
        <w:spacing w:before="0" w:after="0" w:line="432" w:lineRule="exact"/>
        <w:ind w:left="420" w:right="0" w:hanging="420"/>
        <w:jc w:val="left"/>
        <w:rPr>
          <w:sz w:val="22"/>
          <w:szCs w:val="22"/>
        </w:rPr>
      </w:pPr>
      <w:bookmarkStart w:id="61" w:name="bookmark61"/>
      <w:r>
        <w:rPr>
          <w:rFonts w:ascii="Times New Roman" w:eastAsia="Times New Roman" w:hAnsi="Times New Roman" w:cs="Times New Roman"/>
          <w:color w:val="000000"/>
          <w:spacing w:val="0"/>
          <w:w w:val="100"/>
          <w:position w:val="0"/>
          <w:sz w:val="20"/>
          <w:szCs w:val="20"/>
        </w:rPr>
        <w:t>3</w:t>
      </w:r>
      <w:bookmarkEnd w:id="61"/>
      <w:r>
        <w:rPr>
          <w:color w:val="000000"/>
          <w:spacing w:val="0"/>
          <w:w w:val="100"/>
          <w:position w:val="0"/>
          <w:sz w:val="22"/>
          <w:szCs w:val="22"/>
        </w:rPr>
        <w:t>、</w:t>
        <w:tab/>
        <w:t>评估记录字迹工整，书写规范，不准用铅笔书写；各种符号、技术术语和计量单位应 符合国家有关标准和法规规定。</w:t>
      </w:r>
    </w:p>
    <w:p>
      <w:pPr>
        <w:pStyle w:val="Bodytext10"/>
        <w:keepNext w:val="0"/>
        <w:keepLines w:val="0"/>
        <w:widowControl w:val="0"/>
        <w:shd w:val="clear" w:color="auto" w:fill="auto"/>
        <w:tabs>
          <w:tab w:val="left" w:pos="406"/>
        </w:tabs>
        <w:bidi w:val="0"/>
        <w:spacing w:before="0" w:after="0" w:line="480" w:lineRule="exact"/>
        <w:ind w:left="420" w:right="0" w:hanging="420"/>
        <w:jc w:val="left"/>
        <w:rPr>
          <w:sz w:val="22"/>
          <w:szCs w:val="22"/>
        </w:rPr>
      </w:pPr>
      <w:bookmarkStart w:id="62" w:name="bookmark62"/>
      <w:r>
        <w:rPr>
          <w:rFonts w:ascii="Times New Roman" w:eastAsia="Times New Roman" w:hAnsi="Times New Roman" w:cs="Times New Roman"/>
          <w:color w:val="000000"/>
          <w:spacing w:val="0"/>
          <w:w w:val="100"/>
          <w:position w:val="0"/>
          <w:sz w:val="20"/>
          <w:szCs w:val="20"/>
        </w:rPr>
        <w:t>4</w:t>
      </w:r>
      <w:bookmarkEnd w:id="62"/>
      <w:r>
        <w:rPr>
          <w:color w:val="000000"/>
          <w:spacing w:val="0"/>
          <w:w w:val="100"/>
          <w:position w:val="0"/>
          <w:sz w:val="22"/>
          <w:szCs w:val="22"/>
        </w:rPr>
        <w:t>、</w:t>
        <w:tab/>
        <w:t>评估记录原则上不准更改，严禁涂改，确需更改时，在更改处划二条水平线，将正确 数字和内容写在水平线上方，并加盖评估人员章或评估人员签字，其他人无权更改。</w:t>
      </w:r>
    </w:p>
    <w:p>
      <w:pPr>
        <w:pStyle w:val="Bodytext10"/>
        <w:keepNext w:val="0"/>
        <w:keepLines w:val="0"/>
        <w:widowControl w:val="0"/>
        <w:shd w:val="clear" w:color="auto" w:fill="auto"/>
        <w:tabs>
          <w:tab w:val="left" w:pos="406"/>
        </w:tabs>
        <w:bidi w:val="0"/>
        <w:spacing w:before="0" w:after="2480" w:line="456" w:lineRule="exact"/>
        <w:ind w:left="0" w:right="0" w:firstLine="0"/>
        <w:jc w:val="left"/>
        <w:rPr>
          <w:sz w:val="22"/>
          <w:szCs w:val="22"/>
        </w:rPr>
      </w:pPr>
      <w:bookmarkStart w:id="63" w:name="bookmark63"/>
      <w:r>
        <w:rPr>
          <w:rFonts w:ascii="Times New Roman" w:eastAsia="Times New Roman" w:hAnsi="Times New Roman" w:cs="Times New Roman"/>
          <w:color w:val="000000"/>
          <w:spacing w:val="0"/>
          <w:w w:val="100"/>
          <w:position w:val="0"/>
          <w:sz w:val="20"/>
          <w:szCs w:val="20"/>
        </w:rPr>
        <w:t>5</w:t>
      </w:r>
      <w:bookmarkEnd w:id="63"/>
      <w:r>
        <w:rPr>
          <w:color w:val="000000"/>
          <w:spacing w:val="0"/>
          <w:w w:val="100"/>
          <w:position w:val="0"/>
          <w:sz w:val="22"/>
          <w:szCs w:val="22"/>
        </w:rPr>
        <w:t>、</w:t>
        <w:tab/>
        <w:t>评估记录须由评估人员签字，并随同评估报告一起存档。</w:t>
      </w:r>
    </w:p>
    <w:p>
      <w:pPr>
        <w:widowControl w:val="0"/>
        <w:jc w:val="center"/>
        <w:rPr>
          <w:sz w:val="2"/>
          <w:szCs w:val="2"/>
        </w:rPr>
        <w:sectPr>
          <w:headerReference w:type="even" r:id="rId90"/>
          <w:headerReference w:type="default" r:id="rId91"/>
          <w:footerReference w:type="even" r:id="rId92"/>
          <w:footerReference w:type="default" r:id="rId93"/>
          <w:headerReference w:type="first" r:id="rId94"/>
          <w:footerReference w:type="first" r:id="rId95"/>
          <w:pgSz w:w="11900" w:h="16840"/>
          <w:pgMar w:top="1270" w:right="1109" w:bottom="1044" w:left="1393" w:header="0" w:footer="616" w:gutter="0"/>
          <w:pgNumType w:start="17"/>
          <w:cols w:space="720"/>
          <w:noEndnote/>
          <w:rtlGutter w:val="0"/>
          <w:docGrid w:linePitch="360"/>
        </w:sectPr>
      </w:pPr>
      <w:r>
        <w:drawing>
          <wp:inline>
            <wp:extent cx="7120255" cy="4883150"/>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xmlns:r="http://schemas.openxmlformats.org/officeDocument/2006/relationships" r:embed="rId96"/>
                    <a:stretch>
                      <a:fillRect/>
                    </a:stretch>
                  </pic:blipFill>
                  <pic:spPr>
                    <a:xfrm>
                      <a:off x="0" y="0"/>
                      <a:ext cx="7120255" cy="4883150"/>
                    </a:xfrm>
                    <a:prstGeom prst="rect">
                      <a:avLst/>
                    </a:prstGeom>
                  </pic:spPr>
                </pic:pic>
              </a:graphicData>
            </a:graphic>
          </wp:inline>
        </w:drawing>
      </w:r>
    </w:p>
    <w:p>
      <w:pPr>
        <w:widowControl w:val="0"/>
        <w:spacing w:line="139" w:lineRule="exact"/>
        <w:rPr>
          <w:sz w:val="11"/>
          <w:szCs w:val="11"/>
        </w:rPr>
      </w:pPr>
    </w:p>
    <w:p>
      <w:pPr>
        <w:widowControl w:val="0"/>
        <w:spacing w:line="1" w:lineRule="exact"/>
        <w:sectPr>
          <w:headerReference w:type="even" r:id="rId97"/>
          <w:headerReference w:type="default" r:id="rId98"/>
          <w:footerReference w:type="even" r:id="rId99"/>
          <w:footerReference w:type="default" r:id="rId100"/>
          <w:headerReference w:type="first" r:id="rId101"/>
          <w:footerReference w:type="first" r:id="rId102"/>
          <w:pgSz w:w="11900" w:h="16840"/>
          <w:pgMar w:top="1171" w:right="1368" w:bottom="1868" w:left="1119" w:header="0" w:footer="3" w:gutter="0"/>
          <w:pgNumType w:start="14"/>
          <w:cols w:space="720"/>
          <w:noEndnote/>
          <w:rtlGutter w:val="0"/>
          <w:docGrid w:linePitch="360"/>
        </w:sectPr>
      </w:pPr>
    </w:p>
    <w:p>
      <w:pPr>
        <w:pStyle w:val="Bodytext10"/>
        <w:keepNext w:val="0"/>
        <w:keepLines w:val="0"/>
        <w:framePr w:w="1234" w:h="288" w:hRule="atLeast" w:wrap="none" w:vAnchor="text" w:hAnchor="page" w:x="8565" w:y="21"/>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记录编号:</w:t>
      </w:r>
    </w:p>
    <w:p>
      <w:pPr>
        <w:pStyle w:val="Bodytext10"/>
        <w:keepNext w:val="0"/>
        <w:keepLines w:val="0"/>
        <w:framePr w:w="1478" w:h="288" w:hRule="atLeast" w:wrap="none" w:vAnchor="text" w:hAnchor="page" w:x="1519" w:y="884"/>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委托单位名称</w:t>
      </w:r>
    </w:p>
    <w:p>
      <w:pPr>
        <w:pStyle w:val="Bodytext10"/>
        <w:keepNext w:val="0"/>
        <w:keepLines w:val="0"/>
        <w:framePr w:w="994" w:h="293" w:hRule="atLeast" w:wrap="none" w:vAnchor="text" w:hAnchor="page" w:x="1763" w:y="1715"/>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设备品种</w:t>
      </w:r>
    </w:p>
    <w:p>
      <w:pPr>
        <w:pStyle w:val="Bodytext10"/>
        <w:keepNext w:val="0"/>
        <w:keepLines w:val="0"/>
        <w:framePr w:w="989" w:h="288" w:hRule="atLeast" w:wrap="none" w:vAnchor="text" w:hAnchor="page" w:x="6463" w:y="1715"/>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型号规格</w:t>
      </w:r>
    </w:p>
    <w:p>
      <w:pPr>
        <w:pStyle w:val="Bodytext10"/>
        <w:keepNext w:val="0"/>
        <w:keepLines w:val="0"/>
        <w:framePr w:w="979" w:h="288" w:hRule="atLeast" w:wrap="none" w:vAnchor="text" w:hAnchor="page" w:x="1778" w:y="2526"/>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出厂日期</w:t>
      </w:r>
    </w:p>
    <w:p>
      <w:pPr>
        <w:pStyle w:val="Bodytext10"/>
        <w:keepNext w:val="0"/>
        <w:keepLines w:val="0"/>
        <w:framePr w:w="998" w:h="293" w:hRule="atLeast" w:wrap="none" w:vAnchor="text" w:hAnchor="page" w:x="6453" w:y="2521"/>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产品编号</w:t>
      </w:r>
    </w:p>
    <w:p>
      <w:pPr>
        <w:pStyle w:val="Bodytext10"/>
        <w:keepNext w:val="0"/>
        <w:keepLines w:val="0"/>
        <w:framePr w:w="1474" w:h="288" w:hRule="atLeast" w:wrap="none" w:vAnchor="text" w:hAnchor="page" w:x="1523" w:y="3323"/>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制造许可编号</w:t>
      </w:r>
    </w:p>
    <w:p>
      <w:pPr>
        <w:pStyle w:val="Bodytext10"/>
        <w:keepNext w:val="0"/>
        <w:keepLines w:val="0"/>
        <w:framePr w:w="994" w:h="298" w:hRule="atLeast" w:wrap="none" w:vAnchor="text" w:hAnchor="page" w:x="6458" w:y="3323"/>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工作年限</w:t>
      </w:r>
    </w:p>
    <w:p>
      <w:pPr>
        <w:pStyle w:val="Bodytext10"/>
        <w:keepNext w:val="0"/>
        <w:keepLines w:val="0"/>
        <w:framePr w:w="998" w:h="293" w:hRule="atLeast" w:wrap="none" w:vAnchor="text" w:hAnchor="page" w:x="1759" w:y="410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评估原因</w:t>
      </w:r>
    </w:p>
    <w:p>
      <w:pPr>
        <w:pStyle w:val="Bodytext10"/>
        <w:keepNext w:val="0"/>
        <w:keepLines w:val="0"/>
        <w:framePr w:w="998" w:h="293" w:hRule="atLeast" w:wrap="none" w:vAnchor="text" w:hAnchor="page" w:x="6453" w:y="410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评估时间</w:t>
      </w:r>
    </w:p>
    <w:p>
      <w:pPr>
        <w:pStyle w:val="Bodytext10"/>
        <w:keepNext w:val="0"/>
        <w:keepLines w:val="0"/>
        <w:framePr w:w="998" w:h="293" w:hRule="atLeast" w:wrap="none" w:vAnchor="text" w:hAnchor="page" w:x="1759" w:y="4902"/>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评估地点</w:t>
      </w:r>
    </w:p>
    <w:p>
      <w:pPr>
        <w:pStyle w:val="Bodytext10"/>
        <w:keepNext w:val="0"/>
        <w:keepLines w:val="0"/>
        <w:framePr w:w="998" w:h="293" w:hRule="atLeast" w:wrap="none" w:vAnchor="text" w:hAnchor="page" w:x="1759" w:y="5708"/>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评估依据</w:t>
      </w:r>
    </w:p>
    <w:p>
      <w:pPr>
        <w:pStyle w:val="Bodytext10"/>
        <w:keepNext w:val="0"/>
        <w:keepLines w:val="0"/>
        <w:framePr w:w="4483" w:h="288" w:hRule="atLeast" w:wrap="none" w:vAnchor="text" w:hAnchor="page" w:x="3472" w:y="5708"/>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0"/>
          <w:szCs w:val="20"/>
          <w:lang w:val="en-US" w:eastAsia="en-US" w:bidi="en-US"/>
        </w:rPr>
        <w:t>DB21/T XXXX</w:t>
      </w:r>
      <w:r>
        <w:rPr>
          <w:color w:val="000000"/>
          <w:spacing w:val="0"/>
          <w:w w:val="100"/>
          <w:position w:val="0"/>
          <w:sz w:val="22"/>
          <w:szCs w:val="22"/>
        </w:rPr>
        <w:t>《施工升降机安全评估规程》</w:t>
      </w:r>
    </w:p>
    <w:p>
      <w:pPr>
        <w:pStyle w:val="Bodytext10"/>
        <w:keepNext w:val="0"/>
        <w:keepLines w:val="0"/>
        <w:framePr w:w="984" w:h="293" w:hRule="atLeast" w:wrap="none" w:vAnchor="text" w:hAnchor="page" w:x="1759" w:y="6913"/>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评估人员</w:t>
      </w:r>
    </w:p>
    <w:p>
      <w:pPr>
        <w:pStyle w:val="Picturecaption10"/>
        <w:keepNext w:val="0"/>
        <w:keepLines w:val="0"/>
        <w:framePr w:w="514" w:h="278" w:hRule="atLeast" w:wrap="none" w:vAnchor="text" w:hAnchor="page" w:x="4106" w:y="6515"/>
        <w:widowControl w:val="0"/>
        <w:shd w:val="clear" w:color="auto" w:fill="auto"/>
        <w:bidi w:val="0"/>
        <w:spacing w:before="0" w:after="0" w:line="240" w:lineRule="auto"/>
        <w:ind w:left="0" w:right="0" w:firstLine="0"/>
        <w:jc w:val="left"/>
      </w:pPr>
      <w:r>
        <w:rPr>
          <w:color w:val="000000"/>
          <w:spacing w:val="0"/>
          <w:w w:val="100"/>
          <w:position w:val="0"/>
        </w:rPr>
        <w:t>组长</w:t>
      </w:r>
    </w:p>
    <w:p>
      <w:pPr>
        <w:pStyle w:val="Picturecaption10"/>
        <w:keepNext w:val="0"/>
        <w:keepLines w:val="0"/>
        <w:framePr w:w="514" w:h="288" w:hRule="atLeast" w:wrap="none" w:vAnchor="text" w:hAnchor="page" w:x="7668" w:y="6515"/>
        <w:widowControl w:val="0"/>
        <w:shd w:val="clear" w:color="auto" w:fill="auto"/>
        <w:bidi w:val="0"/>
        <w:spacing w:before="0" w:after="0" w:line="240" w:lineRule="auto"/>
        <w:ind w:left="0" w:right="0" w:firstLine="0"/>
        <w:jc w:val="left"/>
      </w:pPr>
      <w:r>
        <w:rPr>
          <w:color w:val="000000"/>
          <w:spacing w:val="0"/>
          <w:w w:val="100"/>
          <w:position w:val="0"/>
        </w:rPr>
        <w:t>组员</w:t>
      </w:r>
    </w:p>
    <w:tbl>
      <w:tblPr>
        <w:tblStyle w:val="TableNormal"/>
        <w:tblOverlap w:val="never"/>
        <w:jc w:val="left"/>
        <w:tblLayout w:type="fixed"/>
        <w:tblCellMar>
          <w:top w:w="0" w:type="dxa"/>
          <w:left w:w="10" w:type="dxa"/>
          <w:bottom w:w="0" w:type="dxa"/>
          <w:right w:w="10" w:type="dxa"/>
        </w:tblCellMar>
      </w:tblPr>
      <w:tblGrid>
        <w:gridCol w:w="2266"/>
        <w:gridCol w:w="1944"/>
        <w:gridCol w:w="1042"/>
        <w:gridCol w:w="1546"/>
        <w:gridCol w:w="1296"/>
        <w:gridCol w:w="1306"/>
      </w:tblGrid>
      <w:tr>
        <w:tblPrEx>
          <w:jc w:val="left"/>
          <w:tblLayout w:type="fixed"/>
          <w:tblCellMar>
            <w:top w:w="0" w:type="dxa"/>
            <w:left w:w="10" w:type="dxa"/>
            <w:bottom w:w="0" w:type="dxa"/>
            <w:right w:w="10" w:type="dxa"/>
          </w:tblCellMar>
        </w:tblPrEx>
        <w:trPr>
          <w:trHeight w:hRule="exact" w:val="811"/>
          <w:jc w:val="left"/>
        </w:trPr>
        <w:tc>
          <w:tcPr>
            <w:tcW w:w="2266" w:type="dxa"/>
            <w:vMerge w:val="restart"/>
            <w:tcBorders>
              <w:top w:val="single" w:sz="4" w:space="0" w:color="auto"/>
              <w:left w:val="single" w:sz="4" w:space="0" w:color="auto"/>
            </w:tcBorders>
            <w:shd w:val="clear" w:color="auto" w:fill="FFFFFF"/>
            <w:vAlign w:val="center"/>
          </w:tcPr>
          <w:p>
            <w:pPr>
              <w:pStyle w:val="Other10"/>
              <w:keepNext w:val="0"/>
              <w:keepLines w:val="0"/>
              <w:framePr w:w="9398" w:h="3230" w:hRule="atLeast" w:wrap="none" w:vAnchor="text" w:hAnchor="page" w:x="1120" w:y="7844"/>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评估条件记录</w:t>
            </w:r>
          </w:p>
        </w:tc>
        <w:tc>
          <w:tcPr>
            <w:tcW w:w="1944" w:type="dxa"/>
            <w:tcBorders>
              <w:top w:val="single" w:sz="4" w:space="0" w:color="auto"/>
              <w:left w:val="single" w:sz="4" w:space="0" w:color="auto"/>
            </w:tcBorders>
            <w:shd w:val="clear" w:color="auto" w:fill="FFFFFF"/>
            <w:vAlign w:val="center"/>
          </w:tcPr>
          <w:p>
            <w:pPr>
              <w:pStyle w:val="Other10"/>
              <w:keepNext w:val="0"/>
              <w:keepLines w:val="0"/>
              <w:framePr w:w="9398" w:h="3230" w:hRule="atLeast" w:wrap="none" w:vAnchor="text" w:hAnchor="page" w:x="1120" w:y="7844"/>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时间</w:t>
            </w:r>
          </w:p>
        </w:tc>
        <w:tc>
          <w:tcPr>
            <w:tcW w:w="1042" w:type="dxa"/>
            <w:tcBorders>
              <w:top w:val="single" w:sz="4" w:space="0" w:color="auto"/>
              <w:left w:val="single" w:sz="4" w:space="0" w:color="auto"/>
            </w:tcBorders>
            <w:shd w:val="clear" w:color="auto" w:fill="FFFFFF"/>
            <w:vAlign w:val="center"/>
          </w:tcPr>
          <w:p>
            <w:pPr>
              <w:pStyle w:val="Other10"/>
              <w:keepNext w:val="0"/>
              <w:keepLines w:val="0"/>
              <w:framePr w:w="9398" w:h="3230" w:hRule="atLeast" w:wrap="none" w:vAnchor="text" w:hAnchor="page" w:x="1120" w:y="7844"/>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电压</w:t>
            </w:r>
          </w:p>
        </w:tc>
        <w:tc>
          <w:tcPr>
            <w:tcW w:w="1546" w:type="dxa"/>
            <w:tcBorders>
              <w:top w:val="single" w:sz="4" w:space="0" w:color="auto"/>
              <w:left w:val="single" w:sz="4" w:space="0" w:color="auto"/>
            </w:tcBorders>
            <w:shd w:val="clear" w:color="auto" w:fill="FFFFFF"/>
            <w:vAlign w:val="center"/>
          </w:tcPr>
          <w:p>
            <w:pPr>
              <w:pStyle w:val="Other10"/>
              <w:keepNext w:val="0"/>
              <w:keepLines w:val="0"/>
              <w:framePr w:w="9398" w:h="3230" w:hRule="atLeast" w:wrap="none" w:vAnchor="text" w:hAnchor="page" w:x="1120" w:y="7844"/>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天气及风速</w:t>
            </w:r>
          </w:p>
        </w:tc>
        <w:tc>
          <w:tcPr>
            <w:tcW w:w="1296" w:type="dxa"/>
            <w:tcBorders>
              <w:top w:val="single" w:sz="4" w:space="0" w:color="auto"/>
              <w:left w:val="single" w:sz="4" w:space="0" w:color="auto"/>
            </w:tcBorders>
            <w:shd w:val="clear" w:color="auto" w:fill="FFFFFF"/>
            <w:vAlign w:val="center"/>
          </w:tcPr>
          <w:p>
            <w:pPr>
              <w:pStyle w:val="Other10"/>
              <w:keepNext w:val="0"/>
              <w:keepLines w:val="0"/>
              <w:framePr w:w="9398" w:h="3230" w:hRule="atLeast" w:wrap="none" w:vAnchor="text" w:hAnchor="page" w:x="1120" w:y="7844"/>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气温</w:t>
            </w:r>
          </w:p>
        </w:tc>
        <w:tc>
          <w:tcPr>
            <w:tcW w:w="130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framePr w:w="9398" w:h="3230" w:hRule="atLeast" w:wrap="none" w:vAnchor="text" w:hAnchor="page" w:x="1120" w:y="7844"/>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评估项目</w:t>
            </w:r>
          </w:p>
        </w:tc>
      </w:tr>
      <w:tr>
        <w:tblPrEx>
          <w:jc w:val="left"/>
          <w:tblLayout w:type="fixed"/>
          <w:tblCellMar>
            <w:top w:w="0" w:type="dxa"/>
            <w:left w:w="10" w:type="dxa"/>
            <w:bottom w:w="0" w:type="dxa"/>
            <w:right w:w="10" w:type="dxa"/>
          </w:tblCellMar>
        </w:tblPrEx>
        <w:trPr>
          <w:trHeight w:hRule="exact" w:val="802"/>
          <w:jc w:val="left"/>
        </w:trPr>
        <w:tc>
          <w:tcPr>
            <w:tcW w:w="2266" w:type="dxa"/>
            <w:vMerge/>
            <w:tcBorders>
              <w:left w:val="single" w:sz="4" w:space="0" w:color="auto"/>
            </w:tcBorders>
            <w:shd w:val="clear" w:color="auto" w:fill="FFFFFF"/>
            <w:vAlign w:val="center"/>
          </w:tcPr>
          <w:p>
            <w:pPr>
              <w:framePr w:w="9398" w:h="3230" w:hRule="atLeast" w:wrap="none" w:vAnchor="text" w:hAnchor="page" w:x="1120" w:y="7844"/>
            </w:pPr>
          </w:p>
        </w:tc>
        <w:tc>
          <w:tcPr>
            <w:tcW w:w="1944"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042"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546"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296"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306" w:type="dxa"/>
            <w:tcBorders>
              <w:top w:val="single" w:sz="4" w:space="0" w:color="auto"/>
              <w:left w:val="single" w:sz="4" w:space="0" w:color="auto"/>
              <w:right w:val="single" w:sz="4" w:space="0" w:color="auto"/>
            </w:tcBorders>
            <w:shd w:val="clear" w:color="auto" w:fill="FFFFFF"/>
            <w:vAlign w:val="top"/>
          </w:tcPr>
          <w:p>
            <w:pPr>
              <w:framePr w:w="9398" w:h="3230" w:hRule="atLeast" w:wrap="none" w:vAnchor="text" w:hAnchor="page" w:x="1120" w:y="7844"/>
              <w:widowControl w:val="0"/>
              <w:rPr>
                <w:sz w:val="10"/>
                <w:szCs w:val="10"/>
              </w:rPr>
            </w:pPr>
          </w:p>
        </w:tc>
      </w:tr>
      <w:tr>
        <w:tblPrEx>
          <w:jc w:val="left"/>
          <w:tblLayout w:type="fixed"/>
          <w:tblCellMar>
            <w:top w:w="0" w:type="dxa"/>
            <w:left w:w="10" w:type="dxa"/>
            <w:bottom w:w="0" w:type="dxa"/>
            <w:right w:w="10" w:type="dxa"/>
          </w:tblCellMar>
        </w:tblPrEx>
        <w:trPr>
          <w:trHeight w:hRule="exact" w:val="806"/>
          <w:jc w:val="left"/>
        </w:trPr>
        <w:tc>
          <w:tcPr>
            <w:tcW w:w="2266" w:type="dxa"/>
            <w:vMerge/>
            <w:tcBorders>
              <w:left w:val="single" w:sz="4" w:space="0" w:color="auto"/>
            </w:tcBorders>
            <w:shd w:val="clear" w:color="auto" w:fill="FFFFFF"/>
            <w:vAlign w:val="center"/>
          </w:tcPr>
          <w:p>
            <w:pPr>
              <w:framePr w:w="9398" w:h="3230" w:hRule="atLeast" w:wrap="none" w:vAnchor="text" w:hAnchor="page" w:x="1120" w:y="7844"/>
            </w:pPr>
          </w:p>
        </w:tc>
        <w:tc>
          <w:tcPr>
            <w:tcW w:w="1944"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042"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546"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296" w:type="dxa"/>
            <w:tcBorders>
              <w:top w:val="single" w:sz="4" w:space="0" w:color="auto"/>
              <w:left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306" w:type="dxa"/>
            <w:tcBorders>
              <w:top w:val="single" w:sz="4" w:space="0" w:color="auto"/>
              <w:left w:val="single" w:sz="4" w:space="0" w:color="auto"/>
              <w:right w:val="single" w:sz="4" w:space="0" w:color="auto"/>
            </w:tcBorders>
            <w:shd w:val="clear" w:color="auto" w:fill="FFFFFF"/>
            <w:vAlign w:val="top"/>
          </w:tcPr>
          <w:p>
            <w:pPr>
              <w:framePr w:w="9398" w:h="3230" w:hRule="atLeast" w:wrap="none" w:vAnchor="text" w:hAnchor="page" w:x="1120" w:y="7844"/>
              <w:widowControl w:val="0"/>
              <w:rPr>
                <w:sz w:val="10"/>
                <w:szCs w:val="10"/>
              </w:rPr>
            </w:pPr>
          </w:p>
        </w:tc>
      </w:tr>
      <w:tr>
        <w:tblPrEx>
          <w:jc w:val="left"/>
          <w:tblLayout w:type="fixed"/>
          <w:tblCellMar>
            <w:top w:w="0" w:type="dxa"/>
            <w:left w:w="10" w:type="dxa"/>
            <w:bottom w:w="0" w:type="dxa"/>
            <w:right w:w="10" w:type="dxa"/>
          </w:tblCellMar>
        </w:tblPrEx>
        <w:trPr>
          <w:trHeight w:hRule="exact" w:val="811"/>
          <w:jc w:val="left"/>
        </w:trPr>
        <w:tc>
          <w:tcPr>
            <w:tcW w:w="2266" w:type="dxa"/>
            <w:vMerge/>
            <w:tcBorders>
              <w:left w:val="single" w:sz="4" w:space="0" w:color="auto"/>
              <w:bottom w:val="single" w:sz="4" w:space="0" w:color="auto"/>
            </w:tcBorders>
            <w:shd w:val="clear" w:color="auto" w:fill="FFFFFF"/>
            <w:vAlign w:val="center"/>
          </w:tcPr>
          <w:p>
            <w:pPr>
              <w:framePr w:w="9398" w:h="3230" w:hRule="atLeast" w:wrap="none" w:vAnchor="text" w:hAnchor="page" w:x="1120" w:y="7844"/>
            </w:pPr>
          </w:p>
        </w:tc>
        <w:tc>
          <w:tcPr>
            <w:tcW w:w="1944" w:type="dxa"/>
            <w:tcBorders>
              <w:top w:val="single" w:sz="4" w:space="0" w:color="auto"/>
              <w:left w:val="single" w:sz="4" w:space="0" w:color="auto"/>
              <w:bottom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042" w:type="dxa"/>
            <w:tcBorders>
              <w:top w:val="single" w:sz="4" w:space="0" w:color="auto"/>
              <w:left w:val="single" w:sz="4" w:space="0" w:color="auto"/>
              <w:bottom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546" w:type="dxa"/>
            <w:tcBorders>
              <w:top w:val="single" w:sz="4" w:space="0" w:color="auto"/>
              <w:left w:val="single" w:sz="4" w:space="0" w:color="auto"/>
              <w:bottom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296" w:type="dxa"/>
            <w:tcBorders>
              <w:top w:val="single" w:sz="4" w:space="0" w:color="auto"/>
              <w:left w:val="single" w:sz="4" w:space="0" w:color="auto"/>
              <w:bottom w:val="single" w:sz="4" w:space="0" w:color="auto"/>
            </w:tcBorders>
            <w:shd w:val="clear" w:color="auto" w:fill="FFFFFF"/>
            <w:vAlign w:val="top"/>
          </w:tcPr>
          <w:p>
            <w:pPr>
              <w:framePr w:w="9398" w:h="3230" w:hRule="atLeast" w:wrap="none" w:vAnchor="text" w:hAnchor="page" w:x="1120" w:y="7844"/>
              <w:widowControl w:val="0"/>
              <w:rPr>
                <w:sz w:val="10"/>
                <w:szCs w:val="10"/>
              </w:rPr>
            </w:pPr>
          </w:p>
        </w:tc>
        <w:tc>
          <w:tcPr>
            <w:tcW w:w="1306" w:type="dxa"/>
            <w:tcBorders>
              <w:top w:val="single" w:sz="4" w:space="0" w:color="auto"/>
              <w:left w:val="single" w:sz="4" w:space="0" w:color="auto"/>
              <w:bottom w:val="single" w:sz="4" w:space="0" w:color="auto"/>
              <w:right w:val="single" w:sz="4" w:space="0" w:color="auto"/>
            </w:tcBorders>
            <w:shd w:val="clear" w:color="auto" w:fill="FFFFFF"/>
            <w:vAlign w:val="top"/>
          </w:tcPr>
          <w:p>
            <w:pPr>
              <w:framePr w:w="9398" w:h="3230" w:hRule="atLeast" w:wrap="none" w:vAnchor="text" w:hAnchor="page" w:x="1120" w:y="7844"/>
              <w:widowControl w:val="0"/>
              <w:rPr>
                <w:sz w:val="10"/>
                <w:szCs w:val="10"/>
              </w:rPr>
            </w:pPr>
          </w:p>
        </w:tc>
      </w:tr>
    </w:tbl>
    <w:p>
      <w:pPr>
        <w:framePr w:w="9398" w:h="3230" w:hRule="atLeast" w:wrap="none" w:vAnchor="text" w:hAnchor="page" w:x="1120" w:y="7844"/>
        <w:widowControl w:val="0"/>
        <w:spacing w:line="1" w:lineRule="exact"/>
      </w:pPr>
    </w:p>
    <w:p>
      <w:pPr>
        <w:widowControl w:val="0"/>
        <w:spacing w:line="360" w:lineRule="exact"/>
      </w:pPr>
      <w:r>
        <w:drawing>
          <wp:anchor distT="0" distB="0" distL="0" distR="0" simplePos="0" relativeHeight="251659264" behindDoc="1" locked="0" layoutInCell="1" allowOverlap="1">
            <wp:simplePos x="0" y="0"/>
            <wp:positionH relativeFrom="page">
              <wp:posOffset>2152650</wp:posOffset>
            </wp:positionH>
            <wp:positionV relativeFrom="paragraph">
              <wp:posOffset>393065</wp:posOffset>
            </wp:positionV>
            <wp:extent cx="4523105" cy="506095"/>
            <wp:wrapNone/>
            <wp:docPr id="71" name="Shape 71"/>
            <wp:cNvGraphicFramePr/>
            <a:graphic xmlns:a="http://schemas.openxmlformats.org/drawingml/2006/main">
              <a:graphicData uri="http://schemas.openxmlformats.org/drawingml/2006/picture">
                <pic:pic xmlns:pic="http://schemas.openxmlformats.org/drawingml/2006/picture">
                  <pic:nvPicPr>
                    <pic:cNvPr id="71" name="Picture box 72"/>
                    <pic:cNvPicPr/>
                  </pic:nvPicPr>
                  <pic:blipFill>
                    <a:blip xmlns:r="http://schemas.openxmlformats.org/officeDocument/2006/relationships" r:embed="rId103"/>
                    <a:stretch>
                      <a:fillRect/>
                    </a:stretch>
                  </pic:blipFill>
                  <pic:spPr>
                    <a:xfrm>
                      <a:off x="0" y="0"/>
                      <a:ext cx="4523105" cy="506095"/>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2152650</wp:posOffset>
            </wp:positionH>
            <wp:positionV relativeFrom="paragraph">
              <wp:posOffset>902335</wp:posOffset>
            </wp:positionV>
            <wp:extent cx="1511935" cy="511810"/>
            <wp:wrapNone/>
            <wp:docPr id="73" name="Shape 73"/>
            <wp:cNvGraphicFramePr/>
            <a:graphic xmlns:a="http://schemas.openxmlformats.org/drawingml/2006/main">
              <a:graphicData uri="http://schemas.openxmlformats.org/drawingml/2006/picture">
                <pic:pic xmlns:pic="http://schemas.openxmlformats.org/drawingml/2006/picture">
                  <pic:nvPicPr>
                    <pic:cNvPr id="73" name="Picture box 74"/>
                    <pic:cNvPicPr/>
                  </pic:nvPicPr>
                  <pic:blipFill>
                    <a:blip xmlns:r="http://schemas.openxmlformats.org/officeDocument/2006/relationships" r:embed="rId104"/>
                    <a:stretch>
                      <a:fillRect/>
                    </a:stretch>
                  </pic:blipFill>
                  <pic:spPr>
                    <a:xfrm>
                      <a:off x="0" y="0"/>
                      <a:ext cx="1511935" cy="51181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5170170</wp:posOffset>
            </wp:positionH>
            <wp:positionV relativeFrom="paragraph">
              <wp:posOffset>902335</wp:posOffset>
            </wp:positionV>
            <wp:extent cx="1505585" cy="511810"/>
            <wp:wrapNone/>
            <wp:docPr id="75" name="Shape 75"/>
            <wp:cNvGraphicFramePr/>
            <a:graphic xmlns:a="http://schemas.openxmlformats.org/drawingml/2006/main">
              <a:graphicData uri="http://schemas.openxmlformats.org/drawingml/2006/picture">
                <pic:pic xmlns:pic="http://schemas.openxmlformats.org/drawingml/2006/picture">
                  <pic:nvPicPr>
                    <pic:cNvPr id="75" name="Picture box 76"/>
                    <pic:cNvPicPr/>
                  </pic:nvPicPr>
                  <pic:blipFill>
                    <a:blip xmlns:r="http://schemas.openxmlformats.org/officeDocument/2006/relationships" r:embed="rId105"/>
                    <a:stretch>
                      <a:fillRect/>
                    </a:stretch>
                  </pic:blipFill>
                  <pic:spPr>
                    <a:xfrm>
                      <a:off x="0" y="0"/>
                      <a:ext cx="1505585" cy="51181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2152650</wp:posOffset>
            </wp:positionH>
            <wp:positionV relativeFrom="paragraph">
              <wp:posOffset>1414145</wp:posOffset>
            </wp:positionV>
            <wp:extent cx="1511935" cy="506095"/>
            <wp:wrapNone/>
            <wp:docPr id="77" name="Shape 77"/>
            <wp:cNvGraphicFramePr/>
            <a:graphic xmlns:a="http://schemas.openxmlformats.org/drawingml/2006/main">
              <a:graphicData uri="http://schemas.openxmlformats.org/drawingml/2006/picture">
                <pic:pic xmlns:pic="http://schemas.openxmlformats.org/drawingml/2006/picture">
                  <pic:nvPicPr>
                    <pic:cNvPr id="77" name="Picture box 78"/>
                    <pic:cNvPicPr/>
                  </pic:nvPicPr>
                  <pic:blipFill>
                    <a:blip xmlns:r="http://schemas.openxmlformats.org/officeDocument/2006/relationships" r:embed="rId106"/>
                    <a:stretch>
                      <a:fillRect/>
                    </a:stretch>
                  </pic:blipFill>
                  <pic:spPr>
                    <a:xfrm>
                      <a:off x="0" y="0"/>
                      <a:ext cx="1511935" cy="506095"/>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5170170</wp:posOffset>
            </wp:positionH>
            <wp:positionV relativeFrom="paragraph">
              <wp:posOffset>1414145</wp:posOffset>
            </wp:positionV>
            <wp:extent cx="1505585" cy="506095"/>
            <wp:wrapNone/>
            <wp:docPr id="79" name="Shape 79"/>
            <wp:cNvGraphicFramePr/>
            <a:graphic xmlns:a="http://schemas.openxmlformats.org/drawingml/2006/main">
              <a:graphicData uri="http://schemas.openxmlformats.org/drawingml/2006/picture">
                <pic:pic xmlns:pic="http://schemas.openxmlformats.org/drawingml/2006/picture">
                  <pic:nvPicPr>
                    <pic:cNvPr id="79" name="Picture box 80"/>
                    <pic:cNvPicPr/>
                  </pic:nvPicPr>
                  <pic:blipFill>
                    <a:blip xmlns:r="http://schemas.openxmlformats.org/officeDocument/2006/relationships" r:embed="rId107"/>
                    <a:stretch>
                      <a:fillRect/>
                    </a:stretch>
                  </pic:blipFill>
                  <pic:spPr>
                    <a:xfrm>
                      <a:off x="0" y="0"/>
                      <a:ext cx="1505585" cy="506095"/>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2152650</wp:posOffset>
            </wp:positionH>
            <wp:positionV relativeFrom="paragraph">
              <wp:posOffset>1923415</wp:posOffset>
            </wp:positionV>
            <wp:extent cx="1511935" cy="511810"/>
            <wp:wrapNone/>
            <wp:docPr id="81" name="Shape 81"/>
            <wp:cNvGraphicFramePr/>
            <a:graphic xmlns:a="http://schemas.openxmlformats.org/drawingml/2006/main">
              <a:graphicData uri="http://schemas.openxmlformats.org/drawingml/2006/picture">
                <pic:pic xmlns:pic="http://schemas.openxmlformats.org/drawingml/2006/picture">
                  <pic:nvPicPr>
                    <pic:cNvPr id="81" name="Picture box 82"/>
                    <pic:cNvPicPr/>
                  </pic:nvPicPr>
                  <pic:blipFill>
                    <a:blip xmlns:r="http://schemas.openxmlformats.org/officeDocument/2006/relationships" r:embed="rId104"/>
                    <a:stretch>
                      <a:fillRect/>
                    </a:stretch>
                  </pic:blipFill>
                  <pic:spPr>
                    <a:xfrm>
                      <a:off x="0" y="0"/>
                      <a:ext cx="1511935" cy="51181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5170170</wp:posOffset>
            </wp:positionH>
            <wp:positionV relativeFrom="paragraph">
              <wp:posOffset>1923415</wp:posOffset>
            </wp:positionV>
            <wp:extent cx="1505585" cy="511810"/>
            <wp:wrapNone/>
            <wp:docPr id="83" name="Shape 83"/>
            <wp:cNvGraphicFramePr/>
            <a:graphic xmlns:a="http://schemas.openxmlformats.org/drawingml/2006/main">
              <a:graphicData uri="http://schemas.openxmlformats.org/drawingml/2006/picture">
                <pic:pic xmlns:pic="http://schemas.openxmlformats.org/drawingml/2006/picture">
                  <pic:nvPicPr>
                    <pic:cNvPr id="83" name="Picture box 84"/>
                    <pic:cNvPicPr/>
                  </pic:nvPicPr>
                  <pic:blipFill>
                    <a:blip xmlns:r="http://schemas.openxmlformats.org/officeDocument/2006/relationships" r:embed="rId105"/>
                    <a:stretch>
                      <a:fillRect/>
                    </a:stretch>
                  </pic:blipFill>
                  <pic:spPr>
                    <a:xfrm>
                      <a:off x="0" y="0"/>
                      <a:ext cx="1505585" cy="51181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2152650</wp:posOffset>
            </wp:positionH>
            <wp:positionV relativeFrom="paragraph">
              <wp:posOffset>2435225</wp:posOffset>
            </wp:positionV>
            <wp:extent cx="1511935" cy="506095"/>
            <wp:wrapNone/>
            <wp:docPr id="85" name="Shape 85"/>
            <wp:cNvGraphicFramePr/>
            <a:graphic xmlns:a="http://schemas.openxmlformats.org/drawingml/2006/main">
              <a:graphicData uri="http://schemas.openxmlformats.org/drawingml/2006/picture">
                <pic:pic xmlns:pic="http://schemas.openxmlformats.org/drawingml/2006/picture">
                  <pic:nvPicPr>
                    <pic:cNvPr id="85" name="Picture box 86"/>
                    <pic:cNvPicPr/>
                  </pic:nvPicPr>
                  <pic:blipFill>
                    <a:blip xmlns:r="http://schemas.openxmlformats.org/officeDocument/2006/relationships" r:embed="rId106"/>
                    <a:stretch>
                      <a:fillRect/>
                    </a:stretch>
                  </pic:blipFill>
                  <pic:spPr>
                    <a:xfrm>
                      <a:off x="0" y="0"/>
                      <a:ext cx="1511935" cy="506095"/>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5170170</wp:posOffset>
            </wp:positionH>
            <wp:positionV relativeFrom="paragraph">
              <wp:posOffset>2435225</wp:posOffset>
            </wp:positionV>
            <wp:extent cx="1505585" cy="506095"/>
            <wp:wrapNone/>
            <wp:docPr id="87" name="Shape 87"/>
            <wp:cNvGraphicFramePr/>
            <a:graphic xmlns:a="http://schemas.openxmlformats.org/drawingml/2006/main">
              <a:graphicData uri="http://schemas.openxmlformats.org/drawingml/2006/picture">
                <pic:pic xmlns:pic="http://schemas.openxmlformats.org/drawingml/2006/picture">
                  <pic:nvPicPr>
                    <pic:cNvPr id="87" name="Picture box 88"/>
                    <pic:cNvPicPr/>
                  </pic:nvPicPr>
                  <pic:blipFill>
                    <a:blip xmlns:r="http://schemas.openxmlformats.org/officeDocument/2006/relationships" r:embed="rId107"/>
                    <a:stretch>
                      <a:fillRect/>
                    </a:stretch>
                  </pic:blipFill>
                  <pic:spPr>
                    <a:xfrm>
                      <a:off x="0" y="0"/>
                      <a:ext cx="1505585" cy="506095"/>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2152650</wp:posOffset>
            </wp:positionH>
            <wp:positionV relativeFrom="paragraph">
              <wp:posOffset>2944495</wp:posOffset>
            </wp:positionV>
            <wp:extent cx="4523105" cy="511810"/>
            <wp:wrapNone/>
            <wp:docPr id="89" name="Shape 89"/>
            <wp:cNvGraphicFramePr/>
            <a:graphic xmlns:a="http://schemas.openxmlformats.org/drawingml/2006/main">
              <a:graphicData uri="http://schemas.openxmlformats.org/drawingml/2006/picture">
                <pic:pic xmlns:pic="http://schemas.openxmlformats.org/drawingml/2006/picture">
                  <pic:nvPicPr>
                    <pic:cNvPr id="89" name="Picture box 90"/>
                    <pic:cNvPicPr/>
                  </pic:nvPicPr>
                  <pic:blipFill>
                    <a:blip xmlns:r="http://schemas.openxmlformats.org/officeDocument/2006/relationships" r:embed="rId108"/>
                    <a:stretch>
                      <a:fillRect/>
                    </a:stretch>
                  </pic:blipFill>
                  <pic:spPr>
                    <a:xfrm>
                      <a:off x="0" y="0"/>
                      <a:ext cx="4523105" cy="511810"/>
                    </a:xfrm>
                    <a:prstGeom prst="rect">
                      <a:avLst/>
                    </a:prstGeom>
                  </pic:spPr>
                </pic:pic>
              </a:graphicData>
            </a:graphic>
          </wp:anchor>
        </w:drawing>
      </w:r>
      <w:r>
        <w:drawing>
          <wp:anchor distT="326390" distB="0" distL="0" distR="0" simplePos="0" relativeHeight="251669504" behindDoc="1" locked="0" layoutInCell="1" allowOverlap="1">
            <wp:simplePos x="0" y="0"/>
            <wp:positionH relativeFrom="page">
              <wp:posOffset>2137410</wp:posOffset>
            </wp:positionH>
            <wp:positionV relativeFrom="paragraph">
              <wp:posOffset>4462780</wp:posOffset>
            </wp:positionV>
            <wp:extent cx="4553585" cy="536575"/>
            <wp:wrapNone/>
            <wp:docPr id="91" name="Shape 91"/>
            <wp:cNvGraphicFramePr/>
            <a:graphic xmlns:a="http://schemas.openxmlformats.org/drawingml/2006/main">
              <a:graphicData uri="http://schemas.openxmlformats.org/drawingml/2006/picture">
                <pic:pic xmlns:pic="http://schemas.openxmlformats.org/drawingml/2006/picture">
                  <pic:nvPicPr>
                    <pic:cNvPr id="91" name="Picture box 92"/>
                    <pic:cNvPicPr/>
                  </pic:nvPicPr>
                  <pic:blipFill>
                    <a:blip xmlns:r="http://schemas.openxmlformats.org/officeDocument/2006/relationships" r:embed="rId109"/>
                    <a:stretch>
                      <a:fillRect/>
                    </a:stretch>
                  </pic:blipFill>
                  <pic:spPr>
                    <a:xfrm>
                      <a:off x="0" y="0"/>
                      <a:ext cx="4553585" cy="53657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33" w:line="1" w:lineRule="exact"/>
      </w:pPr>
    </w:p>
    <w:p>
      <w:pPr>
        <w:widowControl w:val="0"/>
        <w:spacing w:line="1" w:lineRule="exact"/>
      </w:pP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10" w:history="1">
        <w:r>
          <w:rPr>
            <w:rFonts w:ascii="SimSun" w:eastAsia="SimSun" w:hAnsi="SimSun" w:cs="SimSun"/>
            <w:b/>
            <w:bCs/>
            <w:color w:val="0000EE"/>
            <w:spacing w:val="0"/>
            <w:w w:val="100"/>
            <w:position w:val="0"/>
            <w:sz w:val="30"/>
            <w:szCs w:val="30"/>
            <w:u w:val="single" w:color="0000EE"/>
            <w:shd w:val="clear" w:color="auto" w:fill="auto"/>
          </w:rPr>
          <w:t>https://d.book118.com/996042202030010044</w:t>
        </w:r>
      </w:hyperlink>
    </w:p>
    <w:p>
      <w:pPr>
        <w:widowControl w:val="0"/>
        <w:spacing w:line="1" w:lineRule="exact"/>
      </w:pPr>
    </w:p>
    <w:sectPr>
      <w:headerReference w:type="even" r:id="rId111"/>
      <w:headerReference w:type="default" r:id="rId112"/>
      <w:footerReference w:type="even" r:id="rId113"/>
      <w:footerReference w:type="default" r:id="rId114"/>
      <w:headerReference w:type="first" r:id="rId115"/>
      <w:footerReference w:type="first" r:id="rId116"/>
      <w:type w:val="continuous"/>
      <w:pgSz w:w="11900" w:h="16840"/>
      <w:pgMar w:top="1171" w:right="1368" w:bottom="1868" w:left="1119" w:header="0" w:footer="3" w:gutter="0"/>
      <w:pgNumType w:start="15"/>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847090</wp:posOffset>
              </wp:positionH>
              <wp:positionV relativeFrom="page">
                <wp:posOffset>9790430</wp:posOffset>
              </wp:positionV>
              <wp:extent cx="48895" cy="79375"/>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8" type="#_x0000_t202" style="width:3.85pt;height:6.25pt;margin-top:770.9pt;margin-left:66.7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6584950</wp:posOffset>
              </wp:positionH>
              <wp:positionV relativeFrom="page">
                <wp:posOffset>9860915</wp:posOffset>
              </wp:positionV>
              <wp:extent cx="33655" cy="7620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6" type="#_x0000_t202" style="width:2.65pt;height:6pt;margin-top:776.45pt;margin-left:518.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847090</wp:posOffset>
              </wp:positionH>
              <wp:positionV relativeFrom="page">
                <wp:posOffset>9790430</wp:posOffset>
              </wp:positionV>
              <wp:extent cx="48895" cy="79375"/>
              <wp:wrapNone/>
              <wp:docPr id="176555394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2</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2" type="#_x0000_t202" style="width:3.85pt;height:6.25pt;margin-top:770.9pt;margin-left:66.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2</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6584950</wp:posOffset>
              </wp:positionH>
              <wp:positionV relativeFrom="page">
                <wp:posOffset>9860915</wp:posOffset>
              </wp:positionV>
              <wp:extent cx="33655" cy="76200"/>
              <wp:wrapNone/>
              <wp:docPr id="2138993677"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3</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0" type="#_x0000_t202" style="width:2.65pt;height:6pt;margin-top:776.45pt;margin-left:518.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3</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847090</wp:posOffset>
              </wp:positionH>
              <wp:positionV relativeFrom="page">
                <wp:posOffset>9790430</wp:posOffset>
              </wp:positionV>
              <wp:extent cx="48895" cy="79375"/>
              <wp:wrapNone/>
              <wp:docPr id="98331710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6" type="#_x0000_t202" style="width:3.85pt;height:6.25pt;margin-top:770.9pt;margin-left:66.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6584950</wp:posOffset>
              </wp:positionH>
              <wp:positionV relativeFrom="page">
                <wp:posOffset>9860915</wp:posOffset>
              </wp:positionV>
              <wp:extent cx="33655" cy="76200"/>
              <wp:wrapNone/>
              <wp:docPr id="432663619"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3</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4" type="#_x0000_t202" style="width:2.65pt;height:6pt;margin-top:776.45pt;margin-left:518.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3</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847090</wp:posOffset>
              </wp:positionH>
              <wp:positionV relativeFrom="page">
                <wp:posOffset>9790430</wp:posOffset>
              </wp:positionV>
              <wp:extent cx="48895" cy="79375"/>
              <wp:wrapNone/>
              <wp:docPr id="18236605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70" type="#_x0000_t202" style="width:3.85pt;height:6.25pt;margin-top:770.9pt;margin-left:66.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6584950</wp:posOffset>
              </wp:positionH>
              <wp:positionV relativeFrom="page">
                <wp:posOffset>9860915</wp:posOffset>
              </wp:positionV>
              <wp:extent cx="33655" cy="76200"/>
              <wp:wrapNone/>
              <wp:docPr id="595178136"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3</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8" type="#_x0000_t202" style="width:2.65pt;height:6pt;margin-top:776.45pt;margin-left:518.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3</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804545</wp:posOffset>
              </wp:positionH>
              <wp:positionV relativeFrom="page">
                <wp:posOffset>9790430</wp:posOffset>
              </wp:positionV>
              <wp:extent cx="48895" cy="79375"/>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4" type="#_x0000_t202" style="width:3.85pt;height:6.25pt;margin-top:770.9pt;margin-left:63.3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6562090</wp:posOffset>
              </wp:positionH>
              <wp:positionV relativeFrom="page">
                <wp:posOffset>9860915</wp:posOffset>
              </wp:positionV>
              <wp:extent cx="42545" cy="7620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72" type="#_x0000_t202" style="width:3.35pt;height:6pt;margin-top:776.45pt;margin-left:516.7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804545</wp:posOffset>
              </wp:positionH>
              <wp:positionV relativeFrom="page">
                <wp:posOffset>9790430</wp:posOffset>
              </wp:positionV>
              <wp:extent cx="48895" cy="79375"/>
              <wp:wrapNone/>
              <wp:docPr id="1571485032"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8" type="#_x0000_t202" style="width:3.85pt;height:6.25pt;margin-top:770.9pt;margin-left:63.3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6562090</wp:posOffset>
              </wp:positionH>
              <wp:positionV relativeFrom="page">
                <wp:posOffset>9860915</wp:posOffset>
              </wp:positionV>
              <wp:extent cx="42545" cy="76200"/>
              <wp:wrapNone/>
              <wp:docPr id="943950431"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76" type="#_x0000_t202" style="width:3.35pt;height:6pt;margin-top:776.45pt;margin-left:516.7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804545</wp:posOffset>
              </wp:positionH>
              <wp:positionV relativeFrom="page">
                <wp:posOffset>9790430</wp:posOffset>
              </wp:positionV>
              <wp:extent cx="48895" cy="79375"/>
              <wp:wrapNone/>
              <wp:docPr id="1806229550"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2" type="#_x0000_t202" style="width:3.85pt;height:6.25pt;margin-top:770.9pt;margin-left:63.3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6562090</wp:posOffset>
              </wp:positionH>
              <wp:positionV relativeFrom="page">
                <wp:posOffset>9860915</wp:posOffset>
              </wp:positionV>
              <wp:extent cx="42545" cy="76200"/>
              <wp:wrapNone/>
              <wp:docPr id="30735747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80" type="#_x0000_t202" style="width:3.35pt;height:6pt;margin-top:776.45pt;margin-left:516.7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804545</wp:posOffset>
              </wp:positionH>
              <wp:positionV relativeFrom="page">
                <wp:posOffset>9790430</wp:posOffset>
              </wp:positionV>
              <wp:extent cx="48895" cy="79375"/>
              <wp:wrapNone/>
              <wp:docPr id="8343191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8</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6" type="#_x0000_t202" style="width:3.85pt;height:6.25pt;margin-top:770.9pt;margin-left:63.3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8</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6562090</wp:posOffset>
              </wp:positionH>
              <wp:positionV relativeFrom="page">
                <wp:posOffset>9860915</wp:posOffset>
              </wp:positionV>
              <wp:extent cx="42545" cy="76200"/>
              <wp:wrapNone/>
              <wp:docPr id="1486839254"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84" type="#_x0000_t202" style="width:3.35pt;height:6pt;margin-top:776.45pt;margin-left:516.7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820420</wp:posOffset>
              </wp:positionH>
              <wp:positionV relativeFrom="page">
                <wp:posOffset>9790430</wp:posOffset>
              </wp:positionV>
              <wp:extent cx="97790" cy="79375"/>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10</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4" type="#_x0000_t202" style="width:7.7pt;height:6.25pt;margin-top:770.9pt;margin-left:64.6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10</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820420</wp:posOffset>
              </wp:positionH>
              <wp:positionV relativeFrom="page">
                <wp:posOffset>9790430</wp:posOffset>
              </wp:positionV>
              <wp:extent cx="97790" cy="7937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2" type="#_x0000_t202" style="width:7.7pt;height:6.25pt;margin-top:770.9pt;margin-left:64.6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6568440</wp:posOffset>
              </wp:positionH>
              <wp:positionV relativeFrom="page">
                <wp:posOffset>9860915</wp:posOffset>
              </wp:positionV>
              <wp:extent cx="45720" cy="7620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6" type="#_x0000_t202" style="width:3.6pt;height:6pt;margin-top:776.45pt;margin-left:517.2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820420</wp:posOffset>
              </wp:positionH>
              <wp:positionV relativeFrom="page">
                <wp:posOffset>9790430</wp:posOffset>
              </wp:positionV>
              <wp:extent cx="97790" cy="79375"/>
              <wp:wrapNone/>
              <wp:docPr id="1098993115"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10</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0" type="#_x0000_t202" style="width:7.7pt;height:6.25pt;margin-top:770.9pt;margin-left:64.6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10</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820420</wp:posOffset>
              </wp:positionH>
              <wp:positionV relativeFrom="page">
                <wp:posOffset>9790430</wp:posOffset>
              </wp:positionV>
              <wp:extent cx="97790" cy="79375"/>
              <wp:wrapNone/>
              <wp:docPr id="103807060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8" type="#_x0000_t202" style="width:7.7pt;height:6.25pt;margin-top:770.9pt;margin-left:64.6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6568440</wp:posOffset>
              </wp:positionH>
              <wp:positionV relativeFrom="page">
                <wp:posOffset>9860915</wp:posOffset>
              </wp:positionV>
              <wp:extent cx="45720" cy="76200"/>
              <wp:wrapNone/>
              <wp:docPr id="1138298331"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2" type="#_x0000_t202" style="width:3.6pt;height:6pt;margin-top:776.45pt;margin-left:517.2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820420</wp:posOffset>
              </wp:positionH>
              <wp:positionV relativeFrom="page">
                <wp:posOffset>9790430</wp:posOffset>
              </wp:positionV>
              <wp:extent cx="97790" cy="79375"/>
              <wp:wrapNone/>
              <wp:docPr id="1990689055"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10</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6" type="#_x0000_t202" style="width:7.7pt;height:6.25pt;margin-top:770.9pt;margin-left:64.6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10</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820420</wp:posOffset>
              </wp:positionH>
              <wp:positionV relativeFrom="page">
                <wp:posOffset>9790430</wp:posOffset>
              </wp:positionV>
              <wp:extent cx="97790" cy="79375"/>
              <wp:wrapNone/>
              <wp:docPr id="68085298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4" type="#_x0000_t202" style="width:7.7pt;height:6.25pt;margin-top:770.9pt;margin-left:64.6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11</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6568440</wp:posOffset>
              </wp:positionH>
              <wp:positionV relativeFrom="page">
                <wp:posOffset>9860915</wp:posOffset>
              </wp:positionV>
              <wp:extent cx="45720" cy="76200"/>
              <wp:wrapNone/>
              <wp:docPr id="1634398162"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8" type="#_x0000_t202" style="width:3.6pt;height:6pt;margin-top:776.45pt;margin-left:517.2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6568440</wp:posOffset>
              </wp:positionH>
              <wp:positionV relativeFrom="page">
                <wp:posOffset>9860915</wp:posOffset>
              </wp:positionV>
              <wp:extent cx="45720" cy="76200"/>
              <wp:wrapNone/>
              <wp:docPr id="1613531551"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12" type="#_x0000_t202" style="width:3.6pt;height:6pt;margin-top:776.45pt;margin-left:517.2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6568440</wp:posOffset>
              </wp:positionH>
              <wp:positionV relativeFrom="page">
                <wp:posOffset>9860915</wp:posOffset>
              </wp:positionV>
              <wp:extent cx="45720" cy="76200"/>
              <wp:wrapNone/>
              <wp:docPr id="1214251345"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16" type="#_x0000_t202" style="width:3.6pt;height:6pt;margin-top:776.45pt;margin-left:517.2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728980</wp:posOffset>
              </wp:positionH>
              <wp:positionV relativeFrom="page">
                <wp:posOffset>9970770</wp:posOffset>
              </wp:positionV>
              <wp:extent cx="97790" cy="79375"/>
              <wp:wrapNone/>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12</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20" type="#_x0000_t202" style="width:7.7pt;height:6.25pt;margin-top:785.1pt;margin-left:57.4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12</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728980</wp:posOffset>
              </wp:positionH>
              <wp:positionV relativeFrom="page">
                <wp:posOffset>9970770</wp:posOffset>
              </wp:positionV>
              <wp:extent cx="97790" cy="79375"/>
              <wp:wrapNone/>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2118" type="#_x0000_t202" style="width:7.7pt;height:6.25pt;margin-top:785.1pt;margin-left:57.4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6568440</wp:posOffset>
              </wp:positionH>
              <wp:positionV relativeFrom="page">
                <wp:posOffset>9860915</wp:posOffset>
              </wp:positionV>
              <wp:extent cx="45720" cy="76200"/>
              <wp:wrapNone/>
              <wp:docPr id="1846889899"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22" type="#_x0000_t202" style="width:3.6pt;height:6pt;margin-top:776.45pt;margin-left:517.2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6568440</wp:posOffset>
              </wp:positionH>
              <wp:positionV relativeFrom="page">
                <wp:posOffset>9860915</wp:posOffset>
              </wp:positionV>
              <wp:extent cx="45720" cy="76200"/>
              <wp:wrapNone/>
              <wp:docPr id="1165181310"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26" type="#_x0000_t202" style="width:3.6pt;height:6pt;margin-top:776.45pt;margin-left:517.2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728980</wp:posOffset>
              </wp:positionH>
              <wp:positionV relativeFrom="page">
                <wp:posOffset>9507220</wp:posOffset>
              </wp:positionV>
              <wp:extent cx="3291840" cy="450850"/>
              <wp:wrapNone/>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3291840" cy="450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30" type="#_x0000_t202" style="width:259.2pt;height:35.5pt;margin-top:748.6pt;margin-left:57.4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14</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3253740</wp:posOffset>
              </wp:positionH>
              <wp:positionV relativeFrom="page">
                <wp:posOffset>9665970</wp:posOffset>
              </wp:positionV>
              <wp:extent cx="3404870" cy="35941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4870" cy="359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28" type="#_x0000_t202" style="width:268.1pt;height:28.3pt;margin-top:761.1pt;margin-left:256.2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6568440</wp:posOffset>
              </wp:positionH>
              <wp:positionV relativeFrom="page">
                <wp:posOffset>9860915</wp:posOffset>
              </wp:positionV>
              <wp:extent cx="45720" cy="76200"/>
              <wp:wrapNone/>
              <wp:docPr id="29246517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32" type="#_x0000_t202" style="width:3.6pt;height:6pt;margin-top:776.45pt;margin-left:517.2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728980</wp:posOffset>
              </wp:positionH>
              <wp:positionV relativeFrom="page">
                <wp:posOffset>9507220</wp:posOffset>
              </wp:positionV>
              <wp:extent cx="3291840" cy="450850"/>
              <wp:wrapNone/>
              <wp:docPr id="778726788"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3291840" cy="4508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36" type="#_x0000_t202" style="width:259.2pt;height:35.5pt;margin-top:748.6pt;margin-left:57.4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16</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3253740</wp:posOffset>
              </wp:positionH>
              <wp:positionV relativeFrom="page">
                <wp:posOffset>9665970</wp:posOffset>
              </wp:positionV>
              <wp:extent cx="3404870" cy="359410"/>
              <wp:wrapNone/>
              <wp:docPr id="360017274"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4870" cy="359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34" type="#_x0000_t202" style="width:268.1pt;height:28.3pt;margin-top:761.1pt;margin-left:256.2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000000"/>
                        <w:spacing w:val="0"/>
                        <w:w w:val="100"/>
                        <w:position w:val="0"/>
                        <w:sz w:val="22"/>
                        <w:szCs w:val="22"/>
                        <w:lang w:val="zh-TW" w:eastAsia="zh-TW" w:bidi="zh-TW"/>
                      </w:rPr>
                      <w:t>共页第页</w:t>
                    </w:r>
                  </w:p>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17</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6568440</wp:posOffset>
              </wp:positionH>
              <wp:positionV relativeFrom="page">
                <wp:posOffset>9860915</wp:posOffset>
              </wp:positionV>
              <wp:extent cx="45720" cy="76200"/>
              <wp:wrapNone/>
              <wp:docPr id="380170935"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38" type="#_x0000_t202" style="width:3.6pt;height:6pt;margin-top:776.45pt;margin-left:517.2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3"/>
                        <w:szCs w:val="13"/>
                        <w:lang w:val="zh-TW" w:eastAsia="zh-TW" w:bidi="zh-TW"/>
                      </w:rPr>
                      <w:t>9</w:t>
                    </w:r>
                    <w:r>
                      <w:rPr>
                        <w:rFonts w:ascii="Times New Roman" w:eastAsia="Times New Roman" w:hAnsi="Times New Roman" w:cs="Times New Roman"/>
                        <w:color w:val="000000"/>
                        <w:spacing w:val="0"/>
                        <w:w w:val="100"/>
                        <w:position w:val="0"/>
                        <w:sz w:val="13"/>
                        <w:szCs w:val="13"/>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5708650</wp:posOffset>
              </wp:positionH>
              <wp:positionV relativeFrom="page">
                <wp:posOffset>939165</wp:posOffset>
              </wp:positionV>
              <wp:extent cx="1103630"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86.9pt;height:7.9pt;margin-top:73.95pt;margin-left:44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5708650</wp:posOffset>
              </wp:positionH>
              <wp:positionV relativeFrom="page">
                <wp:posOffset>939165</wp:posOffset>
              </wp:positionV>
              <wp:extent cx="1103630"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6.9pt;height:7.9pt;margin-top:73.95pt;margin-left:449.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722630</wp:posOffset>
              </wp:positionH>
              <wp:positionV relativeFrom="page">
                <wp:posOffset>939165</wp:posOffset>
              </wp:positionV>
              <wp:extent cx="1103630"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86.9pt;height:7.9pt;margin-top:73.95pt;margin-left:56.9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722630</wp:posOffset>
              </wp:positionH>
              <wp:positionV relativeFrom="page">
                <wp:posOffset>939165</wp:posOffset>
              </wp:positionV>
              <wp:extent cx="110363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86.9pt;height:7.9pt;margin-top:73.95pt;margin-left:56.9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722630</wp:posOffset>
              </wp:positionH>
              <wp:positionV relativeFrom="page">
                <wp:posOffset>939165</wp:posOffset>
              </wp:positionV>
              <wp:extent cx="1103630" cy="100330"/>
              <wp:wrapNone/>
              <wp:docPr id="1798004821"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4" type="#_x0000_t202" style="width:86.9pt;height:7.9pt;margin-top:73.95pt;margin-left:56.9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722630</wp:posOffset>
              </wp:positionH>
              <wp:positionV relativeFrom="page">
                <wp:posOffset>939165</wp:posOffset>
              </wp:positionV>
              <wp:extent cx="1103630" cy="100330"/>
              <wp:wrapNone/>
              <wp:docPr id="1018525266"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3" type="#_x0000_t202" style="width:86.9pt;height:7.9pt;margin-top:73.95pt;margin-left:56.9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852805</wp:posOffset>
              </wp:positionH>
              <wp:positionV relativeFrom="page">
                <wp:posOffset>939165</wp:posOffset>
              </wp:positionV>
              <wp:extent cx="1103630" cy="10033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7" type="#_x0000_t202" style="width:86.9pt;height:7.9pt;margin-top:73.95pt;margin-left:67.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5628005</wp:posOffset>
              </wp:positionH>
              <wp:positionV relativeFrom="page">
                <wp:posOffset>939165</wp:posOffset>
              </wp:positionV>
              <wp:extent cx="1103630" cy="10033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5" type="#_x0000_t202" style="width:86.9pt;height:7.9pt;margin-top:73.95pt;margin-left:443.1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852805</wp:posOffset>
              </wp:positionH>
              <wp:positionV relativeFrom="page">
                <wp:posOffset>939165</wp:posOffset>
              </wp:positionV>
              <wp:extent cx="1103630" cy="100330"/>
              <wp:wrapNone/>
              <wp:docPr id="793006159"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1" type="#_x0000_t202" style="width:86.9pt;height:7.9pt;margin-top:73.95pt;margin-left:67.1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5628005</wp:posOffset>
              </wp:positionH>
              <wp:positionV relativeFrom="page">
                <wp:posOffset>939165</wp:posOffset>
              </wp:positionV>
              <wp:extent cx="1103630" cy="100330"/>
              <wp:wrapNone/>
              <wp:docPr id="513202653"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9" type="#_x0000_t202" style="width:86.9pt;height:7.9pt;margin-top:73.95pt;margin-left:443.1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852805</wp:posOffset>
              </wp:positionH>
              <wp:positionV relativeFrom="page">
                <wp:posOffset>939165</wp:posOffset>
              </wp:positionV>
              <wp:extent cx="1103630" cy="100330"/>
              <wp:wrapNone/>
              <wp:docPr id="41186492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5" type="#_x0000_t202" style="width:86.9pt;height:7.9pt;margin-top:73.95pt;margin-left:67.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5628005</wp:posOffset>
              </wp:positionH>
              <wp:positionV relativeFrom="page">
                <wp:posOffset>939165</wp:posOffset>
              </wp:positionV>
              <wp:extent cx="1103630" cy="100330"/>
              <wp:wrapNone/>
              <wp:docPr id="1994436445"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3" type="#_x0000_t202" style="width:86.9pt;height:7.9pt;margin-top:73.95pt;margin-left:443.1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852805</wp:posOffset>
              </wp:positionH>
              <wp:positionV relativeFrom="page">
                <wp:posOffset>939165</wp:posOffset>
              </wp:positionV>
              <wp:extent cx="1103630" cy="100330"/>
              <wp:wrapNone/>
              <wp:docPr id="80991917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9" type="#_x0000_t202" style="width:86.9pt;height:7.9pt;margin-top:73.95pt;margin-left:67.1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5628005</wp:posOffset>
              </wp:positionH>
              <wp:positionV relativeFrom="page">
                <wp:posOffset>939165</wp:posOffset>
              </wp:positionV>
              <wp:extent cx="1103630" cy="100330"/>
              <wp:wrapNone/>
              <wp:docPr id="57866396"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7" type="#_x0000_t202" style="width:86.9pt;height:7.9pt;margin-top:73.95pt;margin-left:443.1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807720</wp:posOffset>
              </wp:positionH>
              <wp:positionV relativeFrom="page">
                <wp:posOffset>939165</wp:posOffset>
              </wp:positionV>
              <wp:extent cx="1103630" cy="10033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3" type="#_x0000_t202" style="width:86.9pt;height:7.9pt;margin-top:73.95pt;margin-left:63.6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5611495</wp:posOffset>
              </wp:positionH>
              <wp:positionV relativeFrom="page">
                <wp:posOffset>939165</wp:posOffset>
              </wp:positionV>
              <wp:extent cx="1103630" cy="10033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1" type="#_x0000_t202" style="width:86.9pt;height:7.9pt;margin-top:73.95pt;margin-left:441.8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807720</wp:posOffset>
              </wp:positionH>
              <wp:positionV relativeFrom="page">
                <wp:posOffset>939165</wp:posOffset>
              </wp:positionV>
              <wp:extent cx="1103630" cy="100330"/>
              <wp:wrapNone/>
              <wp:docPr id="918025858"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7" type="#_x0000_t202" style="width:86.9pt;height:7.9pt;margin-top:73.95pt;margin-left:63.6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5611495</wp:posOffset>
              </wp:positionH>
              <wp:positionV relativeFrom="page">
                <wp:posOffset>939165</wp:posOffset>
              </wp:positionV>
              <wp:extent cx="1103630" cy="100330"/>
              <wp:wrapNone/>
              <wp:docPr id="908132232"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5" type="#_x0000_t202" style="width:86.9pt;height:7.9pt;margin-top:73.95pt;margin-left:441.8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807720</wp:posOffset>
              </wp:positionH>
              <wp:positionV relativeFrom="page">
                <wp:posOffset>939165</wp:posOffset>
              </wp:positionV>
              <wp:extent cx="1103630" cy="100330"/>
              <wp:wrapNone/>
              <wp:docPr id="454969916"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1" type="#_x0000_t202" style="width:86.9pt;height:7.9pt;margin-top:73.95pt;margin-left:63.6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5611495</wp:posOffset>
              </wp:positionH>
              <wp:positionV relativeFrom="page">
                <wp:posOffset>939165</wp:posOffset>
              </wp:positionV>
              <wp:extent cx="1103630" cy="100330"/>
              <wp:wrapNone/>
              <wp:docPr id="142077734"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9" type="#_x0000_t202" style="width:86.9pt;height:7.9pt;margin-top:73.95pt;margin-left:441.8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807720</wp:posOffset>
              </wp:positionH>
              <wp:positionV relativeFrom="page">
                <wp:posOffset>939165</wp:posOffset>
              </wp:positionV>
              <wp:extent cx="1103630" cy="100330"/>
              <wp:wrapNone/>
              <wp:docPr id="2093663393"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5" type="#_x0000_t202" style="width:86.9pt;height:7.9pt;margin-top:73.95pt;margin-left:63.6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5611495</wp:posOffset>
              </wp:positionH>
              <wp:positionV relativeFrom="page">
                <wp:posOffset>939165</wp:posOffset>
              </wp:positionV>
              <wp:extent cx="1103630" cy="100330"/>
              <wp:wrapNone/>
              <wp:docPr id="705802293"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83" type="#_x0000_t202" style="width:86.9pt;height:7.9pt;margin-top:73.95pt;margin-left:441.8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722630</wp:posOffset>
              </wp:positionH>
              <wp:positionV relativeFrom="page">
                <wp:posOffset>939165</wp:posOffset>
              </wp:positionV>
              <wp:extent cx="1103630" cy="10033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88" type="#_x0000_t202" style="width:86.9pt;height:7.9pt;margin-top:73.95pt;margin-left:56.9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722630</wp:posOffset>
              </wp:positionH>
              <wp:positionV relativeFrom="page">
                <wp:posOffset>939165</wp:posOffset>
              </wp:positionV>
              <wp:extent cx="1103630" cy="10033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7" type="#_x0000_t202" style="width:86.9pt;height:7.9pt;margin-top:73.95pt;margin-left:56.9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722630</wp:posOffset>
              </wp:positionH>
              <wp:positionV relativeFrom="page">
                <wp:posOffset>939165</wp:posOffset>
              </wp:positionV>
              <wp:extent cx="1103630" cy="100330"/>
              <wp:wrapNone/>
              <wp:docPr id="835482749"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90" type="#_x0000_t202" style="width:86.9pt;height:7.9pt;margin-top:73.95pt;margin-left:56.9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722630</wp:posOffset>
              </wp:positionH>
              <wp:positionV relativeFrom="page">
                <wp:posOffset>939165</wp:posOffset>
              </wp:positionV>
              <wp:extent cx="1103630" cy="100330"/>
              <wp:wrapNone/>
              <wp:docPr id="178835604"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9" type="#_x0000_t202" style="width:86.9pt;height:7.9pt;margin-top:73.95pt;margin-left:56.9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814070</wp:posOffset>
              </wp:positionH>
              <wp:positionV relativeFrom="page">
                <wp:posOffset>939165</wp:posOffset>
              </wp:positionV>
              <wp:extent cx="1103630" cy="10033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3" type="#_x0000_t202" style="width:86.9pt;height:7.9pt;margin-top:73.95pt;margin-left:64.1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814070</wp:posOffset>
              </wp:positionH>
              <wp:positionV relativeFrom="page">
                <wp:posOffset>939165</wp:posOffset>
              </wp:positionV>
              <wp:extent cx="1103630" cy="10033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1" type="#_x0000_t202" style="width:86.9pt;height:7.9pt;margin-top:73.95pt;margin-left:64.1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5617845</wp:posOffset>
              </wp:positionH>
              <wp:positionV relativeFrom="page">
                <wp:posOffset>939165</wp:posOffset>
              </wp:positionV>
              <wp:extent cx="1103630"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5" type="#_x0000_t202" style="width:86.9pt;height:7.9pt;margin-top:73.95pt;margin-left:442.3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814070</wp:posOffset>
              </wp:positionH>
              <wp:positionV relativeFrom="page">
                <wp:posOffset>939165</wp:posOffset>
              </wp:positionV>
              <wp:extent cx="1103630" cy="100330"/>
              <wp:wrapNone/>
              <wp:docPr id="1867323943"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9" type="#_x0000_t202" style="width:86.9pt;height:7.9pt;margin-top:73.95pt;margin-left:64.1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814070</wp:posOffset>
              </wp:positionH>
              <wp:positionV relativeFrom="page">
                <wp:posOffset>939165</wp:posOffset>
              </wp:positionV>
              <wp:extent cx="1103630" cy="100330"/>
              <wp:wrapNone/>
              <wp:docPr id="5715964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7" type="#_x0000_t202" style="width:86.9pt;height:7.9pt;margin-top:73.95pt;margin-left:64.1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5617845</wp:posOffset>
              </wp:positionH>
              <wp:positionV relativeFrom="page">
                <wp:posOffset>939165</wp:posOffset>
              </wp:positionV>
              <wp:extent cx="1103630" cy="100330"/>
              <wp:wrapNone/>
              <wp:docPr id="28854819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1" type="#_x0000_t202" style="width:86.9pt;height:7.9pt;margin-top:73.95pt;margin-left:442.3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814070</wp:posOffset>
              </wp:positionH>
              <wp:positionV relativeFrom="page">
                <wp:posOffset>939165</wp:posOffset>
              </wp:positionV>
              <wp:extent cx="1103630" cy="100330"/>
              <wp:wrapNone/>
              <wp:docPr id="1235918483"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5" type="#_x0000_t202" style="width:86.9pt;height:7.9pt;margin-top:73.95pt;margin-left:64.1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814070</wp:posOffset>
              </wp:positionH>
              <wp:positionV relativeFrom="page">
                <wp:posOffset>939165</wp:posOffset>
              </wp:positionV>
              <wp:extent cx="1103630" cy="100330"/>
              <wp:wrapNone/>
              <wp:docPr id="95519271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3" type="#_x0000_t202" style="width:86.9pt;height:7.9pt;margin-top:73.95pt;margin-left:64.1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5617845</wp:posOffset>
              </wp:positionH>
              <wp:positionV relativeFrom="page">
                <wp:posOffset>939165</wp:posOffset>
              </wp:positionV>
              <wp:extent cx="1103630" cy="100330"/>
              <wp:wrapNone/>
              <wp:docPr id="904599655"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7" type="#_x0000_t202" style="width:86.9pt;height:7.9pt;margin-top:73.95pt;margin-left:442.3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5708650</wp:posOffset>
              </wp:positionH>
              <wp:positionV relativeFrom="page">
                <wp:posOffset>939165</wp:posOffset>
              </wp:positionV>
              <wp:extent cx="1103630" cy="10033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0" type="#_x0000_t202" style="width:86.9pt;height:7.9pt;margin-top:73.95pt;margin-left:449.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5708650</wp:posOffset>
              </wp:positionH>
              <wp:positionV relativeFrom="page">
                <wp:posOffset>939165</wp:posOffset>
              </wp:positionV>
              <wp:extent cx="1103630" cy="10033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09" type="#_x0000_t202" style="width:86.9pt;height:7.9pt;margin-top:73.95pt;margin-left:449.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5617845</wp:posOffset>
              </wp:positionH>
              <wp:positionV relativeFrom="page">
                <wp:posOffset>939165</wp:posOffset>
              </wp:positionV>
              <wp:extent cx="1103630" cy="100330"/>
              <wp:wrapNone/>
              <wp:docPr id="343356640"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1" type="#_x0000_t202" style="width:86.9pt;height:7.9pt;margin-top:73.95pt;margin-left:442.3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5708650</wp:posOffset>
              </wp:positionH>
              <wp:positionV relativeFrom="page">
                <wp:posOffset>939165</wp:posOffset>
              </wp:positionV>
              <wp:extent cx="1103630" cy="100330"/>
              <wp:wrapNone/>
              <wp:docPr id="244253764"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4" type="#_x0000_t202" style="width:86.9pt;height:7.9pt;margin-top:73.95pt;margin-left:449.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5708650</wp:posOffset>
              </wp:positionH>
              <wp:positionV relativeFrom="page">
                <wp:posOffset>939165</wp:posOffset>
              </wp:positionV>
              <wp:extent cx="1103630" cy="100330"/>
              <wp:wrapNone/>
              <wp:docPr id="34317007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13" type="#_x0000_t202" style="width:86.9pt;height:7.9pt;margin-top:73.95pt;margin-left:449.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5617845</wp:posOffset>
              </wp:positionH>
              <wp:positionV relativeFrom="page">
                <wp:posOffset>939165</wp:posOffset>
              </wp:positionV>
              <wp:extent cx="1103630" cy="100330"/>
              <wp:wrapNone/>
              <wp:docPr id="1426156082"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5" type="#_x0000_t202" style="width:86.9pt;height:7.9pt;margin-top:73.95pt;margin-left:442.3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722630</wp:posOffset>
              </wp:positionH>
              <wp:positionV relativeFrom="page">
                <wp:posOffset>579755</wp:posOffset>
              </wp:positionV>
              <wp:extent cx="1103630" cy="100330"/>
              <wp:wrapNone/>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 o:spid="_x0000_s2119" type="#_x0000_t202" style="width:86.9pt;height:7.9pt;margin-top:45.65pt;margin-left:56.9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722630</wp:posOffset>
              </wp:positionH>
              <wp:positionV relativeFrom="page">
                <wp:posOffset>579755</wp:posOffset>
              </wp:positionV>
              <wp:extent cx="1103630" cy="100330"/>
              <wp:wrapNone/>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17" type="#_x0000_t202" style="width:86.9pt;height:7.9pt;margin-top:45.65pt;margin-left:56.9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5617845</wp:posOffset>
              </wp:positionH>
              <wp:positionV relativeFrom="page">
                <wp:posOffset>939165</wp:posOffset>
              </wp:positionV>
              <wp:extent cx="1103630" cy="100330"/>
              <wp:wrapNone/>
              <wp:docPr id="1388522408"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21" type="#_x0000_t202" style="width:86.9pt;height:7.9pt;margin-top:73.95pt;margin-left:442.3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5708650</wp:posOffset>
              </wp:positionH>
              <wp:positionV relativeFrom="page">
                <wp:posOffset>939165</wp:posOffset>
              </wp:positionV>
              <wp:extent cx="1103630" cy="100330"/>
              <wp:wrapNone/>
              <wp:docPr id="60" name="Shape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2124" type="#_x0000_t202" style="width:86.9pt;height:7.9pt;margin-top:73.95pt;margin-left:449.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5708650</wp:posOffset>
              </wp:positionH>
              <wp:positionV relativeFrom="page">
                <wp:posOffset>939165</wp:posOffset>
              </wp:positionV>
              <wp:extent cx="1103630" cy="100330"/>
              <wp:wrapNone/>
              <wp:docPr id="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2123" type="#_x0000_t202" style="width:86.9pt;height:7.9pt;margin-top:73.95pt;margin-left:449.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5617845</wp:posOffset>
              </wp:positionH>
              <wp:positionV relativeFrom="page">
                <wp:posOffset>939165</wp:posOffset>
              </wp:positionV>
              <wp:extent cx="1103630" cy="100330"/>
              <wp:wrapNone/>
              <wp:docPr id="287374379"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25" type="#_x0000_t202" style="width:86.9pt;height:7.9pt;margin-top:73.95pt;margin-left:442.3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722630</wp:posOffset>
              </wp:positionH>
              <wp:positionV relativeFrom="page">
                <wp:posOffset>579755</wp:posOffset>
              </wp:positionV>
              <wp:extent cx="1103630" cy="100330"/>
              <wp:wrapNone/>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29" type="#_x0000_t202" style="width:86.9pt;height:7.9pt;margin-top:45.65pt;margin-left:56.9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5661660</wp:posOffset>
              </wp:positionH>
              <wp:positionV relativeFrom="page">
                <wp:posOffset>579755</wp:posOffset>
              </wp:positionV>
              <wp:extent cx="1103630" cy="100330"/>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27" type="#_x0000_t202" style="width:86.9pt;height:7.9pt;margin-top:45.65pt;margin-left:445.8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5617845</wp:posOffset>
              </wp:positionH>
              <wp:positionV relativeFrom="page">
                <wp:posOffset>939165</wp:posOffset>
              </wp:positionV>
              <wp:extent cx="1103630" cy="100330"/>
              <wp:wrapNone/>
              <wp:docPr id="134525270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31" type="#_x0000_t202" style="width:86.9pt;height:7.9pt;margin-top:73.95pt;margin-left:442.3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722630</wp:posOffset>
              </wp:positionH>
              <wp:positionV relativeFrom="page">
                <wp:posOffset>579755</wp:posOffset>
              </wp:positionV>
              <wp:extent cx="1103630" cy="100330"/>
              <wp:wrapNone/>
              <wp:docPr id="1237159824"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35" type="#_x0000_t202" style="width:86.9pt;height:7.9pt;margin-top:45.65pt;margin-left:56.9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5661660</wp:posOffset>
              </wp:positionH>
              <wp:positionV relativeFrom="page">
                <wp:posOffset>579755</wp:posOffset>
              </wp:positionV>
              <wp:extent cx="1103630" cy="100330"/>
              <wp:wrapNone/>
              <wp:docPr id="366492500"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33" type="#_x0000_t202" style="width:86.9pt;height:7.9pt;margin-top:45.65pt;margin-left:445.8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5617845</wp:posOffset>
              </wp:positionH>
              <wp:positionV relativeFrom="page">
                <wp:posOffset>939165</wp:posOffset>
              </wp:positionV>
              <wp:extent cx="1103630" cy="100330"/>
              <wp:wrapNone/>
              <wp:docPr id="2004627915"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37" type="#_x0000_t202" style="width:86.9pt;height:7.9pt;margin-top:73.95pt;margin-left:442.35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3393—2021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C010"/>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5BD898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4FEB17D"/>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297DFCE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A8A0314"/>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46A27C10"/>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5920141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78E7D27A"/>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7C233989"/>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5"/>
  </w:num>
  <w:num w:numId="2">
    <w:abstractNumId w:val="8"/>
  </w:num>
  <w:num w:numId="3">
    <w:abstractNumId w:val="3"/>
  </w:num>
  <w:num w:numId="4">
    <w:abstractNumId w:val="7"/>
  </w:num>
  <w:num w:numId="5">
    <w:abstractNumId w:val="6"/>
  </w:num>
  <w:num w:numId="6">
    <w:abstractNumId w:val="4"/>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6"/>
      <w:szCs w:val="26"/>
      <w:u w:val="singl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Bodytext6">
    <w:name w:val="Body text|6_"/>
    <w:basedOn w:val="DefaultParagraphFont"/>
    <w:link w:val="Bodytext60"/>
    <w:rPr>
      <w:b w:val="0"/>
      <w:bCs w:val="0"/>
      <w:i w:val="0"/>
      <w:iCs w:val="0"/>
      <w:smallCaps w:val="0"/>
      <w:strike w:val="0"/>
      <w:sz w:val="32"/>
      <w:szCs w:val="32"/>
      <w:u w:val="none"/>
      <w:shd w:val="clear" w:color="auto" w:fill="auto"/>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2"/>
      <w:szCs w:val="22"/>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4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80"/>
      <w:ind w:right="460"/>
      <w:jc w:val="right"/>
      <w:outlineLvl w:val="0"/>
    </w:pPr>
    <w:rPr>
      <w:b/>
      <w:bCs/>
      <w:i w:val="0"/>
      <w:iCs w:val="0"/>
      <w:smallCaps w:val="0"/>
      <w:strike w:val="0"/>
      <w:sz w:val="96"/>
      <w:szCs w:val="96"/>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36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830"/>
      <w:ind w:right="230"/>
    </w:pPr>
    <w:rPr>
      <w:b w:val="0"/>
      <w:bCs w:val="0"/>
      <w:i w:val="0"/>
      <w:iCs w:val="0"/>
      <w:smallCaps w:val="0"/>
      <w:strike w:val="0"/>
      <w:sz w:val="26"/>
      <w:szCs w:val="26"/>
      <w:u w:val="single"/>
      <w:shd w:val="clear" w:color="auto" w:fill="auto"/>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6380"/>
      <w:jc w:val="center"/>
    </w:pPr>
    <w:rPr>
      <w:b w:val="0"/>
      <w:bCs w:val="0"/>
      <w:i w:val="0"/>
      <w:iCs w:val="0"/>
      <w:smallCaps w:val="0"/>
      <w:strike w:val="0"/>
      <w:sz w:val="32"/>
      <w:szCs w:val="32"/>
      <w:u w:val="none"/>
      <w:shd w:val="clear" w:color="auto" w:fill="auto"/>
    </w:rPr>
  </w:style>
  <w:style w:type="paragraph" w:customStyle="1" w:styleId="Bodytext50">
    <w:name w:val="Body text|5"/>
    <w:basedOn w:val="Normal"/>
    <w:link w:val="Bodytext5"/>
    <w:pPr>
      <w:widowControl w:val="0"/>
      <w:shd w:val="clear" w:color="auto" w:fill="auto"/>
      <w:spacing w:after="42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line="33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before="180" w:after="560"/>
      <w:jc w:val="center"/>
      <w:outlineLvl w:val="3"/>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Bodytext30">
    <w:name w:val="Body text|3"/>
    <w:basedOn w:val="Normal"/>
    <w:link w:val="Bodytext3"/>
    <w:pPr>
      <w:widowControl w:val="0"/>
      <w:shd w:val="clear" w:color="auto" w:fill="auto"/>
      <w:spacing w:after="1440" w:line="761" w:lineRule="exact"/>
      <w:ind w:left="600" w:firstLine="20"/>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3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sz w:val="22"/>
      <w:szCs w:val="22"/>
      <w:u w:val="none"/>
      <w:shd w:val="clear" w:color="auto" w:fill="auto"/>
      <w:lang w:val="zh-TW" w:eastAsia="zh-TW" w:bidi="zh-TW"/>
    </w:rPr>
  </w:style>
  <w:style w:type="paragraph" w:customStyle="1" w:styleId="Other20">
    <w:name w:val="Other|2"/>
    <w:basedOn w:val="Normal"/>
    <w:link w:val="Other2"/>
    <w:pPr>
      <w:widowControl w:val="0"/>
      <w:shd w:val="clear" w:color="auto" w:fill="auto"/>
      <w:jc w:val="center"/>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spacing w:after="50"/>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jpeg" /><Relationship Id="rId100" Type="http://schemas.openxmlformats.org/officeDocument/2006/relationships/footer" Target="footer43.xml" /><Relationship Id="rId101" Type="http://schemas.openxmlformats.org/officeDocument/2006/relationships/header" Target="header50.xml" /><Relationship Id="rId102" Type="http://schemas.openxmlformats.org/officeDocument/2006/relationships/footer" Target="footer44.xml" /><Relationship Id="rId103" Type="http://schemas.openxmlformats.org/officeDocument/2006/relationships/image" Target="media/image6.png" /><Relationship Id="rId104" Type="http://schemas.openxmlformats.org/officeDocument/2006/relationships/image" Target="media/image7.png" /><Relationship Id="rId105" Type="http://schemas.openxmlformats.org/officeDocument/2006/relationships/image" Target="media/image8.png" /><Relationship Id="rId106" Type="http://schemas.openxmlformats.org/officeDocument/2006/relationships/image" Target="media/image9.png" /><Relationship Id="rId107" Type="http://schemas.openxmlformats.org/officeDocument/2006/relationships/image" Target="media/image10.png" /><Relationship Id="rId108" Type="http://schemas.openxmlformats.org/officeDocument/2006/relationships/image" Target="media/image11.png" /><Relationship Id="rId109" Type="http://schemas.openxmlformats.org/officeDocument/2006/relationships/image" Target="media/image12.png" /><Relationship Id="rId11" Type="http://schemas.openxmlformats.org/officeDocument/2006/relationships/header" Target="header7.xml" /><Relationship Id="rId110" Type="http://schemas.openxmlformats.org/officeDocument/2006/relationships/hyperlink" Target="https://d.book118.com/996042202030010044" TargetMode="External" /><Relationship Id="rId111" Type="http://schemas.openxmlformats.org/officeDocument/2006/relationships/header" Target="header51.xml" /><Relationship Id="rId112" Type="http://schemas.openxmlformats.org/officeDocument/2006/relationships/header" Target="header52.xml" /><Relationship Id="rId113" Type="http://schemas.openxmlformats.org/officeDocument/2006/relationships/footer" Target="footer45.xml" /><Relationship Id="rId114" Type="http://schemas.openxmlformats.org/officeDocument/2006/relationships/footer" Target="footer46.xml" /><Relationship Id="rId115" Type="http://schemas.openxmlformats.org/officeDocument/2006/relationships/header" Target="header53.xml" /><Relationship Id="rId116" Type="http://schemas.openxmlformats.org/officeDocument/2006/relationships/footer" Target="footer47.xml" /><Relationship Id="rId117" Type="http://schemas.openxmlformats.org/officeDocument/2006/relationships/theme" Target="theme/theme1.xml" /><Relationship Id="rId118" Type="http://schemas.openxmlformats.org/officeDocument/2006/relationships/numbering" Target="numbering.xml" /><Relationship Id="rId119" Type="http://schemas.openxmlformats.org/officeDocument/2006/relationships/styles" Target="styles.xml" /><Relationship Id="rId12" Type="http://schemas.openxmlformats.org/officeDocument/2006/relationships/header" Target="header8.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header" Target="header11.xml" /><Relationship Id="rId2" Type="http://schemas.openxmlformats.org/officeDocument/2006/relationships/webSettings" Target="webSettings.xml" /><Relationship Id="rId20" Type="http://schemas.openxmlformats.org/officeDocument/2006/relationships/header" Target="header12.xml" /><Relationship Id="rId21" Type="http://schemas.openxmlformats.org/officeDocument/2006/relationships/footer" Target="footer5.xml" /><Relationship Id="rId22" Type="http://schemas.openxmlformats.org/officeDocument/2006/relationships/footer" Target="footer6.xml" /><Relationship Id="rId23" Type="http://schemas.openxmlformats.org/officeDocument/2006/relationships/header" Target="header13.xml" /><Relationship Id="rId24" Type="http://schemas.openxmlformats.org/officeDocument/2006/relationships/header" Target="header14.xml" /><Relationship Id="rId25" Type="http://schemas.openxmlformats.org/officeDocument/2006/relationships/footer" Target="footer7.xml" /><Relationship Id="rId26" Type="http://schemas.openxmlformats.org/officeDocument/2006/relationships/footer" Target="footer8.xml" /><Relationship Id="rId27" Type="http://schemas.openxmlformats.org/officeDocument/2006/relationships/header" Target="header15.xml" /><Relationship Id="rId28" Type="http://schemas.openxmlformats.org/officeDocument/2006/relationships/header" Target="header16.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7.xml" /><Relationship Id="rId32" Type="http://schemas.openxmlformats.org/officeDocument/2006/relationships/header" Target="header18.xml" /><Relationship Id="rId33" Type="http://schemas.openxmlformats.org/officeDocument/2006/relationships/footer" Target="footer11.xml" /><Relationship Id="rId34" Type="http://schemas.openxmlformats.org/officeDocument/2006/relationships/footer" Target="footer12.xml" /><Relationship Id="rId35" Type="http://schemas.openxmlformats.org/officeDocument/2006/relationships/header" Target="header19.xml" /><Relationship Id="rId36" Type="http://schemas.openxmlformats.org/officeDocument/2006/relationships/header" Target="header20.xml" /><Relationship Id="rId37" Type="http://schemas.openxmlformats.org/officeDocument/2006/relationships/footer" Target="footer13.xml" /><Relationship Id="rId38" Type="http://schemas.openxmlformats.org/officeDocument/2006/relationships/footer" Target="footer14.xml" /><Relationship Id="rId39" Type="http://schemas.openxmlformats.org/officeDocument/2006/relationships/header" Target="header21.xml" /><Relationship Id="rId4" Type="http://schemas.openxmlformats.org/officeDocument/2006/relationships/header" Target="header1.xml" /><Relationship Id="rId40" Type="http://schemas.openxmlformats.org/officeDocument/2006/relationships/header" Target="header22.xml" /><Relationship Id="rId41" Type="http://schemas.openxmlformats.org/officeDocument/2006/relationships/footer" Target="footer15.xml" /><Relationship Id="rId42" Type="http://schemas.openxmlformats.org/officeDocument/2006/relationships/footer" Target="footer16.xml" /><Relationship Id="rId43" Type="http://schemas.openxmlformats.org/officeDocument/2006/relationships/header" Target="header23.xml" /><Relationship Id="rId44" Type="http://schemas.openxmlformats.org/officeDocument/2006/relationships/header" Target="header24.xml" /><Relationship Id="rId45" Type="http://schemas.openxmlformats.org/officeDocument/2006/relationships/footer" Target="footer17.xml" /><Relationship Id="rId46" Type="http://schemas.openxmlformats.org/officeDocument/2006/relationships/footer" Target="footer18.xml" /><Relationship Id="rId47" Type="http://schemas.openxmlformats.org/officeDocument/2006/relationships/header" Target="header25.xml" /><Relationship Id="rId48" Type="http://schemas.openxmlformats.org/officeDocument/2006/relationships/header" Target="header26.xml" /><Relationship Id="rId49" Type="http://schemas.openxmlformats.org/officeDocument/2006/relationships/footer" Target="footer19.xml" /><Relationship Id="rId5" Type="http://schemas.openxmlformats.org/officeDocument/2006/relationships/header" Target="header2.xml" /><Relationship Id="rId50" Type="http://schemas.openxmlformats.org/officeDocument/2006/relationships/footer" Target="footer20.xml" /><Relationship Id="rId51" Type="http://schemas.openxmlformats.org/officeDocument/2006/relationships/image" Target="media/image2.jpeg" /><Relationship Id="rId52" Type="http://schemas.openxmlformats.org/officeDocument/2006/relationships/header" Target="header27.xml" /><Relationship Id="rId53" Type="http://schemas.openxmlformats.org/officeDocument/2006/relationships/header" Target="header28.xml" /><Relationship Id="rId54" Type="http://schemas.openxmlformats.org/officeDocument/2006/relationships/footer" Target="footer21.xml" /><Relationship Id="rId55" Type="http://schemas.openxmlformats.org/officeDocument/2006/relationships/footer" Target="footer22.xml" /><Relationship Id="rId56" Type="http://schemas.openxmlformats.org/officeDocument/2006/relationships/header" Target="header29.xml" /><Relationship Id="rId57" Type="http://schemas.openxmlformats.org/officeDocument/2006/relationships/footer" Target="footer23.xml" /><Relationship Id="rId58" Type="http://schemas.openxmlformats.org/officeDocument/2006/relationships/header" Target="header30.xml" /><Relationship Id="rId59" Type="http://schemas.openxmlformats.org/officeDocument/2006/relationships/header" Target="header31.xml" /><Relationship Id="rId6" Type="http://schemas.openxmlformats.org/officeDocument/2006/relationships/header" Target="header3.xml" /><Relationship Id="rId60" Type="http://schemas.openxmlformats.org/officeDocument/2006/relationships/footer" Target="footer24.xml" /><Relationship Id="rId61" Type="http://schemas.openxmlformats.org/officeDocument/2006/relationships/footer" Target="footer25.xml" /><Relationship Id="rId62" Type="http://schemas.openxmlformats.org/officeDocument/2006/relationships/header" Target="header32.xml" /><Relationship Id="rId63" Type="http://schemas.openxmlformats.org/officeDocument/2006/relationships/footer" Target="footer26.xml" /><Relationship Id="rId64" Type="http://schemas.openxmlformats.org/officeDocument/2006/relationships/image" Target="media/image3.jpeg" /><Relationship Id="rId65" Type="http://schemas.openxmlformats.org/officeDocument/2006/relationships/header" Target="header33.xml" /><Relationship Id="rId66" Type="http://schemas.openxmlformats.org/officeDocument/2006/relationships/header" Target="header34.xml" /><Relationship Id="rId67" Type="http://schemas.openxmlformats.org/officeDocument/2006/relationships/footer" Target="footer27.xml" /><Relationship Id="rId68" Type="http://schemas.openxmlformats.org/officeDocument/2006/relationships/footer" Target="footer28.xml" /><Relationship Id="rId69" Type="http://schemas.openxmlformats.org/officeDocument/2006/relationships/header" Target="header35.xml" /><Relationship Id="rId7" Type="http://schemas.openxmlformats.org/officeDocument/2006/relationships/header" Target="header4.xml" /><Relationship Id="rId70" Type="http://schemas.openxmlformats.org/officeDocument/2006/relationships/footer" Target="footer29.xml" /><Relationship Id="rId71" Type="http://schemas.openxmlformats.org/officeDocument/2006/relationships/header" Target="header36.xml" /><Relationship Id="rId72" Type="http://schemas.openxmlformats.org/officeDocument/2006/relationships/header" Target="header37.xml" /><Relationship Id="rId73" Type="http://schemas.openxmlformats.org/officeDocument/2006/relationships/footer" Target="footer30.xml" /><Relationship Id="rId74" Type="http://schemas.openxmlformats.org/officeDocument/2006/relationships/footer" Target="footer31.xml" /><Relationship Id="rId75" Type="http://schemas.openxmlformats.org/officeDocument/2006/relationships/header" Target="header38.xml" /><Relationship Id="rId76" Type="http://schemas.openxmlformats.org/officeDocument/2006/relationships/footer" Target="footer32.xml" /><Relationship Id="rId77" Type="http://schemas.openxmlformats.org/officeDocument/2006/relationships/header" Target="header39.xml" /><Relationship Id="rId78" Type="http://schemas.openxmlformats.org/officeDocument/2006/relationships/header" Target="header40.xml" /><Relationship Id="rId79" Type="http://schemas.openxmlformats.org/officeDocument/2006/relationships/footer" Target="footer33.xml" /><Relationship Id="rId8" Type="http://schemas.openxmlformats.org/officeDocument/2006/relationships/header" Target="header5.xml" /><Relationship Id="rId80" Type="http://schemas.openxmlformats.org/officeDocument/2006/relationships/footer" Target="footer34.xml" /><Relationship Id="rId81" Type="http://schemas.openxmlformats.org/officeDocument/2006/relationships/header" Target="header41.xml" /><Relationship Id="rId82" Type="http://schemas.openxmlformats.org/officeDocument/2006/relationships/footer" Target="footer35.xml" /><Relationship Id="rId83" Type="http://schemas.openxmlformats.org/officeDocument/2006/relationships/image" Target="media/image4.jpeg" /><Relationship Id="rId84" Type="http://schemas.openxmlformats.org/officeDocument/2006/relationships/header" Target="header42.xml" /><Relationship Id="rId85" Type="http://schemas.openxmlformats.org/officeDocument/2006/relationships/header" Target="header43.xml" /><Relationship Id="rId86" Type="http://schemas.openxmlformats.org/officeDocument/2006/relationships/footer" Target="footer36.xml" /><Relationship Id="rId87" Type="http://schemas.openxmlformats.org/officeDocument/2006/relationships/footer" Target="footer37.xml" /><Relationship Id="rId88" Type="http://schemas.openxmlformats.org/officeDocument/2006/relationships/header" Target="header44.xml" /><Relationship Id="rId89" Type="http://schemas.openxmlformats.org/officeDocument/2006/relationships/footer" Target="footer38.xml" /><Relationship Id="rId9" Type="http://schemas.openxmlformats.org/officeDocument/2006/relationships/header" Target="header6.xml" /><Relationship Id="rId90" Type="http://schemas.openxmlformats.org/officeDocument/2006/relationships/header" Target="header45.xml" /><Relationship Id="rId91" Type="http://schemas.openxmlformats.org/officeDocument/2006/relationships/header" Target="header46.xml" /><Relationship Id="rId92" Type="http://schemas.openxmlformats.org/officeDocument/2006/relationships/footer" Target="footer39.xml" /><Relationship Id="rId93" Type="http://schemas.openxmlformats.org/officeDocument/2006/relationships/footer" Target="footer40.xml" /><Relationship Id="rId94" Type="http://schemas.openxmlformats.org/officeDocument/2006/relationships/header" Target="header47.xml" /><Relationship Id="rId95" Type="http://schemas.openxmlformats.org/officeDocument/2006/relationships/footer" Target="footer41.xml" /><Relationship Id="rId96" Type="http://schemas.openxmlformats.org/officeDocument/2006/relationships/image" Target="media/image5.jpeg" /><Relationship Id="rId97" Type="http://schemas.openxmlformats.org/officeDocument/2006/relationships/header" Target="header48.xml" /><Relationship Id="rId98" Type="http://schemas.openxmlformats.org/officeDocument/2006/relationships/header" Target="header49.xml" /><Relationship Id="rId99" Type="http://schemas.openxmlformats.org/officeDocument/2006/relationships/footer" Target="footer4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