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spacing w:before="147" w:line="172" w:lineRule="auto"/>
        <w:ind w:left="2914" w:right="1874" w:hanging="882"/>
        <w:jc w:val="center"/>
        <w:rPr>
          <w:rFonts w:ascii="宋体" w:eastAsia="宋体" w:hAnsi="宋体" w:cs="宋体" w:hint="eastAsia"/>
          <w:sz w:val="48"/>
          <w:szCs w:val="48"/>
        </w:rPr>
      </w:pPr>
    </w:p>
    <w:p>
      <w:pPr>
        <w:pStyle w:val="Heading1"/>
        <w:spacing w:before="147" w:line="172" w:lineRule="auto"/>
        <w:ind w:right="1874" w:firstLine="480" w:firstLineChars="100"/>
        <w:jc w:val="center"/>
        <w:rPr>
          <w:rFonts w:ascii="宋体" w:eastAsia="宋体" w:hAnsi="宋体" w:cs="宋体" w:hint="eastAsia"/>
          <w:sz w:val="48"/>
          <w:szCs w:val="48"/>
          <w:lang w:val="en-US"/>
        </w:rPr>
      </w:pPr>
      <w:r>
        <w:rPr>
          <w:rFonts w:ascii="宋体" w:eastAsia="宋体" w:hAnsi="宋体" w:cs="宋体" w:hint="eastAsia"/>
          <w:sz w:val="48"/>
          <w:szCs w:val="48"/>
          <w:lang w:val="en-US" w:eastAsia="zh-CN"/>
        </w:rPr>
        <w:t xml:space="preserve">     </w:t>
      </w:r>
    </w:p>
    <w:p>
      <w:pPr>
        <w:pStyle w:val="Heading1"/>
        <w:spacing w:before="147" w:line="172" w:lineRule="auto"/>
        <w:ind w:right="1874" w:firstLine="480" w:firstLineChars="100"/>
        <w:jc w:val="center"/>
        <w:rPr>
          <w:rFonts w:ascii="宋体" w:eastAsia="宋体" w:hAnsi="宋体" w:cs="宋体" w:hint="eastAsia"/>
          <w:sz w:val="48"/>
          <w:szCs w:val="48"/>
        </w:rPr>
      </w:pPr>
      <w:r>
        <w:rPr>
          <w:rFonts w:ascii="宋体" w:eastAsia="宋体" w:hAnsi="宋体" w:cs="宋体" w:hint="eastAsia"/>
          <w:sz w:val="48"/>
          <w:szCs w:val="48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48"/>
          <w:szCs w:val="48"/>
        </w:rPr>
        <w:t>第</w:t>
      </w:r>
      <w:r>
        <w:rPr>
          <w:rFonts w:ascii="宋体" w:eastAsia="宋体" w:hAnsi="宋体" w:cs="宋体" w:hint="eastAsia"/>
          <w:sz w:val="48"/>
          <w:szCs w:val="48"/>
          <w:lang w:eastAsia="zh-CN"/>
        </w:rPr>
        <w:t>二</w:t>
      </w:r>
      <w:r>
        <w:rPr>
          <w:rFonts w:ascii="宋体" w:eastAsia="宋体" w:hAnsi="宋体" w:cs="宋体" w:hint="eastAsia"/>
          <w:sz w:val="48"/>
          <w:szCs w:val="48"/>
        </w:rPr>
        <w:t>届</w:t>
      </w:r>
      <w:r>
        <w:rPr>
          <w:rFonts w:ascii="宋体" w:eastAsia="宋体" w:hAnsi="宋体" w:cs="宋体" w:hint="eastAsia"/>
          <w:sz w:val="48"/>
          <w:szCs w:val="48"/>
          <w:lang w:eastAsia="zh-CN"/>
        </w:rPr>
        <w:t>全</w:t>
      </w:r>
      <w:r>
        <w:rPr>
          <w:rFonts w:ascii="宋体" w:eastAsia="宋体" w:hAnsi="宋体" w:cs="宋体" w:hint="eastAsia"/>
          <w:sz w:val="48"/>
          <w:szCs w:val="48"/>
        </w:rPr>
        <w:t>国</w:t>
      </w:r>
      <w:r>
        <w:rPr>
          <w:rFonts w:ascii="宋体" w:eastAsia="宋体" w:hAnsi="宋体" w:cs="宋体" w:hint="eastAsia"/>
          <w:sz w:val="48"/>
          <w:szCs w:val="48"/>
          <w:lang w:eastAsia="zh-CN"/>
        </w:rPr>
        <w:t>技能大</w:t>
      </w:r>
      <w:r>
        <w:rPr>
          <w:rFonts w:ascii="宋体" w:eastAsia="宋体" w:hAnsi="宋体" w:cs="宋体" w:hint="eastAsia"/>
          <w:sz w:val="48"/>
          <w:szCs w:val="48"/>
        </w:rPr>
        <w:t>赛</w:t>
      </w:r>
    </w:p>
    <w:p>
      <w:pPr>
        <w:pStyle w:val="Heading1"/>
        <w:spacing w:before="147" w:line="172" w:lineRule="auto"/>
        <w:ind w:right="1874" w:firstLine="480" w:firstLineChars="100"/>
        <w:jc w:val="center"/>
        <w:rPr>
          <w:rFonts w:ascii="宋体" w:eastAsia="宋体" w:hAnsi="宋体" w:cs="宋体" w:hint="eastAsia"/>
          <w:sz w:val="48"/>
          <w:szCs w:val="48"/>
        </w:rPr>
      </w:pPr>
      <w:r>
        <w:rPr>
          <w:rFonts w:ascii="宋体" w:eastAsia="宋体" w:hAnsi="宋体" w:cs="宋体" w:hint="eastAsia"/>
          <w:sz w:val="48"/>
          <w:szCs w:val="48"/>
          <w:lang w:val="en-US" w:eastAsia="zh-CN"/>
        </w:rPr>
        <w:t xml:space="preserve">     </w:t>
      </w:r>
      <w:r>
        <w:rPr>
          <w:rFonts w:ascii="宋体" w:eastAsia="宋体" w:hAnsi="宋体" w:cs="宋体" w:hint="eastAsia"/>
          <w:sz w:val="48"/>
          <w:szCs w:val="48"/>
          <w:lang w:eastAsia="zh-CN"/>
        </w:rPr>
        <w:t>国赛精选项目</w:t>
      </w:r>
    </w:p>
    <w:p>
      <w:pPr>
        <w:pStyle w:val="Heading1"/>
        <w:spacing w:before="147" w:line="172" w:lineRule="auto"/>
        <w:ind w:left="2914" w:right="1874" w:hanging="882"/>
        <w:jc w:val="center"/>
        <w:rPr>
          <w:rFonts w:ascii="宋体" w:eastAsia="宋体" w:hAnsi="宋体" w:cs="宋体" w:hint="eastAsia"/>
          <w:sz w:val="48"/>
          <w:szCs w:val="48"/>
        </w:rPr>
      </w:pPr>
    </w:p>
    <w:p>
      <w:pPr>
        <w:pStyle w:val="Heading1"/>
        <w:spacing w:before="147" w:line="172" w:lineRule="auto"/>
        <w:ind w:right="1874" w:firstLine="3360" w:firstLineChars="700"/>
        <w:jc w:val="both"/>
        <w:rPr>
          <w:rFonts w:ascii="宋体" w:eastAsia="宋体" w:hAnsi="宋体" w:cs="宋体" w:hint="eastAsia"/>
          <w:sz w:val="48"/>
          <w:szCs w:val="48"/>
        </w:rPr>
      </w:pPr>
      <w:r>
        <w:rPr>
          <w:rFonts w:ascii="宋体" w:eastAsia="宋体" w:hAnsi="宋体" w:cs="宋体" w:hint="eastAsia"/>
          <w:sz w:val="48"/>
          <w:szCs w:val="48"/>
          <w:lang w:eastAsia="zh-CN"/>
        </w:rPr>
        <w:t>江苏选拔赛</w:t>
      </w:r>
    </w:p>
    <w:p>
      <w:pPr>
        <w:rPr>
          <w:rFonts w:hint="eastAsia"/>
          <w:sz w:val="48"/>
          <w:szCs w:val="48"/>
        </w:rPr>
      </w:pPr>
    </w:p>
    <w:p>
      <w:pPr>
        <w:rPr>
          <w:rFonts w:hint="eastAsia"/>
          <w:sz w:val="48"/>
          <w:szCs w:val="48"/>
        </w:rPr>
      </w:pPr>
    </w:p>
    <w:p>
      <w:pPr>
        <w:pStyle w:val="Heading1"/>
        <w:spacing w:before="147" w:line="172" w:lineRule="auto"/>
        <w:ind w:right="1874" w:firstLine="2400" w:firstLineChars="500"/>
        <w:jc w:val="both"/>
        <w:rPr>
          <w:rFonts w:ascii="宋体" w:eastAsia="宋体" w:hAnsi="宋体" w:cs="宋体" w:hint="eastAsia"/>
          <w:sz w:val="48"/>
          <w:szCs w:val="48"/>
        </w:rPr>
      </w:pPr>
      <w:r>
        <w:rPr>
          <w:rFonts w:ascii="宋体" w:eastAsia="宋体" w:hAnsi="宋体" w:cs="宋体" w:hint="eastAsia"/>
          <w:sz w:val="48"/>
          <w:szCs w:val="48"/>
        </w:rPr>
        <w:t>砌筑工赛项技术文件</w:t>
      </w: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48"/>
          <w:szCs w:val="48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32"/>
          <w:szCs w:val="32"/>
          <w:lang w:val="en-US"/>
        </w:rPr>
      </w:pPr>
    </w:p>
    <w:p>
      <w:pPr>
        <w:tabs>
          <w:tab w:val="left" w:pos="2487"/>
        </w:tabs>
        <w:bidi w:val="0"/>
        <w:jc w:val="left"/>
        <w:rPr>
          <w:rFonts w:hint="eastAsia"/>
          <w:sz w:val="32"/>
          <w:szCs w:val="32"/>
          <w:lang w:val="en-US"/>
        </w:rPr>
      </w:pPr>
    </w:p>
    <w:p>
      <w:pPr>
        <w:tabs>
          <w:tab w:val="left" w:pos="2487"/>
        </w:tabs>
        <w:bidi w:val="0"/>
        <w:ind w:firstLine="3200" w:firstLineChars="1000"/>
        <w:jc w:val="left"/>
        <w:rPr>
          <w:rFonts w:hint="eastAsia"/>
          <w:sz w:val="32"/>
          <w:szCs w:val="32"/>
          <w:lang w:val="en-US"/>
        </w:rPr>
      </w:pPr>
    </w:p>
    <w:p>
      <w:pPr>
        <w:tabs>
          <w:tab w:val="left" w:pos="2487"/>
        </w:tabs>
        <w:bidi w:val="0"/>
        <w:ind w:firstLine="3240" w:firstLineChars="900"/>
        <w:jc w:val="left"/>
        <w:rPr>
          <w:rFonts w:hint="eastAsia"/>
          <w:sz w:val="36"/>
          <w:szCs w:val="36"/>
          <w:lang w:val="en-US"/>
        </w:rPr>
        <w:sectPr>
          <w:footerReference w:type="default" r:id="rId5"/>
          <w:pgSz w:w="11910" w:h="16840"/>
          <w:pgMar w:top="1580" w:right="780" w:bottom="1320" w:left="1500" w:header="720" w:footer="1121" w:gutter="0"/>
          <w:pgNumType w:start="1"/>
          <w:cols w:num="1" w:space="720"/>
        </w:sectPr>
      </w:pPr>
      <w:r>
        <w:rPr>
          <w:rFonts w:ascii="宋体" w:eastAsia="宋体" w:hAnsi="宋体" w:cs="宋体" w:hint="eastAsia"/>
          <w:sz w:val="36"/>
          <w:szCs w:val="36"/>
          <w:lang w:val="en-US" w:eastAsia="zh-CN"/>
        </w:rPr>
        <w:t>2023年04月02日</w:t>
      </w:r>
    </w:p>
    <w:p>
      <w:pPr>
        <w:spacing w:before="0" w:line="692" w:lineRule="exact"/>
        <w:ind w:left="0" w:right="718" w:firstLine="0"/>
        <w:jc w:val="center"/>
        <w:rPr>
          <w:rFonts w:ascii="微软雅黑" w:eastAsia="微软雅黑" w:hint="eastAsia"/>
          <w:b/>
          <w:sz w:val="44"/>
        </w:rPr>
      </w:pPr>
      <w:r>
        <w:rPr>
          <w:rFonts w:ascii="宋体" w:eastAsia="宋体" w:hAnsi="宋体" w:cs="宋体" w:hint="eastAsia"/>
          <w:b/>
          <w:sz w:val="44"/>
        </w:rPr>
        <w:t>目录</w:t>
      </w:r>
    </w:p>
    <w:p>
      <w:pPr>
        <w:spacing w:after="0" w:line="692" w:lineRule="exact"/>
        <w:jc w:val="center"/>
        <w:rPr>
          <w:rFonts w:ascii="微软雅黑" w:eastAsia="微软雅黑" w:hint="eastAsia"/>
          <w:sz w:val="44"/>
        </w:rPr>
        <w:sectPr>
          <w:footerReference w:type="default" r:id="rId6"/>
          <w:pgSz w:w="11910" w:h="16840"/>
          <w:pgMar w:top="1520" w:right="780" w:bottom="1884" w:left="1500" w:header="0" w:footer="1121" w:gutter="0"/>
          <w:pgNumType w:start="2"/>
          <w:cols w:num="1" w:space="720"/>
        </w:sectPr>
      </w:pPr>
    </w:p>
    <w:sdt>
      <w:sdtPr>
        <w:id w:val="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693"/>
            <w:rPr>
              <w:rFonts w:hint="eastAsia"/>
              <w:sz w:val="30"/>
              <w:szCs w:val="30"/>
            </w:rPr>
          </w:pPr>
          <w:hyperlink w:anchor="_bookmark0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一、</w:t>
            </w:r>
          </w:hyperlink>
          <w:hyperlink w:anchor="_bookmark0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命题原则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spacing w:before="170"/>
            <w:rPr>
              <w:rFonts w:hint="eastAsia"/>
              <w:sz w:val="30"/>
              <w:szCs w:val="30"/>
            </w:rPr>
          </w:pPr>
          <w:hyperlink w:anchor="_bookmark1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二、竞赛内容、形式和成绩计算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spacing w:before="169"/>
            <w:rPr>
              <w:rFonts w:hint="eastAsia"/>
              <w:sz w:val="30"/>
              <w:szCs w:val="30"/>
            </w:rPr>
          </w:pPr>
          <w:hyperlink w:anchor="_bookmark2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（一）竞赛内容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3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（二）竞赛形式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4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（三）成绩计算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spacing w:before="168"/>
            <w:rPr>
              <w:rFonts w:hint="eastAsia"/>
              <w:sz w:val="30"/>
              <w:szCs w:val="30"/>
            </w:rPr>
          </w:pPr>
          <w:hyperlink w:anchor="_bookmark5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三、赛项技术描述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6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（一）技能说明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7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（二）能力要求与工作范围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spacing w:before="168"/>
            <w:rPr>
              <w:rFonts w:hint="eastAsia"/>
              <w:sz w:val="30"/>
              <w:szCs w:val="30"/>
            </w:rPr>
          </w:pPr>
          <w:hyperlink w:anchor="_bookmark8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（三）操作项目技术要求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9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四、裁判员和选手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10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（一）裁判长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spacing w:before="169"/>
            <w:rPr>
              <w:rFonts w:hint="eastAsia"/>
              <w:sz w:val="30"/>
              <w:szCs w:val="30"/>
            </w:rPr>
          </w:pPr>
          <w:hyperlink w:anchor="_bookmark11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（二）裁判员的条件和组成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hint="eastAsia"/>
              <w:sz w:val="30"/>
              <w:szCs w:val="30"/>
            </w:rPr>
          </w:pPr>
          <w:hyperlink w:anchor="_bookmark12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（三）参赛选手的条件和要求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spacing w:before="170"/>
            <w:rPr>
              <w:rFonts w:hint="eastAsia"/>
              <w:sz w:val="30"/>
              <w:szCs w:val="30"/>
            </w:rPr>
          </w:pPr>
          <w:hyperlink w:anchor="_bookmark13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五、试题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spacing w:before="169"/>
            <w:rPr>
              <w:rFonts w:hint="eastAsia"/>
              <w:sz w:val="30"/>
              <w:szCs w:val="30"/>
            </w:rPr>
          </w:pPr>
          <w:hyperlink w:anchor="_bookmark14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（一）命题原则及内容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7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</w:rPr>
          </w:pPr>
          <w:hyperlink w:anchor="_bookmark15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（二）命题要求及决赛试题的产生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8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</w:rPr>
          </w:pPr>
          <w:hyperlink w:anchor="_bookmark16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六、成绩评判的标准及要求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9</w:t>
            </w:r>
          </w:hyperlink>
        </w:p>
        <w:p>
          <w:pPr>
            <w:pStyle w:val="TOC2"/>
            <w:tabs>
              <w:tab w:val="right" w:leader="dot" w:pos="8416"/>
            </w:tabs>
            <w:rPr>
              <w:rFonts w:hint="eastAsia"/>
              <w:b w:val="0"/>
              <w:i w:val="0"/>
              <w:sz w:val="30"/>
              <w:szCs w:val="30"/>
            </w:rPr>
          </w:pPr>
          <w:hyperlink w:anchor="_bookmark17" w:history="1">
            <w:r>
              <w:rPr>
                <w:rFonts w:ascii="宋体" w:eastAsia="宋体" w:hAnsi="宋体" w:cs="宋体" w:hint="eastAsia"/>
                <w:b w:val="0"/>
                <w:i w:val="0"/>
                <w:sz w:val="30"/>
                <w:szCs w:val="30"/>
              </w:rPr>
              <w:t>（一）分制</w:t>
            </w:r>
            <w:r>
              <w:rPr>
                <w:rFonts w:ascii="宋体" w:eastAsia="宋体" w:hAnsi="宋体" w:cs="宋体" w:hint="eastAsia"/>
                <w:b w:val="0"/>
                <w:i w:val="0"/>
                <w:sz w:val="30"/>
                <w:szCs w:val="30"/>
              </w:rPr>
              <w:tab/>
            </w:r>
            <w:r>
              <w:rPr>
                <w:rFonts w:cs="宋体" w:hint="eastAsia"/>
                <w:b w:val="0"/>
                <w:i w:val="0"/>
                <w:sz w:val="30"/>
                <w:szCs w:val="30"/>
                <w:lang w:val="en-US" w:eastAsia="zh-CN"/>
              </w:rPr>
              <w:t>9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</w:rPr>
          </w:pPr>
          <w:hyperlink w:anchor="_bookmark18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（二）评分细则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9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</w:rPr>
          </w:pPr>
          <w:hyperlink w:anchor="_bookmark19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（三）比赛要求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9</w:t>
            </w:r>
          </w:hyperlink>
        </w:p>
        <w:p>
          <w:pPr>
            <w:pStyle w:val="TOC1"/>
            <w:tabs>
              <w:tab w:val="right" w:leader="dot" w:pos="8416"/>
            </w:tabs>
            <w:spacing w:before="168" w:after="20"/>
            <w:rPr>
              <w:rFonts w:hint="eastAsia"/>
              <w:sz w:val="30"/>
              <w:szCs w:val="30"/>
              <w:lang w:val="en-US"/>
            </w:rPr>
          </w:pPr>
          <w:hyperlink w:anchor="_bookmark20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七、评判的硬件和设备要求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5</w:t>
          </w:r>
        </w:p>
        <w:p>
          <w:pPr>
            <w:pStyle w:val="TOC1"/>
            <w:tabs>
              <w:tab w:val="right" w:leader="dot" w:pos="8416"/>
            </w:tabs>
            <w:spacing w:before="76"/>
            <w:rPr>
              <w:rFonts w:hint="eastAsia"/>
              <w:sz w:val="30"/>
              <w:szCs w:val="30"/>
              <w:lang w:val="en-US"/>
            </w:rPr>
            <w:sectPr>
              <w:footerReference w:type="default" r:id="rId7"/>
              <w:type w:val="continuous"/>
              <w:pgSz w:w="11910" w:h="16840"/>
              <w:pgMar w:top="1600" w:right="780" w:bottom="1884" w:left="1500" w:header="720" w:footer="720" w:gutter="0"/>
              <w:pgNumType w:start="3"/>
              <w:cols w:num="1" w:space="720"/>
            </w:sectPr>
          </w:pPr>
          <w:hyperlink w:anchor="_bookmark21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（一）评判的方法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5</w:t>
          </w:r>
        </w:p>
      </w:sdtContent>
    </w:sdt>
    <w:sdt>
      <w:sdtPr>
        <w:id w:val="50269844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22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（二）裁判员在评判工作中的任务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5</w:t>
          </w:r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  <w:lang w:val="en-US"/>
            </w:rPr>
          </w:pPr>
          <w:hyperlink w:anchor="_bookmark23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（三）裁判员在评判中的纪律和要求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5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24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八、</w:t>
            </w:r>
            <w:r>
              <w:rPr>
                <w:rFonts w:cs="宋体" w:hint="eastAsia"/>
                <w:sz w:val="30"/>
                <w:szCs w:val="30"/>
                <w:lang w:eastAsia="zh-CN"/>
              </w:rPr>
              <w:t>选拔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赛的基础设施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6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25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（一）现场料具准备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6</w:t>
          </w:r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  <w:lang w:val="en-US"/>
            </w:rPr>
          </w:pPr>
          <w:hyperlink w:anchor="_bookmark26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（二）参赛者自备以下工具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6</w:t>
          </w:r>
        </w:p>
        <w:p>
          <w:pPr>
            <w:pStyle w:val="TOC2"/>
            <w:tabs>
              <w:tab w:val="right" w:leader="dot" w:pos="8416"/>
            </w:tabs>
            <w:spacing w:before="172"/>
            <w:rPr>
              <w:rFonts w:hint="eastAsia"/>
              <w:b w:val="0"/>
              <w:i w:val="0"/>
              <w:sz w:val="30"/>
              <w:szCs w:val="30"/>
              <w:lang w:val="en-US"/>
            </w:rPr>
          </w:pPr>
          <w:hyperlink w:anchor="_bookmark27" w:history="1">
            <w:r>
              <w:rPr>
                <w:rFonts w:ascii="宋体" w:eastAsia="宋体" w:hAnsi="宋体" w:cs="宋体" w:hint="eastAsia"/>
                <w:b w:val="0"/>
                <w:i w:val="0"/>
                <w:sz w:val="30"/>
                <w:szCs w:val="30"/>
              </w:rPr>
              <w:t>（三）其他</w:t>
            </w:r>
            <w:r>
              <w:rPr>
                <w:rFonts w:ascii="宋体" w:eastAsia="宋体" w:hAnsi="宋体" w:cs="宋体" w:hint="eastAsia"/>
                <w:b w:val="0"/>
                <w:i w:val="0"/>
                <w:sz w:val="30"/>
                <w:szCs w:val="30"/>
              </w:rPr>
              <w:tab/>
            </w:r>
            <w:r>
              <w:rPr>
                <w:rFonts w:cs="宋体" w:hint="eastAsia"/>
                <w:b w:val="0"/>
                <w:i w:val="0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b w:val="0"/>
              <w:i w:val="0"/>
              <w:sz w:val="30"/>
              <w:szCs w:val="30"/>
              <w:lang w:val="en-US" w:eastAsia="zh-CN"/>
            </w:rPr>
            <w:t>6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28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九、比赛场地要求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7</w:t>
          </w:r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  <w:lang w:val="en-US"/>
            </w:rPr>
          </w:pPr>
          <w:hyperlink w:anchor="_bookmark29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（一）场地面积要求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7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30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（二）场地照明要求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7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31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（三）场地消防和逃生要求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7</w:t>
          </w:r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  <w:lang w:val="en-US"/>
            </w:rPr>
          </w:pPr>
          <w:hyperlink w:anchor="_bookmark32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十、比赛安全要求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7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33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（一）切割机安全操作规程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7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34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（二）突发事件应急处理预案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8</w:t>
          </w:r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  <w:lang w:val="en-US"/>
            </w:rPr>
          </w:pPr>
          <w:hyperlink w:anchor="_bookmark35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十一、</w:t>
            </w:r>
            <w:r>
              <w:rPr>
                <w:rFonts w:cs="宋体" w:hint="eastAsia"/>
                <w:sz w:val="30"/>
                <w:szCs w:val="30"/>
                <w:lang w:eastAsia="zh-CN"/>
              </w:rPr>
              <w:t>预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选赛竞赛流程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8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36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（一）竞赛原则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8</w:t>
          </w:r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  <w:lang w:val="en-US"/>
            </w:rPr>
          </w:pPr>
          <w:hyperlink w:anchor="_bookmark37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（二）裁判员的工作内容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2</w:t>
            </w:r>
          </w:hyperlink>
          <w:r>
            <w:rPr>
              <w:rFonts w:cs="宋体" w:hint="eastAsia"/>
              <w:sz w:val="30"/>
              <w:szCs w:val="30"/>
              <w:lang w:val="en-US" w:eastAsia="zh-CN"/>
            </w:rPr>
            <w:t>0</w:t>
          </w:r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</w:rPr>
          </w:pPr>
          <w:hyperlink w:anchor="_bookmark38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（三）选手的工作内容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2</w:t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0</w:t>
            </w:r>
          </w:hyperlink>
        </w:p>
        <w:p>
          <w:pPr>
            <w:pStyle w:val="TOC1"/>
            <w:tabs>
              <w:tab w:val="right" w:leader="dot" w:pos="8416"/>
            </w:tabs>
            <w:spacing w:before="172"/>
            <w:rPr>
              <w:rFonts w:hint="eastAsia"/>
              <w:sz w:val="30"/>
              <w:szCs w:val="30"/>
            </w:rPr>
          </w:pPr>
          <w:hyperlink w:anchor="_bookmark39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（四）赛场纪律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2</w:t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0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</w:rPr>
          </w:pPr>
          <w:hyperlink w:anchor="_bookmark40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十二、赛场开放的要求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2</w:t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</w:p>
        <w:p>
          <w:pPr>
            <w:pStyle w:val="TOC1"/>
            <w:tabs>
              <w:tab w:val="right" w:leader="dot" w:pos="8416"/>
            </w:tabs>
            <w:spacing w:before="168"/>
            <w:rPr>
              <w:rFonts w:hint="eastAsia"/>
              <w:sz w:val="30"/>
              <w:szCs w:val="30"/>
            </w:rPr>
          </w:pPr>
          <w:hyperlink w:anchor="_bookmark41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十三、绿色环保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2</w:t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hint="eastAsia"/>
              <w:sz w:val="30"/>
              <w:szCs w:val="30"/>
            </w:rPr>
          </w:pPr>
          <w:hyperlink w:anchor="_bookmark42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（一）环境保护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2</w:t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1</w:t>
            </w:r>
          </w:hyperlink>
        </w:p>
        <w:p>
          <w:pPr>
            <w:pStyle w:val="TOC1"/>
            <w:tabs>
              <w:tab w:val="right" w:leader="dot" w:pos="8416"/>
            </w:tabs>
            <w:rPr>
              <w:rFonts w:ascii="Times New Roman" w:eastAsia="Times New Roman"/>
              <w:sz w:val="28"/>
            </w:rPr>
          </w:pPr>
          <w:hyperlink w:anchor="_bookmark43" w:history="1">
            <w:r>
              <w:rPr>
                <w:rFonts w:ascii="宋体" w:eastAsia="宋体" w:hAnsi="宋体" w:cs="宋体" w:hint="eastAsia"/>
                <w:sz w:val="30"/>
                <w:szCs w:val="30"/>
              </w:rPr>
              <w:t>（二）循环利用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2</w:t>
            </w:r>
            <w:r>
              <w:rPr>
                <w:rFonts w:cs="宋体" w:hint="eastAsia"/>
                <w:sz w:val="30"/>
                <w:szCs w:val="30"/>
                <w:lang w:val="en-US" w:eastAsia="zh-CN"/>
              </w:rPr>
              <w:t>2</w:t>
            </w:r>
          </w:hyperlink>
        </w:p>
      </w:sdtContent>
    </w:sdt>
    <w:p>
      <w:pPr>
        <w:spacing w:after="0"/>
        <w:rPr>
          <w:rFonts w:ascii="Times New Roman" w:eastAsia="Times New Roman"/>
          <w:sz w:val="28"/>
        </w:rPr>
        <w:sectPr>
          <w:footerReference w:type="default" r:id="rId8"/>
          <w:type w:val="nextPage"/>
          <w:pgSz w:w="11910" w:h="16840"/>
          <w:pgMar w:top="1600" w:right="780" w:bottom="1884" w:left="1500" w:header="720" w:footer="720" w:gutter="0"/>
          <w:pgNumType w:start="4"/>
          <w:cols w:num="1" w:space="720"/>
          <w:titlePg w:val="0"/>
        </w:sectPr>
      </w:pP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0" w:name="_bookmark0"/>
      <w:bookmarkEnd w:id="0"/>
      <w:r>
        <w:rPr>
          <w:rFonts w:ascii="宋体" w:eastAsia="宋体" w:hAnsi="宋体" w:cs="宋体" w:hint="eastAsia"/>
          <w:sz w:val="28"/>
          <w:szCs w:val="28"/>
        </w:rPr>
        <w:t>一、命题原则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依据国家职业技能标准，注重基本技能，体现现代制</w:t>
      </w:r>
      <w:r>
        <w:rPr>
          <w:rFonts w:ascii="宋体" w:eastAsia="宋体" w:hAnsi="宋体" w:cs="宋体" w:hint="eastAsia"/>
          <w:spacing w:val="-8"/>
          <w:sz w:val="28"/>
          <w:szCs w:val="28"/>
        </w:rPr>
        <w:t>造技术，结合生产实际，考核参赛选手职业综合能力，并</w:t>
      </w:r>
      <w:r>
        <w:rPr>
          <w:rFonts w:ascii="宋体" w:eastAsia="宋体" w:hAnsi="宋体" w:cs="宋体" w:hint="eastAsia"/>
          <w:sz w:val="28"/>
          <w:szCs w:val="28"/>
        </w:rPr>
        <w:t>对技能人才培养起到示范指导作用。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1" w:name="_bookmark1"/>
      <w:bookmarkEnd w:id="1"/>
      <w:r>
        <w:rPr>
          <w:rFonts w:ascii="宋体" w:eastAsia="宋体" w:hAnsi="宋体" w:cs="宋体" w:hint="eastAsia"/>
          <w:sz w:val="28"/>
          <w:szCs w:val="28"/>
        </w:rPr>
        <w:t>二、竞赛内容、形式和成绩计算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2" w:name="_bookmark2"/>
      <w:bookmarkEnd w:id="2"/>
      <w:r>
        <w:rPr>
          <w:rFonts w:ascii="宋体" w:eastAsia="宋体" w:hAnsi="宋体" w:cs="宋体" w:hint="eastAsia"/>
          <w:sz w:val="28"/>
          <w:szCs w:val="28"/>
          <w:lang w:eastAsia="zh-CN"/>
        </w:rPr>
        <w:t>（一）</w:t>
      </w:r>
      <w:r>
        <w:rPr>
          <w:rFonts w:ascii="宋体" w:eastAsia="宋体" w:hAnsi="宋体" w:cs="宋体" w:hint="eastAsia"/>
          <w:sz w:val="28"/>
          <w:szCs w:val="28"/>
        </w:rPr>
        <w:t>竞赛内容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竞赛内容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仅</w:t>
      </w:r>
      <w:r>
        <w:rPr>
          <w:rFonts w:ascii="宋体" w:eastAsia="宋体" w:hAnsi="宋体" w:cs="宋体" w:hint="eastAsia"/>
          <w:sz w:val="28"/>
          <w:szCs w:val="28"/>
        </w:rPr>
        <w:t>实际操作比赛。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3" w:name="_bookmark3"/>
      <w:bookmarkEnd w:id="3"/>
      <w:r>
        <w:rPr>
          <w:rFonts w:ascii="宋体" w:eastAsia="宋体" w:hAnsi="宋体" w:cs="宋体" w:hint="eastAsia"/>
          <w:sz w:val="28"/>
          <w:szCs w:val="28"/>
          <w:lang w:eastAsia="zh-CN"/>
        </w:rPr>
        <w:t>（二）</w:t>
      </w:r>
      <w:r>
        <w:rPr>
          <w:rFonts w:ascii="宋体" w:eastAsia="宋体" w:hAnsi="宋体" w:cs="宋体" w:hint="eastAsia"/>
          <w:sz w:val="28"/>
          <w:szCs w:val="28"/>
        </w:rPr>
        <w:t>竞赛形式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竞赛采用个人竞赛形式。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4" w:name="_bookmark4"/>
      <w:bookmarkEnd w:id="4"/>
      <w:r>
        <w:rPr>
          <w:rFonts w:ascii="宋体" w:eastAsia="宋体" w:hAnsi="宋体" w:cs="宋体" w:hint="eastAsia"/>
          <w:sz w:val="28"/>
          <w:szCs w:val="28"/>
          <w:lang w:eastAsia="zh-CN"/>
        </w:rPr>
        <w:t>（三）</w:t>
      </w:r>
      <w:r>
        <w:rPr>
          <w:rFonts w:ascii="宋体" w:eastAsia="宋体" w:hAnsi="宋体" w:cs="宋体" w:hint="eastAsia"/>
          <w:sz w:val="28"/>
          <w:szCs w:val="28"/>
        </w:rPr>
        <w:t>成绩计算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1200" w:firstLine="560" w:lef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实际</w:t>
      </w:r>
      <w:r>
        <w:rPr>
          <w:rFonts w:ascii="宋体" w:eastAsia="宋体" w:hAnsi="宋体" w:cs="宋体" w:hint="eastAsia"/>
          <w:spacing w:val="-11"/>
          <w:sz w:val="28"/>
          <w:szCs w:val="28"/>
        </w:rPr>
        <w:t>操作</w:t>
      </w:r>
      <w:r>
        <w:rPr>
          <w:rFonts w:ascii="宋体" w:eastAsia="宋体" w:hAnsi="宋体" w:cs="宋体" w:hint="eastAsia"/>
          <w:spacing w:val="-11"/>
          <w:sz w:val="28"/>
          <w:szCs w:val="28"/>
          <w:lang w:eastAsia="zh-CN"/>
        </w:rPr>
        <w:t>两道样题，每题</w:t>
      </w:r>
      <w:r>
        <w:rPr>
          <w:rFonts w:ascii="宋体" w:eastAsia="宋体" w:hAnsi="宋体" w:cs="宋体" w:hint="eastAsia"/>
          <w:spacing w:val="-11"/>
          <w:sz w:val="28"/>
          <w:szCs w:val="28"/>
        </w:rPr>
        <w:t xml:space="preserve">比赛满分为 </w:t>
      </w:r>
      <w:r>
        <w:rPr>
          <w:rFonts w:ascii="宋体" w:eastAsia="宋体" w:hAnsi="宋体" w:cs="宋体" w:hint="eastAsia"/>
          <w:sz w:val="28"/>
          <w:szCs w:val="28"/>
        </w:rPr>
        <w:t>100</w:t>
      </w:r>
      <w:r>
        <w:rPr>
          <w:rFonts w:ascii="宋体" w:eastAsia="宋体" w:hAnsi="宋体" w:cs="宋体" w:hint="eastAsia"/>
          <w:spacing w:val="-20"/>
          <w:sz w:val="28"/>
          <w:szCs w:val="28"/>
        </w:rPr>
        <w:t xml:space="preserve"> 分，</w:t>
      </w:r>
      <w:r>
        <w:rPr>
          <w:rFonts w:ascii="宋体" w:eastAsia="宋体" w:hAnsi="宋体" w:cs="宋体" w:hint="eastAsia"/>
          <w:spacing w:val="-20"/>
          <w:sz w:val="28"/>
          <w:szCs w:val="28"/>
          <w:lang w:eastAsia="zh-CN"/>
        </w:rPr>
        <w:t>各</w:t>
      </w:r>
      <w:r>
        <w:rPr>
          <w:rFonts w:ascii="宋体" w:eastAsia="宋体" w:hAnsi="宋体" w:cs="宋体" w:hint="eastAsia"/>
          <w:spacing w:val="-20"/>
          <w:sz w:val="28"/>
          <w:szCs w:val="28"/>
        </w:rPr>
        <w:t xml:space="preserve">占总成绩的 </w:t>
      </w:r>
      <w:r>
        <w:rPr>
          <w:rFonts w:ascii="宋体" w:eastAsia="宋体" w:hAnsi="宋体" w:cs="宋体" w:hint="eastAsia"/>
          <w:spacing w:val="-20"/>
          <w:sz w:val="28"/>
          <w:szCs w:val="28"/>
          <w:lang w:val="en-US" w:eastAsia="zh-CN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0%。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5" w:name="_bookmark5"/>
      <w:bookmarkEnd w:id="5"/>
      <w:r>
        <w:rPr>
          <w:rFonts w:ascii="宋体" w:eastAsia="宋体" w:hAnsi="宋体" w:cs="宋体" w:hint="eastAsia"/>
          <w:sz w:val="28"/>
          <w:szCs w:val="28"/>
        </w:rPr>
        <w:t>三、赛项技术描述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sz w:val="28"/>
          <w:szCs w:val="28"/>
        </w:rPr>
      </w:pPr>
      <w:bookmarkStart w:id="6" w:name="_bookmark6"/>
      <w:bookmarkEnd w:id="6"/>
      <w:r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  <w:t>（一）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技能说明</w:t>
      </w:r>
    </w:p>
    <w:p>
      <w:pPr>
        <w:pStyle w:val="Heading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ascii="宋体" w:eastAsia="宋体" w:hAnsi="宋体" w:cs="宋体" w:hint="eastAsia"/>
          <w:b w:val="0"/>
          <w:bCs w:val="0"/>
          <w:sz w:val="28"/>
          <w:szCs w:val="28"/>
        </w:rPr>
      </w:pPr>
      <w:r>
        <w:rPr>
          <w:rFonts w:ascii="宋体" w:eastAsia="宋体" w:hAnsi="宋体" w:cs="宋体" w:hint="eastAsia"/>
          <w:b w:val="0"/>
          <w:bCs w:val="0"/>
          <w:spacing w:val="3"/>
          <w:w w:val="95"/>
          <w:sz w:val="28"/>
          <w:szCs w:val="28"/>
        </w:rPr>
        <w:t xml:space="preserve">砌筑主要在工业与民用建筑施工中进行，包括砌砖、 </w:t>
      </w:r>
      <w:r>
        <w:rPr>
          <w:rFonts w:ascii="宋体" w:eastAsia="宋体" w:hAnsi="宋体" w:cs="宋体" w:hint="eastAsia"/>
          <w:b w:val="0"/>
          <w:bCs w:val="0"/>
          <w:spacing w:val="-8"/>
          <w:sz w:val="28"/>
          <w:szCs w:val="28"/>
        </w:rPr>
        <w:t>石、砌块及轻质墙板等内容，通过上述相关工作，建造内外墙、隔板、烟囱和其他建筑物及构筑物。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560" w:lef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砌筑工通过技能培训后要能够从事以下工作：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1、</w:t>
      </w:r>
      <w:r>
        <w:rPr>
          <w:rFonts w:ascii="宋体" w:eastAsia="宋体" w:hAnsi="宋体" w:cs="宋体" w:hint="eastAsia"/>
          <w:sz w:val="28"/>
          <w:szCs w:val="28"/>
        </w:rPr>
        <w:t>选择和制备灰浆。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2、</w:t>
      </w:r>
      <w:r>
        <w:rPr>
          <w:rFonts w:ascii="宋体" w:eastAsia="宋体" w:hAnsi="宋体" w:cs="宋体" w:hint="eastAsia"/>
          <w:sz w:val="28"/>
          <w:szCs w:val="28"/>
        </w:rPr>
        <w:t>修建内、外墙和隔板。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3、</w:t>
      </w:r>
      <w:r>
        <w:rPr>
          <w:rFonts w:ascii="宋体" w:eastAsia="宋体" w:hAnsi="宋体" w:cs="宋体" w:hint="eastAsia"/>
          <w:sz w:val="28"/>
          <w:szCs w:val="28"/>
        </w:rPr>
        <w:t>在砌筑墙上安装预埋材料。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4、</w:t>
      </w:r>
      <w:r>
        <w:rPr>
          <w:rFonts w:ascii="宋体" w:eastAsia="宋体" w:hAnsi="宋体" w:cs="宋体" w:hint="eastAsia"/>
          <w:sz w:val="28"/>
          <w:szCs w:val="28"/>
        </w:rPr>
        <w:t>在工业建筑和民用建筑烟囱上砌筑弧形砖石。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5、</w:t>
      </w:r>
      <w:r>
        <w:rPr>
          <w:rFonts w:ascii="宋体" w:eastAsia="宋体" w:hAnsi="宋体" w:cs="宋体" w:hint="eastAsia"/>
          <w:sz w:val="28"/>
          <w:szCs w:val="28"/>
        </w:rPr>
        <w:t>在烟囱和烟窗等上贴耐火砖</w:t>
      </w:r>
      <w:r>
        <w:rPr>
          <w:rFonts w:cs="宋体" w:hint="eastAsia"/>
          <w:sz w:val="28"/>
          <w:szCs w:val="28"/>
          <w:lang w:eastAsia="zh-CN"/>
        </w:rPr>
        <w:t>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6、</w:t>
      </w:r>
      <w:r>
        <w:rPr>
          <w:rFonts w:ascii="宋体" w:eastAsia="宋体" w:hAnsi="宋体" w:cs="宋体" w:hint="eastAsia"/>
          <w:sz w:val="28"/>
          <w:szCs w:val="28"/>
        </w:rPr>
        <w:t>在窑炉和贮水池等上贴耐酸砖。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cs="宋体" w:hint="eastAsia"/>
          <w:sz w:val="28"/>
          <w:szCs w:val="28"/>
          <w:lang w:val="en-US" w:eastAsia="zh-CN"/>
        </w:rPr>
        <w:t>7、</w:t>
      </w:r>
      <w:r>
        <w:rPr>
          <w:rFonts w:ascii="宋体" w:eastAsia="宋体" w:hAnsi="宋体" w:cs="宋体" w:hint="eastAsia"/>
          <w:sz w:val="28"/>
          <w:szCs w:val="28"/>
        </w:rPr>
        <w:t>修建园墙、人行小道、拱门、露台和阳台。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  <w:lang w:val="en-US"/>
        </w:rPr>
      </w:pPr>
      <w:r>
        <w:rPr>
          <w:rFonts w:cs="宋体" w:hint="eastAsia"/>
          <w:sz w:val="28"/>
          <w:szCs w:val="28"/>
          <w:lang w:val="en-US" w:eastAsia="zh-CN"/>
        </w:rPr>
        <w:t>8、精确切割石头、砖、木料和其他高密度砌筑材料。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9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firstLine="560" w:rightChars="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137795</wp:posOffset>
            </wp:positionV>
            <wp:extent cx="408305" cy="20256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31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宋体" w:hint="eastAsia"/>
          <w:spacing w:val="-16"/>
          <w:sz w:val="28"/>
          <w:szCs w:val="28"/>
          <w:lang w:val="en-US" w:eastAsia="zh-CN"/>
        </w:rPr>
        <w:t>9、</w:t>
      </w:r>
      <w:r>
        <w:rPr>
          <w:rFonts w:ascii="宋体" w:eastAsia="宋体" w:hAnsi="宋体" w:cs="宋体" w:hint="eastAsia"/>
          <w:sz w:val="28"/>
          <w:szCs w:val="28"/>
        </w:rPr>
        <w:t>用螺栓、拉筋或金属网加固砌筑结构。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  <w:sectPr>
          <w:footerReference w:type="default" r:id="rId10"/>
          <w:pgSz w:w="11910" w:h="16840"/>
          <w:pgMar w:top="1580" w:right="780" w:bottom="1400" w:left="1500" w:header="0" w:footer="1121" w:gutter="0"/>
          <w:pgNumType w:start="5"/>
          <w:cols w:num="1" w:space="720"/>
        </w:sectPr>
      </w:pPr>
      <w:r>
        <w:rPr>
          <w:rFonts w:ascii="宋体" w:eastAsia="宋体" w:hAnsi="宋体" w:cs="宋体" w:hint="eastAsia"/>
          <w:spacing w:val="-5"/>
          <w:sz w:val="28"/>
          <w:szCs w:val="28"/>
        </w:rPr>
        <w:t>要成为一名成功的砌筑工需要忍耐力、集中精力、有</w:t>
      </w:r>
      <w:r>
        <w:rPr>
          <w:rFonts w:ascii="宋体" w:eastAsia="宋体" w:hAnsi="宋体" w:cs="宋体" w:hint="eastAsia"/>
          <w:spacing w:val="-7"/>
          <w:sz w:val="28"/>
          <w:szCs w:val="28"/>
        </w:rPr>
        <w:t>计划和合理安排时间、使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用不同手工技能、具有较强的砌筑技能、注重细节和整洁等。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</w:rPr>
      </w:pPr>
      <w:bookmarkStart w:id="7" w:name="_bookmark7"/>
      <w:bookmarkEnd w:id="7"/>
      <w:r>
        <w:rPr>
          <w:rFonts w:ascii="宋体" w:eastAsia="宋体" w:hAnsi="宋体" w:cs="宋体" w:hint="eastAsia"/>
          <w:b/>
          <w:bCs/>
          <w:spacing w:val="-6"/>
          <w:sz w:val="28"/>
          <w:szCs w:val="28"/>
        </w:rPr>
        <w:t>（二）能力要求与工作范围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本竞赛是对该技能的展示评估</w:t>
      </w:r>
      <w:r>
        <w:rPr>
          <w:rFonts w:cs="宋体" w:hint="eastAsia"/>
          <w:spacing w:val="-6"/>
          <w:sz w:val="28"/>
          <w:szCs w:val="28"/>
          <w:lang w:eastAsia="zh-CN"/>
        </w:rPr>
        <w:t>，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测试实践操作方面能力。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1、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能力要求细则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所需要的能力要求包括：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220" w:right="0" w:firstLine="280" w:leftChars="100" w:rightChars="0" w:firstLineChars="1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测量及放线。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220" w:right="0" w:firstLine="280" w:leftChars="100" w:rightChars="0" w:firstLineChars="1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铺设工程材料。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220" w:right="0" w:firstLine="280" w:leftChars="100" w:rightChars="0" w:firstLineChars="1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水平测量和垂直测量。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220" w:right="0" w:firstLine="280" w:leftChars="100" w:rightChars="0" w:firstLineChars="1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切割和精加工砖</w:t>
      </w: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220" w:right="0" w:firstLine="280" w:leftChars="100" w:rightChars="0" w:firstLineChars="1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按照设计图纸，使用规定的材料进行顺砖、丁砖、竖砌砖、侧砌砖的操作，砌筑梁托及装潢砖，并采用斜砌法砌墙。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（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6</w:t>
      </w: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）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完成砂浆勾缝。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（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7</w:t>
      </w: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）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清洁。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2、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理论知识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必须具备以下理论知识，但不进行直接测试。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会识图，并能够按照规定标准制图、画草图。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能够按 1:1 的比例进行放大样图。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设计知识。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材料和工艺知识。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砌筑知识。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560" w:righ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cs="宋体" w:hint="eastAsia"/>
          <w:spacing w:val="-6"/>
          <w:sz w:val="28"/>
          <w:szCs w:val="28"/>
          <w:lang w:val="en-US" w:eastAsia="zh-CN"/>
        </w:rPr>
        <w:t>3、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实践操作</w:t>
      </w:r>
      <w:r>
        <w:rPr>
          <w:rFonts w:cs="宋体" w:hint="eastAsia"/>
          <w:spacing w:val="-6"/>
          <w:sz w:val="28"/>
          <w:szCs w:val="28"/>
          <w:lang w:eastAsia="zh-CN"/>
        </w:rPr>
        <w:t>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</w:rPr>
        <w:t>竞赛项目为砌筑砖墙</w:t>
      </w: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，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测试技能为国内砌筑常见技能。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</w:rPr>
      </w:pPr>
      <w:bookmarkStart w:id="8" w:name="_bookmark8"/>
      <w:bookmarkEnd w:id="8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eastAsia="zh-CN"/>
        </w:rPr>
        <w:t>（三）</w:t>
      </w:r>
      <w:r>
        <w:rPr>
          <w:rFonts w:ascii="宋体" w:eastAsia="宋体" w:hAnsi="宋体" w:cs="宋体" w:hint="eastAsia"/>
          <w:b/>
          <w:bCs/>
          <w:spacing w:val="-6"/>
          <w:sz w:val="28"/>
          <w:szCs w:val="28"/>
        </w:rPr>
        <w:t>操作项目技术要求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1、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操作要求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  <w:sectPr>
          <w:footerReference w:type="default" r:id="rId11"/>
          <w:type w:val="nextPage"/>
          <w:pgSz w:w="11910" w:h="16840"/>
          <w:pgMar w:top="1580" w:right="780" w:bottom="1400" w:left="1500" w:header="0" w:footer="1121" w:gutter="0"/>
          <w:pgNumType w:start="6"/>
          <w:cols w:num="1" w:space="720"/>
          <w:titlePg w:val="0"/>
        </w:sectPr>
      </w:pP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（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1</w:t>
      </w:r>
      <w:r>
        <w:rPr>
          <w:rFonts w:ascii="宋体" w:eastAsia="宋体" w:hAnsi="宋体" w:cs="宋体" w:hint="eastAsia"/>
          <w:spacing w:val="-6"/>
          <w:sz w:val="28"/>
          <w:szCs w:val="28"/>
          <w:lang w:eastAsia="zh-CN"/>
        </w:rPr>
        <w:t>）</w:t>
      </w:r>
      <w:r>
        <w:rPr>
          <w:rFonts w:ascii="宋体" w:eastAsia="宋体" w:hAnsi="宋体" w:cs="宋体" w:hint="eastAsia"/>
          <w:spacing w:val="-6"/>
          <w:sz w:val="28"/>
          <w:szCs w:val="28"/>
        </w:rPr>
        <w:t>材料要求：采用主办方提供的砖及砂浆，但参赛者在砌筑过程中应进行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选砖，对非整砖进行精加工。可使用自带的砂浆添加剂对砂浆和易性进行微改良,砂浆如在 2 小时内未使用完，应申请更新供应砂浆。如提供的砖未提前浇水湿润不得使用。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2）组砌方法：操作中应严格按试题示意图中标注尺寸进行砌筑。应严格按试题示意图中的排版的组砌方式进行砌筑，必须上下错缝，内外搭接，不得另外采取其他组砌方法。墙体图案按图纸留置，并保持墙砌体垂直、平整。在操作中要按照规范操作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（3）砌体灰缝要求：砖砌体砂浆必须饱满，水平缝砂浆饱满度不低于 80%，严禁出现内外通缝、空缝和瞎缝现象。特殊情况例外。水平灰缝厚度、竖向立缝宽度应为 10mm， 最大不大于 12 ㎜、最小不小于 8 ㎜。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（4）勾缝要求：砌筑时应随砌体随勾缝，平凹缝勾缝深度5mm，深浅保持一致。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（5）清洁要求：清水墙面应保持清洁。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cs="宋体" w:hint="eastAsia"/>
          <w:spacing w:val="-6"/>
          <w:sz w:val="28"/>
          <w:szCs w:val="28"/>
          <w:lang w:val="en-US" w:eastAsia="zh-CN"/>
        </w:rPr>
        <w:t>2、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操作工艺要求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砌筑方法宜采用“三一”砌砖法，即一铲灰、一块砖、一挤揉进行操作，并随手将挤出的砂浆刮去。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cs="宋体" w:hint="eastAsia"/>
          <w:spacing w:val="-6"/>
          <w:sz w:val="28"/>
          <w:szCs w:val="28"/>
          <w:lang w:val="en-US" w:eastAsia="zh-CN"/>
        </w:rPr>
        <w:t>3、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操作流程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（1）抄平：砌筑前将基础找平，基底找平砂浆厚度不得超过 20mm，如出现超 20mm 才能找平的情况，及时与主办方现场裁判员联系处理。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（2）放线：按工位图纸进行放墨线或挂线定位。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（3）立皮数杆：根据砌体高度及砖和灰缝计算出每皮砖的厚度，并在皮数杆上标注砖皮数及预留洞口的标高位置。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（4）摆砖撂底：按照放好的墨线和选定的组砌形式，进行干砖试摆。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（5）盘角：角是保证墙面平整、垂直、水平灰缝均匀、标高准确。应做到“三皮一吊、五皮一靠”的规范要求操作。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  <w:sectPr>
          <w:footerReference w:type="default" r:id="rId12"/>
          <w:type w:val="nextPage"/>
          <w:pgSz w:w="11910" w:h="16840"/>
          <w:pgMar w:top="1580" w:right="780" w:bottom="1400" w:left="1500" w:header="0" w:footer="1121" w:gutter="0"/>
          <w:pgNumType w:start="7"/>
          <w:cols w:num="1" w:space="720"/>
          <w:titlePg w:val="0"/>
        </w:sectPr>
      </w:pPr>
      <w:r>
        <w:rPr>
          <w:rFonts w:cs="宋体" w:hint="eastAsia"/>
          <w:spacing w:val="-6"/>
          <w:sz w:val="28"/>
          <w:szCs w:val="28"/>
          <w:lang w:val="en-US" w:eastAsia="zh-CN"/>
        </w:rPr>
        <w:t>（6）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挂线：当两端的大角盘好后，即可挂线进行中断的砌筑，挂线时两端应拉紧，严禁出现中间“抗线”和“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 xml:space="preserve"> 塌腰现象”。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（7）砌砖操作：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840" w:leftChars="0" w:firstLineChars="3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1）选砖：将砖的条面和丁面棱角整齐的砖面用在墙体的正面上。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840" w:leftChars="0" w:firstLineChars="3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2）旋砖：将砖在手中进行旋转调整，将平整的面砌到正面墙上。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840" w:leftChars="0" w:firstLineChars="3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3）砌筑：线挂好拉紧后，砌砖必须跟线走。俗称“上根线、下跟棱、左右相跟要齐平</w:t>
      </w:r>
      <w:r>
        <w:rPr>
          <w:rFonts w:cs="宋体" w:hint="eastAsia"/>
          <w:spacing w:val="-6"/>
          <w:sz w:val="28"/>
          <w:szCs w:val="28"/>
          <w:lang w:val="en-US" w:eastAsia="zh-CN"/>
        </w:rPr>
        <w:t>”。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840" w:leftChars="0" w:firstLineChars="3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4）砌筑过程中要随砌随自检随修整，两端的大角确保垂直、平整。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840" w:leftChars="0" w:firstLineChars="3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5）墙面砌出凹凸现象时，严禁砸墙。如墙体偏差较大应拆掉重砌。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840" w:leftChars="0" w:firstLineChars="3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6）文明操作：铺灰挤浆时不要污染墙面，身体不要摩擦墙面，随时保证场地整洁有序。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9" w:name="_bookmark9"/>
      <w:bookmarkEnd w:id="9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四、裁判员和选手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0" w:name="_bookmark10"/>
      <w:bookmarkEnd w:id="10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（一）裁判长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裁判长负责领导全体裁判员做好裁判工作，掌握竞赛进程，解决竞赛过程中可能出现的各种问题，负责协调并确保竞赛顺利进行，取得圆满成功。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1" w:name="_bookmark11"/>
      <w:bookmarkEnd w:id="11"/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（二）</w:t>
      </w: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裁判员的条件和组成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原则上由人社厅推荐或在各市代表队教练员中产生并经培训(赛前培训)后组成裁判组，认真负责做好裁判工作。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2" w:name="_bookmark12"/>
      <w:bookmarkEnd w:id="12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（三）参赛选手的条件和要求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按组委会统一要求。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3" w:name="_bookmark13"/>
      <w:bookmarkEnd w:id="13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五、试题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本次选拔赛试题及评分规则与全国技能大赛接轨。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4" w:name="_bookmark14"/>
      <w:bookmarkEnd w:id="14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（一）命题原则及内容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cs="宋体" w:hint="eastAsia"/>
          <w:spacing w:val="-6"/>
          <w:sz w:val="28"/>
          <w:szCs w:val="28"/>
          <w:lang w:val="en-US" w:eastAsia="zh-CN"/>
        </w:rPr>
        <w:t>1、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选拔赛竞赛命题原则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  <w:sectPr>
          <w:footerReference w:type="default" r:id="rId13"/>
          <w:type w:val="nextPage"/>
          <w:pgSz w:w="11910" w:h="16840"/>
          <w:pgMar w:top="1580" w:right="780" w:bottom="1400" w:left="1500" w:header="0" w:footer="1121" w:gutter="0"/>
          <w:pgNumType w:start="8"/>
          <w:cols w:num="1" w:space="720"/>
          <w:titlePg w:val="0"/>
        </w:sect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竞赛题目涵盖世界技能大赛的特点、规范和标准，体现世界技能大赛的评分原则和方法，同时结合国内实际应用和竞赛场地与设备情况命题。竞赛暂只公布实际操作样题。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依据全国技能大赛砌筑的技术要求和行业标准，注重基本技能和专业化操作，强调质量和精度，注重操作过程和质量控制，体现最新技术，结合行业实际，考核职业综合能力，并对技能人才培养起到示范指导作用，考核选手的学习能力、理解能力、实践操作能力和职业素养等，引领和推动国内砌筑技能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cs="宋体" w:hint="eastAsia"/>
          <w:spacing w:val="-6"/>
          <w:sz w:val="28"/>
          <w:szCs w:val="28"/>
          <w:lang w:val="en-US" w:eastAsia="zh-CN"/>
        </w:rPr>
        <w:t>2、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命题主要内容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本样题可作为各市的预选赛试题：决赛将使用国家标准砖240*115*53 ㎜。样题为 240*115*53 ㎜的水泥砖</w:t>
      </w:r>
      <w:r>
        <w:rPr>
          <w:rFonts w:cs="宋体" w:hint="eastAsia"/>
          <w:spacing w:val="-6"/>
          <w:sz w:val="28"/>
          <w:szCs w:val="28"/>
          <w:lang w:val="en-US" w:eastAsia="zh-CN"/>
        </w:rPr>
        <w:t>（蒸压灰砂砖）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，</w:t>
      </w:r>
      <w:r>
        <w:rPr>
          <w:rFonts w:cs="宋体" w:hint="eastAsia"/>
          <w:spacing w:val="-6"/>
          <w:sz w:val="28"/>
          <w:szCs w:val="28"/>
          <w:lang w:val="en-US" w:eastAsia="zh-CN"/>
        </w:rPr>
        <w:t>样题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详见附图。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5" w:name="_bookmark15"/>
      <w:bookmarkEnd w:id="15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（二）命题要求及</w:t>
      </w:r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选拔</w:t>
      </w: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赛试题的产生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1.命题要求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本次比赛赛制为期 3天，共 15小时30分钟。比赛第一天上午1小时切割，下午3小时砌筑，第二天比赛上午3小时，下午3小时。第三天上午3小时，下午2小时30分钟。三个工位共用一台切割机，分批切割，每人先进行1小时放样切割</w:t>
      </w:r>
      <w:r>
        <w:rPr>
          <w:rFonts w:cs="宋体" w:hint="eastAsia"/>
          <w:spacing w:val="-6"/>
          <w:sz w:val="28"/>
          <w:szCs w:val="28"/>
          <w:lang w:val="en-US" w:eastAsia="zh-CN"/>
        </w:rPr>
        <w:t>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2.</w:t>
      </w:r>
      <w:r>
        <w:rPr>
          <w:rFonts w:cs="宋体" w:hint="eastAsia"/>
          <w:spacing w:val="-6"/>
          <w:sz w:val="28"/>
          <w:szCs w:val="28"/>
          <w:lang w:val="en-US" w:eastAsia="zh-CN"/>
        </w:rPr>
        <w:t>选拔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赛试题的产生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本次</w:t>
      </w:r>
      <w:r>
        <w:rPr>
          <w:rFonts w:cs="宋体" w:hint="eastAsia"/>
          <w:spacing w:val="-6"/>
          <w:sz w:val="28"/>
          <w:szCs w:val="28"/>
          <w:lang w:val="en-US" w:eastAsia="zh-CN"/>
        </w:rPr>
        <w:t>选拔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赛</w:t>
      </w:r>
      <w:r>
        <w:rPr>
          <w:rFonts w:cs="宋体" w:hint="eastAsia"/>
          <w:spacing w:val="-6"/>
          <w:sz w:val="28"/>
          <w:szCs w:val="28"/>
          <w:lang w:val="en-US" w:eastAsia="zh-CN"/>
        </w:rPr>
        <w:t>试题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赛前一天修改 30﹪后公布。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1652" w:firstLineChars="59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第二届</w:t>
      </w:r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全</w:t>
      </w: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国</w:t>
      </w:r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技能大赛国</w:t>
      </w: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赛精选</w:t>
      </w:r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项目</w:t>
      </w: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江苏选拔赛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（样题</w:t>
      </w:r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）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详见附件</w:t>
      </w:r>
      <w:r>
        <w:rPr>
          <w:rFonts w:cs="宋体" w:hint="eastAsia"/>
          <w:b/>
          <w:bCs/>
          <w:spacing w:val="-6"/>
          <w:sz w:val="28"/>
          <w:szCs w:val="28"/>
          <w:lang w:val="en-US" w:eastAsia="zh-CN"/>
        </w:rPr>
        <w:t>一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3920" w:leftChars="0" w:firstLineChars="14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  <w:sectPr>
          <w:footerReference w:type="default" r:id="rId14"/>
          <w:type w:val="nextPage"/>
          <w:pgSz w:w="11910" w:h="16840"/>
          <w:pgMar w:top="1580" w:right="780" w:bottom="1400" w:left="1500" w:header="0" w:footer="1121" w:gutter="0"/>
          <w:pgNumType w:start="9"/>
          <w:cols w:num="1" w:space="720"/>
          <w:titlePg w:val="0"/>
        </w:sect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6" w:name="_bookmark16"/>
      <w:bookmarkEnd w:id="16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六、成绩评判的标准及要求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7" w:name="_bookmark17"/>
      <w:bookmarkEnd w:id="17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（一）分制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竞赛采用 100 分制评分。分主观与客观评分，其中主观分共 20 分，客观分 80 分，具体分值分布见评分汇总表。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8" w:name="_bookmark18"/>
      <w:bookmarkEnd w:id="18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（二）评分细则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（1）客观评分项包括尺寸、水平、垂直、对齐、角度、细部等方面，在预定的测量位置进行测量，每项都以零为标准，每 1mm 误差将扣一定分值，各项具体扣分标准见评分表。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（2）主观评分项包括连接、成品等方面，主要对砂浆饱满度、有无孔洞、组砌方式、非整砖切割线平直度、灰缝平直及宽厚、清洁和成品外观、抹灰质量等进行评测， 每增加一个误差，扣除一部分分数。砂浆饱满度在比赛过程中裁判员予以观察，必须达到 80%，未达到 80%的将扣除一定的分值。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（3）客观评分测量位置图（评分点）及具体评分方案将在评分前予以公布</w:t>
      </w:r>
      <w:r>
        <w:rPr>
          <w:rFonts w:cs="宋体" w:hint="eastAsia"/>
          <w:spacing w:val="-6"/>
          <w:sz w:val="28"/>
          <w:szCs w:val="28"/>
          <w:lang w:val="en-US" w:eastAsia="zh-CN"/>
        </w:rPr>
        <w:t>，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从中现场抽签决定具体打分点。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裁判员（每个市）由人社厅及建筑业协会推荐并经培训后组成裁判组。将裁判员分为评价评分组和测量评分组。评价评分的裁判只评评价分，对同一作品进行评价评分时采用 0、1、2、3 分四个等级，采用回避的原则打分（即4 名主观分裁判评判除本市选手以外选手作品的分</w:t>
      </w:r>
      <w:r>
        <w:rPr>
          <w:rFonts w:cs="宋体" w:hint="eastAsia"/>
          <w:spacing w:val="-6"/>
          <w:sz w:val="28"/>
          <w:szCs w:val="28"/>
          <w:lang w:val="en-US" w:eastAsia="zh-CN"/>
        </w:rPr>
        <w:t>）。</w:t>
      </w: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测量评分的裁判只评测量分，也采用主动回避的原则（即遇到本市的选手作品评分时，主动不参与测量）。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b/>
          <w:bCs/>
          <w:spacing w:val="-6"/>
          <w:sz w:val="28"/>
          <w:szCs w:val="28"/>
          <w:lang w:val="en-US"/>
        </w:rPr>
      </w:pPr>
      <w:bookmarkStart w:id="19" w:name="_bookmark19"/>
      <w:bookmarkEnd w:id="19"/>
      <w:r>
        <w:rPr>
          <w:rFonts w:ascii="宋体" w:eastAsia="宋体" w:hAnsi="宋体" w:cs="宋体" w:hint="eastAsia"/>
          <w:b/>
          <w:bCs/>
          <w:spacing w:val="-6"/>
          <w:sz w:val="28"/>
          <w:szCs w:val="28"/>
          <w:lang w:val="en-US" w:eastAsia="zh-CN"/>
        </w:rPr>
        <w:t>（三）比赛要求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（1）参赛选手须服从赛区组委会纪律、环境、健康、安全等要求，拒不服从者，将视情况严重程度取消竞赛资格。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leftChars="0" w:firstLineChars="200"/>
        <w:jc w:val="left"/>
        <w:textAlignment w:val="auto"/>
        <w:rPr>
          <w:rFonts w:hint="eastAsia"/>
          <w:spacing w:val="-6"/>
          <w:sz w:val="28"/>
          <w:szCs w:val="28"/>
          <w:lang w:val="en-US"/>
        </w:rPr>
        <w:sectPr>
          <w:footerReference w:type="default" r:id="rId15"/>
          <w:type w:val="nextPage"/>
          <w:pgSz w:w="11910" w:h="16840"/>
          <w:pgMar w:top="1580" w:right="780" w:bottom="1400" w:left="1500" w:header="0" w:footer="1121" w:gutter="0"/>
          <w:pgNumType w:start="10"/>
          <w:cols w:num="1" w:space="720"/>
          <w:titlePg w:val="0"/>
        </w:sectPr>
      </w:pPr>
      <w:r>
        <w:rPr>
          <w:rFonts w:ascii="宋体" w:eastAsia="宋体" w:hAnsi="宋体" w:cs="宋体" w:hint="eastAsia"/>
          <w:spacing w:val="-6"/>
          <w:sz w:val="28"/>
          <w:szCs w:val="28"/>
          <w:lang w:val="en-US" w:eastAsia="zh-CN"/>
        </w:rPr>
        <w:t>（2）裁判员裁判在执裁过程中，应公平、公正、公开执裁，不得出现相互串通打分，一经发现有相互串通者，将立即取消裁判资格，对其进行的评分作无效处理。</w:t>
      </w:r>
    </w:p>
    <w:tbl>
      <w:tblPr>
        <w:tblStyle w:val="TableNormal"/>
        <w:tblpPr w:leftFromText="180" w:rightFromText="180" w:vertAnchor="text" w:horzAnchor="page" w:tblpX="1660" w:tblpY="286"/>
        <w:tblOverlap w:val="never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1824"/>
        <w:gridCol w:w="970"/>
        <w:gridCol w:w="1817"/>
        <w:gridCol w:w="1585"/>
        <w:gridCol w:w="1179"/>
      </w:tblGrid>
      <w:tr>
        <w:tblPrEx>
          <w:tblW w:w="0" w:type="auto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/>
        </w:trPr>
        <w:tc>
          <w:tcPr>
            <w:tcW w:w="8950" w:type="dxa"/>
            <w:gridSpan w:val="6"/>
          </w:tcPr>
          <w:p>
            <w:pPr>
              <w:pStyle w:val="TableParagraph"/>
              <w:spacing w:line="577" w:lineRule="exact"/>
              <w:ind w:left="2850" w:right="2849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操作技能检查评分标准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/>
        </w:trPr>
        <w:tc>
          <w:tcPr>
            <w:tcW w:w="1575" w:type="dxa"/>
          </w:tcPr>
          <w:p>
            <w:pPr>
              <w:pStyle w:val="TableParagraph"/>
              <w:spacing w:before="100"/>
              <w:ind w:left="125" w:right="119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标准编号</w:t>
            </w:r>
          </w:p>
        </w:tc>
        <w:tc>
          <w:tcPr>
            <w:tcW w:w="1824" w:type="dxa"/>
          </w:tcPr>
          <w:p>
            <w:pPr>
              <w:pStyle w:val="TableParagraph"/>
              <w:spacing w:before="100"/>
              <w:ind w:left="92" w:right="7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内容</w:t>
            </w:r>
          </w:p>
        </w:tc>
        <w:tc>
          <w:tcPr>
            <w:tcW w:w="4372" w:type="dxa"/>
            <w:gridSpan w:val="3"/>
          </w:tcPr>
          <w:p>
            <w:pPr>
              <w:pStyle w:val="TableParagraph"/>
              <w:spacing w:before="100"/>
              <w:ind w:left="1846" w:right="18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分数</w:t>
            </w:r>
          </w:p>
        </w:tc>
        <w:tc>
          <w:tcPr>
            <w:tcW w:w="1179" w:type="dxa"/>
          </w:tcPr>
          <w:p>
            <w:pPr>
              <w:pStyle w:val="TableParagraph"/>
              <w:spacing w:before="100"/>
              <w:ind w:left="107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实得分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/>
        </w:trPr>
        <w:tc>
          <w:tcPr>
            <w:tcW w:w="157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70" w:type="dxa"/>
          </w:tcPr>
          <w:p>
            <w:pPr>
              <w:pStyle w:val="TableParagraph"/>
              <w:spacing w:before="97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客观</w:t>
            </w:r>
          </w:p>
          <w:p>
            <w:pPr>
              <w:pStyle w:val="TableParagraph"/>
              <w:spacing w:before="171"/>
              <w:ind w:left="6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分</w:t>
            </w:r>
          </w:p>
        </w:tc>
        <w:tc>
          <w:tcPr>
            <w:tcW w:w="1817" w:type="dxa"/>
          </w:tcPr>
          <w:p>
            <w:pPr>
              <w:pStyle w:val="TableParagraph"/>
              <w:spacing w:before="3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406" w:right="40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主观分</w:t>
            </w:r>
          </w:p>
        </w:tc>
        <w:tc>
          <w:tcPr>
            <w:tcW w:w="1585" w:type="dxa"/>
          </w:tcPr>
          <w:p>
            <w:pPr>
              <w:pStyle w:val="TableParagraph"/>
              <w:spacing w:before="3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总分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/>
        </w:trPr>
        <w:tc>
          <w:tcPr>
            <w:tcW w:w="1575" w:type="dxa"/>
          </w:tcPr>
          <w:p>
            <w:pPr>
              <w:pStyle w:val="TableParagraph"/>
              <w:spacing w:before="97"/>
              <w:ind w:left="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A</w:t>
            </w:r>
          </w:p>
        </w:tc>
        <w:tc>
          <w:tcPr>
            <w:tcW w:w="1824" w:type="dxa"/>
          </w:tcPr>
          <w:p>
            <w:pPr>
              <w:pStyle w:val="TableParagraph"/>
              <w:spacing w:before="97"/>
              <w:ind w:left="92" w:right="7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尺寸</w:t>
            </w:r>
          </w:p>
        </w:tc>
        <w:tc>
          <w:tcPr>
            <w:tcW w:w="970" w:type="dxa"/>
          </w:tcPr>
          <w:p>
            <w:pPr>
              <w:pStyle w:val="TableParagraph"/>
              <w:spacing w:before="157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81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5" w:type="dxa"/>
          </w:tcPr>
          <w:p>
            <w:pPr>
              <w:pStyle w:val="TableParagraph"/>
              <w:spacing w:before="157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/>
        </w:trPr>
        <w:tc>
          <w:tcPr>
            <w:tcW w:w="1575" w:type="dxa"/>
          </w:tcPr>
          <w:p>
            <w:pPr>
              <w:pStyle w:val="TableParagraph"/>
              <w:spacing w:before="99"/>
              <w:ind w:left="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B</w:t>
            </w:r>
          </w:p>
        </w:tc>
        <w:tc>
          <w:tcPr>
            <w:tcW w:w="1824" w:type="dxa"/>
          </w:tcPr>
          <w:p>
            <w:pPr>
              <w:pStyle w:val="TableParagraph"/>
              <w:spacing w:before="99"/>
              <w:ind w:left="92" w:right="7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水平</w:t>
            </w:r>
          </w:p>
        </w:tc>
        <w:tc>
          <w:tcPr>
            <w:tcW w:w="970" w:type="dxa"/>
          </w:tcPr>
          <w:p>
            <w:pPr>
              <w:pStyle w:val="TableParagraph"/>
              <w:spacing w:before="159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81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5" w:type="dxa"/>
          </w:tcPr>
          <w:p>
            <w:pPr>
              <w:pStyle w:val="TableParagraph"/>
              <w:spacing w:before="159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/>
        </w:trPr>
        <w:tc>
          <w:tcPr>
            <w:tcW w:w="1575" w:type="dxa"/>
          </w:tcPr>
          <w:p>
            <w:pPr>
              <w:pStyle w:val="TableParagraph"/>
              <w:spacing w:before="100"/>
              <w:ind w:left="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C</w:t>
            </w:r>
          </w:p>
        </w:tc>
        <w:tc>
          <w:tcPr>
            <w:tcW w:w="1824" w:type="dxa"/>
          </w:tcPr>
          <w:p>
            <w:pPr>
              <w:pStyle w:val="TableParagraph"/>
              <w:spacing w:before="100"/>
              <w:ind w:left="90" w:right="8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垂直度</w:t>
            </w:r>
          </w:p>
        </w:tc>
        <w:tc>
          <w:tcPr>
            <w:tcW w:w="970" w:type="dxa"/>
          </w:tcPr>
          <w:p>
            <w:pPr>
              <w:pStyle w:val="TableParagraph"/>
              <w:spacing w:before="160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81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5" w:type="dxa"/>
          </w:tcPr>
          <w:p>
            <w:pPr>
              <w:pStyle w:val="TableParagraph"/>
              <w:spacing w:before="160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/>
        </w:trPr>
        <w:tc>
          <w:tcPr>
            <w:tcW w:w="1575" w:type="dxa"/>
          </w:tcPr>
          <w:p>
            <w:pPr>
              <w:pStyle w:val="TableParagraph"/>
              <w:spacing w:before="3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D</w:t>
            </w:r>
          </w:p>
        </w:tc>
        <w:tc>
          <w:tcPr>
            <w:tcW w:w="1824" w:type="dxa"/>
          </w:tcPr>
          <w:p>
            <w:pPr>
              <w:pStyle w:val="TableParagraph"/>
              <w:spacing w:before="97"/>
              <w:ind w:left="92" w:right="8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对齐（平整</w:t>
            </w:r>
          </w:p>
          <w:p>
            <w:pPr>
              <w:pStyle w:val="TableParagraph"/>
              <w:spacing w:before="171"/>
              <w:ind w:left="92" w:right="7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度）</w:t>
            </w:r>
          </w:p>
        </w:tc>
        <w:tc>
          <w:tcPr>
            <w:tcW w:w="970" w:type="dxa"/>
          </w:tcPr>
          <w:p>
            <w:pPr>
              <w:pStyle w:val="TableParagraph"/>
              <w:spacing w:before="12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81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5" w:type="dxa"/>
          </w:tcPr>
          <w:p>
            <w:pPr>
              <w:pStyle w:val="TableParagraph"/>
              <w:spacing w:before="12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/>
        </w:trPr>
        <w:tc>
          <w:tcPr>
            <w:tcW w:w="1575" w:type="dxa"/>
          </w:tcPr>
          <w:p>
            <w:pPr>
              <w:pStyle w:val="TableParagraph"/>
              <w:spacing w:before="97"/>
              <w:ind w:left="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E</w:t>
            </w:r>
          </w:p>
        </w:tc>
        <w:tc>
          <w:tcPr>
            <w:tcW w:w="1824" w:type="dxa"/>
          </w:tcPr>
          <w:p>
            <w:pPr>
              <w:pStyle w:val="TableParagraph"/>
              <w:spacing w:before="97"/>
              <w:ind w:left="92" w:right="7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细部</w:t>
            </w:r>
          </w:p>
        </w:tc>
        <w:tc>
          <w:tcPr>
            <w:tcW w:w="970" w:type="dxa"/>
          </w:tcPr>
          <w:p>
            <w:pPr>
              <w:pStyle w:val="TableParagraph"/>
              <w:spacing w:before="157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81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5" w:type="dxa"/>
          </w:tcPr>
          <w:p>
            <w:pPr>
              <w:pStyle w:val="TableParagraph"/>
              <w:spacing w:before="157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/>
        </w:trPr>
        <w:tc>
          <w:tcPr>
            <w:tcW w:w="1575" w:type="dxa"/>
          </w:tcPr>
          <w:p>
            <w:pPr>
              <w:pStyle w:val="TableParagraph"/>
              <w:spacing w:before="99"/>
              <w:ind w:left="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F</w:t>
            </w:r>
          </w:p>
        </w:tc>
        <w:tc>
          <w:tcPr>
            <w:tcW w:w="1824" w:type="dxa"/>
          </w:tcPr>
          <w:p>
            <w:pPr>
              <w:pStyle w:val="TableParagraph"/>
              <w:spacing w:before="99"/>
              <w:ind w:left="92" w:right="8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连接及成品</w:t>
            </w:r>
          </w:p>
        </w:tc>
        <w:tc>
          <w:tcPr>
            <w:tcW w:w="970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17" w:type="dxa"/>
          </w:tcPr>
          <w:p>
            <w:pPr>
              <w:pStyle w:val="TableParagraph"/>
              <w:spacing w:before="159"/>
              <w:ind w:left="406" w:right="39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585" w:type="dxa"/>
          </w:tcPr>
          <w:p>
            <w:pPr>
              <w:pStyle w:val="TableParagraph"/>
              <w:spacing w:before="159"/>
              <w:ind w:left="454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/>
        </w:trPr>
        <w:tc>
          <w:tcPr>
            <w:tcW w:w="1575" w:type="dxa"/>
          </w:tcPr>
          <w:p>
            <w:pPr>
              <w:pStyle w:val="TableParagraph"/>
              <w:spacing w:before="159"/>
              <w:ind w:left="125" w:right="117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总分</w:t>
            </w:r>
          </w:p>
        </w:tc>
        <w:tc>
          <w:tcPr>
            <w:tcW w:w="1824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70" w:type="dxa"/>
          </w:tcPr>
          <w:p>
            <w:pPr>
              <w:pStyle w:val="TableParagraph"/>
              <w:spacing w:before="159"/>
              <w:ind w:left="144" w:right="13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80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9"/>
              <w:ind w:left="406" w:right="395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585" w:type="dxa"/>
          </w:tcPr>
          <w:p>
            <w:pPr>
              <w:pStyle w:val="TableParagraph"/>
              <w:spacing w:before="159"/>
              <w:ind w:left="451" w:right="4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100</w:t>
            </w:r>
          </w:p>
        </w:tc>
        <w:tc>
          <w:tcPr>
            <w:tcW w:w="1179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pStyle w:val="BodyText"/>
        <w:spacing w:before="6" w:after="1"/>
        <w:ind w:left="0" w:firstLine="0"/>
        <w:rPr>
          <w:rFonts w:hint="eastAsia"/>
          <w:sz w:val="28"/>
          <w:szCs w:val="28"/>
        </w:rPr>
      </w:pPr>
    </w:p>
    <w:p>
      <w:pPr>
        <w:spacing w:after="0"/>
        <w:rPr>
          <w:rFonts w:hint="eastAsia"/>
          <w:sz w:val="28"/>
          <w:szCs w:val="28"/>
        </w:rPr>
        <w:sectPr>
          <w:footerReference w:type="default" r:id="rId16"/>
          <w:type w:val="nextPage"/>
          <w:pgSz w:w="11910" w:h="16840"/>
          <w:pgMar w:top="1580" w:right="780" w:bottom="1400" w:left="1500" w:header="0" w:footer="1121" w:gutter="0"/>
          <w:pgNumType w:start="11"/>
          <w:cols w:num="1" w:space="720"/>
          <w:titlePg w:val="0"/>
        </w:sectPr>
      </w:pPr>
    </w:p>
    <w:p>
      <w:pPr>
        <w:pStyle w:val="BodyText"/>
        <w:ind w:left="0" w:firstLine="0"/>
        <w:rPr>
          <w:rFonts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1126490</wp:posOffset>
                </wp:positionH>
                <wp:positionV relativeFrom="page">
                  <wp:posOffset>1873885</wp:posOffset>
                </wp:positionV>
                <wp:extent cx="825500" cy="1103630"/>
                <wp:effectExtent l="3810" t="2540" r="8890" b="177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25500" cy="1103630"/>
                        </a:xfrm>
                        <a:prstGeom prst="line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5" style="mso-position-horizontal-relative:page;mso-position-vertical-relative:page;mso-wrap-distance-bottom:0;mso-wrap-distance-left:9pt;mso-wrap-distance-right:9pt;mso-wrap-distance-top:0;position:absolute;v-text-anchor:top;z-index:-251657216" from="88.7pt,147.55pt" to="153.7pt,234.45pt" fillcolor="this" stroked="t" strokecolor="black" strokeweight="0.72pt"/>
            </w:pict>
          </mc:Fallback>
        </mc:AlternateContent>
      </w:r>
    </w:p>
    <w:p>
      <w:pPr>
        <w:pStyle w:val="BodyText"/>
        <w:ind w:left="0" w:firstLine="0"/>
        <w:rPr>
          <w:rFonts w:hint="eastAsia"/>
          <w:sz w:val="28"/>
          <w:szCs w:val="28"/>
        </w:rPr>
      </w:pPr>
    </w:p>
    <w:p>
      <w:pPr>
        <w:pStyle w:val="BodyText"/>
        <w:ind w:left="0" w:firstLine="0"/>
        <w:rPr>
          <w:rFonts w:hint="eastAsia"/>
          <w:sz w:val="28"/>
          <w:szCs w:val="28"/>
        </w:rPr>
      </w:pPr>
    </w:p>
    <w:tbl>
      <w:tblPr>
        <w:tblStyle w:val="TableNormal"/>
        <w:tblpPr w:leftFromText="180" w:rightFromText="180" w:vertAnchor="text" w:horzAnchor="page" w:tblpX="1748" w:tblpY="317"/>
        <w:tblOverlap w:val="never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7"/>
        <w:gridCol w:w="672"/>
        <w:gridCol w:w="715"/>
        <w:gridCol w:w="1836"/>
        <w:gridCol w:w="2412"/>
        <w:gridCol w:w="707"/>
        <w:gridCol w:w="707"/>
        <w:gridCol w:w="635"/>
      </w:tblGrid>
      <w:tr>
        <w:tblPrEx>
          <w:tblW w:w="0" w:type="auto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/>
        </w:trPr>
        <w:tc>
          <w:tcPr>
            <w:tcW w:w="1327" w:type="dxa"/>
          </w:tcPr>
          <w:p>
            <w:pPr>
              <w:pStyle w:val="TableParagraph"/>
              <w:spacing w:before="154" w:line="187" w:lineRule="auto"/>
              <w:ind w:left="813" w:right="128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标准</w:t>
            </w:r>
          </w:p>
          <w:p>
            <w:pPr>
              <w:pStyle w:val="TableParagraph"/>
              <w:spacing w:before="39" w:line="187" w:lineRule="auto"/>
              <w:ind w:left="230" w:right="712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编号</w:t>
            </w:r>
          </w:p>
        </w:tc>
        <w:tc>
          <w:tcPr>
            <w:tcW w:w="1387" w:type="dxa"/>
            <w:gridSpan w:val="2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before="11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401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内容</w:t>
            </w:r>
          </w:p>
        </w:tc>
        <w:tc>
          <w:tcPr>
            <w:tcW w:w="1836" w:type="dxa"/>
          </w:tcPr>
          <w:p>
            <w:pPr>
              <w:pStyle w:val="TableParagraph"/>
              <w:spacing w:before="10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line="338" w:lineRule="auto"/>
              <w:ind w:left="600" w:right="102" w:hanging="480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要求或公称尺寸</w:t>
            </w:r>
          </w:p>
        </w:tc>
        <w:tc>
          <w:tcPr>
            <w:tcW w:w="2412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before="11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69" w:right="57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评分标准</w:t>
            </w:r>
          </w:p>
        </w:tc>
        <w:tc>
          <w:tcPr>
            <w:tcW w:w="707" w:type="dxa"/>
          </w:tcPr>
          <w:p>
            <w:pPr>
              <w:pStyle w:val="TableParagraph"/>
              <w:spacing w:before="10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line="338" w:lineRule="auto"/>
              <w:ind w:left="35" w:right="16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最大分值</w:t>
            </w:r>
          </w:p>
        </w:tc>
        <w:tc>
          <w:tcPr>
            <w:tcW w:w="707" w:type="dxa"/>
          </w:tcPr>
          <w:p>
            <w:pPr>
              <w:pStyle w:val="TableParagraph"/>
              <w:spacing w:before="10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line="338" w:lineRule="auto"/>
              <w:ind w:left="197" w:right="15" w:hanging="161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实测值</w:t>
            </w:r>
          </w:p>
        </w:tc>
        <w:tc>
          <w:tcPr>
            <w:tcW w:w="635" w:type="dxa"/>
          </w:tcPr>
          <w:p>
            <w:pPr>
              <w:pStyle w:val="TableParagraph"/>
              <w:spacing w:before="99" w:line="338" w:lineRule="auto"/>
              <w:ind w:left="164" w:right="13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得分</w:t>
            </w:r>
          </w:p>
          <w:p>
            <w:pPr>
              <w:pStyle w:val="TableParagraph"/>
              <w:spacing w:before="3"/>
              <w:ind w:left="164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值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/>
        </w:trPr>
        <w:tc>
          <w:tcPr>
            <w:tcW w:w="1327" w:type="dxa"/>
            <w:vMerge w:val="restart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before="10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A</w:t>
            </w:r>
          </w:p>
        </w:tc>
        <w:tc>
          <w:tcPr>
            <w:tcW w:w="672" w:type="dxa"/>
            <w:vMerge w:val="restart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spacing w:before="10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43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尺寸</w:t>
            </w:r>
          </w:p>
        </w:tc>
        <w:tc>
          <w:tcPr>
            <w:tcW w:w="715" w:type="dxa"/>
          </w:tcPr>
          <w:p>
            <w:pPr>
              <w:pStyle w:val="TableParagraph"/>
              <w:spacing w:before="97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1.1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7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7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98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1.2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8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8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97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1.3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7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7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99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1.4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9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9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00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1.5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100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00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00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1.6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100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00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97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1.7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7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7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98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1.8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8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8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97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1.9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7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7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40"/>
              <w:ind w:left="20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1.10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99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9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/>
        </w:trPr>
        <w:tc>
          <w:tcPr>
            <w:tcW w:w="1327" w:type="dxa"/>
            <w:vMerge w:val="restart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B</w:t>
            </w:r>
          </w:p>
        </w:tc>
        <w:tc>
          <w:tcPr>
            <w:tcW w:w="672" w:type="dxa"/>
            <w:vMerge w:val="restart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43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水平</w:t>
            </w:r>
          </w:p>
        </w:tc>
        <w:tc>
          <w:tcPr>
            <w:tcW w:w="715" w:type="dxa"/>
          </w:tcPr>
          <w:p>
            <w:pPr>
              <w:pStyle w:val="TableParagraph"/>
              <w:spacing w:before="114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2.1</w:t>
            </w:r>
          </w:p>
        </w:tc>
        <w:tc>
          <w:tcPr>
            <w:tcW w:w="1836" w:type="dxa"/>
          </w:tcPr>
          <w:p>
            <w:pPr>
              <w:pStyle w:val="TableParagraph"/>
              <w:spacing w:before="114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97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14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31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2.2</w:t>
            </w:r>
          </w:p>
        </w:tc>
        <w:tc>
          <w:tcPr>
            <w:tcW w:w="1836" w:type="dxa"/>
          </w:tcPr>
          <w:p>
            <w:pPr>
              <w:pStyle w:val="TableParagraph"/>
              <w:spacing w:before="131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159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59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36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2.3</w:t>
            </w:r>
          </w:p>
        </w:tc>
        <w:tc>
          <w:tcPr>
            <w:tcW w:w="1836" w:type="dxa"/>
          </w:tcPr>
          <w:p>
            <w:pPr>
              <w:pStyle w:val="TableParagraph"/>
              <w:spacing w:before="136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160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60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16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2.4</w:t>
            </w:r>
          </w:p>
        </w:tc>
        <w:tc>
          <w:tcPr>
            <w:tcW w:w="1836" w:type="dxa"/>
          </w:tcPr>
          <w:p>
            <w:pPr>
              <w:pStyle w:val="TableParagraph"/>
              <w:spacing w:before="159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159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59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119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2.5</w:t>
            </w:r>
          </w:p>
        </w:tc>
        <w:tc>
          <w:tcPr>
            <w:tcW w:w="1836" w:type="dxa"/>
          </w:tcPr>
          <w:p>
            <w:pPr>
              <w:pStyle w:val="TableParagraph"/>
              <w:spacing w:before="159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159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0.2分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159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/>
        </w:trPr>
        <w:tc>
          <w:tcPr>
            <w:tcW w:w="1327" w:type="dxa"/>
            <w:vMerge w:val="restart"/>
          </w:tcPr>
          <w:p>
            <w:pPr>
              <w:pStyle w:val="TableParagraph"/>
              <w:spacing w:before="7"/>
              <w:rPr>
                <w:rFonts w:hint="eastAsia"/>
                <w:sz w:val="28"/>
                <w:szCs w:val="28"/>
              </w:rPr>
            </w:pPr>
          </w:p>
          <w:p>
            <w:pPr>
              <w:pStyle w:val="TableParagraph"/>
              <w:ind w:left="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C</w:t>
            </w:r>
          </w:p>
        </w:tc>
        <w:tc>
          <w:tcPr>
            <w:tcW w:w="672" w:type="dxa"/>
            <w:vMerge w:val="restart"/>
          </w:tcPr>
          <w:p>
            <w:pPr>
              <w:pStyle w:val="TableParagraph"/>
              <w:spacing w:before="9" w:line="580" w:lineRule="atLeast"/>
              <w:ind w:right="26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垂直度</w:t>
            </w:r>
          </w:p>
        </w:tc>
        <w:tc>
          <w:tcPr>
            <w:tcW w:w="715" w:type="dxa"/>
          </w:tcPr>
          <w:p>
            <w:pPr>
              <w:pStyle w:val="TableParagraph"/>
              <w:spacing w:before="99" w:line="369" w:lineRule="exact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3.1</w:t>
            </w:r>
          </w:p>
        </w:tc>
        <w:tc>
          <w:tcPr>
            <w:tcW w:w="1836" w:type="dxa"/>
          </w:tcPr>
          <w:p>
            <w:pPr>
              <w:pStyle w:val="TableParagraph"/>
              <w:spacing w:before="99" w:line="369" w:lineRule="exact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99" w:line="369" w:lineRule="exact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0.4分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99" w:line="369" w:lineRule="exact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4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/>
        </w:trPr>
        <w:tc>
          <w:tcPr>
            <w:tcW w:w="1327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before="217"/>
              <w:ind w:left="17" w:right="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3.2</w:t>
            </w:r>
          </w:p>
        </w:tc>
        <w:tc>
          <w:tcPr>
            <w:tcW w:w="1836" w:type="dxa"/>
          </w:tcPr>
          <w:p>
            <w:pPr>
              <w:pStyle w:val="TableParagraph"/>
              <w:spacing w:before="217"/>
              <w:ind w:left="679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0mm</w:t>
            </w:r>
          </w:p>
        </w:tc>
        <w:tc>
          <w:tcPr>
            <w:tcW w:w="2412" w:type="dxa"/>
          </w:tcPr>
          <w:p>
            <w:pPr>
              <w:pStyle w:val="TableParagraph"/>
              <w:spacing w:before="97"/>
              <w:ind w:left="69" w:right="57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ascii="宋体" w:eastAsia="宋体" w:hAnsi="宋体" w:cs="宋体" w:hint="eastAsia"/>
                <w:spacing w:val="-40"/>
                <w:sz w:val="28"/>
                <w:szCs w:val="28"/>
              </w:rPr>
              <w:t xml:space="preserve">每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1mm</w:t>
            </w:r>
            <w:r>
              <w:rPr>
                <w:rFonts w:ascii="宋体" w:eastAsia="宋体" w:hAnsi="宋体" w:cs="宋体" w:hint="eastAsia"/>
                <w:spacing w:val="-17"/>
                <w:sz w:val="28"/>
                <w:szCs w:val="28"/>
              </w:rPr>
              <w:t>误差扣</w:t>
            </w:r>
            <w:r>
              <w:rPr>
                <w:rFonts w:cs="宋体" w:hint="eastAsia"/>
                <w:spacing w:val="-17"/>
                <w:sz w:val="28"/>
                <w:szCs w:val="28"/>
                <w:lang w:val="en-US" w:eastAsia="zh-CN"/>
              </w:rPr>
              <w:t>0.4分</w:t>
            </w:r>
          </w:p>
        </w:tc>
        <w:tc>
          <w:tcPr>
            <w:tcW w:w="707" w:type="dxa"/>
          </w:tcPr>
          <w:p>
            <w:pPr>
              <w:pStyle w:val="TableParagraph"/>
              <w:spacing w:before="217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w w:val="99"/>
                <w:sz w:val="28"/>
                <w:szCs w:val="28"/>
              </w:rPr>
              <w:t>4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rPr>
                <w:rFonts w:hint="eastAsia"/>
                <w:sz w:val="28"/>
                <w:szCs w:val="28"/>
              </w:rPr>
            </w:pPr>
          </w:p>
        </w:tc>
      </w:tr>
    </w:tbl>
    <w:p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https://d.book118.com/996043014050010100</w:t>
        </w:r>
      </w:hyperlink>
    </w:p>
    <w:p/>
    <w:sectPr>
      <w:footerReference w:type="default" r:id="rId18"/>
      <w:pgSz w:w="11910" w:h="16840"/>
      <w:pgMar w:top="1520" w:right="780" w:bottom="1320" w:left="1500" w:header="0" w:footer="1121" w:gutter="0"/>
      <w:pgNumType w:start="12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8522543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2362190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184533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1424333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0862714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974320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4473889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4396684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9672127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828820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 w:firstLine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073533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B54B991"/>
    <w:multiLevelType w:val="singleLevel"/>
    <w:tmpl w:val="AB54B991"/>
    <w:lvl w:ilvl="0">
      <w:start w:val="1"/>
      <w:numFmt w:val="decimal"/>
      <w:suff w:val="nothing"/>
      <w:lvlText w:val="（%1）"/>
      <w:lvlJc w:val="left"/>
    </w:lvl>
  </w:abstractNum>
  <w:abstractNum w:abstractNumId="1">
    <w:nsid w:val="AC769048"/>
    <w:multiLevelType w:val="singleLevel"/>
    <w:tmpl w:val="AC769048"/>
    <w:lvl w:ilvl="0">
      <w:start w:val="1"/>
      <w:numFmt w:val="decimal"/>
      <w:suff w:val="nothing"/>
      <w:lvlText w:val="（%1）"/>
      <w:lvlJc w:val="left"/>
    </w:lvl>
  </w:abstractNum>
  <w:abstractNum w:abstractNumId="2">
    <w:nsid w:val="F25D546B"/>
    <w:multiLevelType w:val="singleLevel"/>
    <w:tmpl w:val="F25D546B"/>
    <w:lvl w:ilvl="0">
      <w:start w:val="4"/>
      <w:numFmt w:val="decimal"/>
      <w:suff w:val="nothing"/>
      <w:lvlText w:val="（%1）"/>
      <w:lvlJc w:val="left"/>
    </w:lvl>
  </w:abstractNum>
  <w:abstractNum w:abstractNumId="3">
    <w:nsid w:val="00C90F59"/>
    <w:multiLevelType w:val="singleLevel"/>
    <w:tmpl w:val="00C90F59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E53794"/>
    <w:rsid w:val="0E7162D3"/>
    <w:rsid w:val="11166833"/>
    <w:rsid w:val="11847C41"/>
    <w:rsid w:val="11C444E1"/>
    <w:rsid w:val="12296A3A"/>
    <w:rsid w:val="1523526E"/>
    <w:rsid w:val="18153CE9"/>
    <w:rsid w:val="186E164B"/>
    <w:rsid w:val="18700F1F"/>
    <w:rsid w:val="19EA4D01"/>
    <w:rsid w:val="1FF561AE"/>
    <w:rsid w:val="21091F11"/>
    <w:rsid w:val="22274D44"/>
    <w:rsid w:val="23136FA1"/>
    <w:rsid w:val="23751ADF"/>
    <w:rsid w:val="24AC1531"/>
    <w:rsid w:val="24E0742D"/>
    <w:rsid w:val="278F48DF"/>
    <w:rsid w:val="28B135BA"/>
    <w:rsid w:val="30751371"/>
    <w:rsid w:val="333948D8"/>
    <w:rsid w:val="380D00E1"/>
    <w:rsid w:val="38907CA1"/>
    <w:rsid w:val="39BA4298"/>
    <w:rsid w:val="3D0A17A7"/>
    <w:rsid w:val="3D1E069A"/>
    <w:rsid w:val="3E2E0DB1"/>
    <w:rsid w:val="3E9C483C"/>
    <w:rsid w:val="42C817D4"/>
    <w:rsid w:val="434C41B3"/>
    <w:rsid w:val="47DD7AD0"/>
    <w:rsid w:val="4B7A553F"/>
    <w:rsid w:val="4BE53794"/>
    <w:rsid w:val="505A594B"/>
    <w:rsid w:val="509B22D6"/>
    <w:rsid w:val="53083527"/>
    <w:rsid w:val="572B1EDA"/>
    <w:rsid w:val="57BD31A3"/>
    <w:rsid w:val="592117E6"/>
    <w:rsid w:val="598002BB"/>
    <w:rsid w:val="59F44805"/>
    <w:rsid w:val="5BF154A0"/>
    <w:rsid w:val="5C1178F0"/>
    <w:rsid w:val="60DD2497"/>
    <w:rsid w:val="613227E3"/>
    <w:rsid w:val="62AE5E99"/>
    <w:rsid w:val="63E853DA"/>
    <w:rsid w:val="64EA3BA7"/>
    <w:rsid w:val="674548F2"/>
    <w:rsid w:val="6BB362CE"/>
    <w:rsid w:val="70781894"/>
    <w:rsid w:val="711D7258"/>
    <w:rsid w:val="727778D7"/>
    <w:rsid w:val="73E060CE"/>
    <w:rsid w:val="797E1B0E"/>
    <w:rsid w:val="7DE1316F"/>
  </w:rsids>
  <w:docVars>
    <w:docVar w:name="commondata" w:val="eyJoZGlkIjoiMDgzYzU3M2YxYjM4OGNiMTI2NmJhY2YyNGVkMGYzOW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1" w:unhideWhenUsed="0" w:qFormat="1"/>
    <w:lsdException w:name="toc 2" w:semiHidden="0" w:uiPriority="1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zh-CN" w:eastAsia="zh-CN" w:bidi="zh-CN"/>
    </w:rPr>
  </w:style>
  <w:style w:type="paragraph" w:styleId="Heading1">
    <w:name w:val="heading 1"/>
    <w:basedOn w:val="Normal"/>
    <w:next w:val="Normal"/>
    <w:uiPriority w:val="1"/>
    <w:qFormat/>
    <w:pPr>
      <w:ind w:right="717"/>
      <w:jc w:val="center"/>
      <w:outlineLvl w:val="0"/>
    </w:pPr>
    <w:rPr>
      <w:rFonts w:ascii="微软雅黑" w:eastAsia="微软雅黑" w:hAnsi="微软雅黑" w:cs="微软雅黑"/>
      <w:b/>
      <w:bCs/>
      <w:sz w:val="44"/>
      <w:szCs w:val="44"/>
      <w:lang w:val="zh-CN" w:eastAsia="zh-CN" w:bidi="zh-CN"/>
    </w:rPr>
  </w:style>
  <w:style w:type="paragraph" w:styleId="Heading2">
    <w:name w:val="heading 2"/>
    <w:basedOn w:val="Normal"/>
    <w:next w:val="Normal"/>
    <w:uiPriority w:val="1"/>
    <w:qFormat/>
    <w:pPr>
      <w:ind w:left="1128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ind w:left="485" w:firstLine="640"/>
    </w:pPr>
    <w:rPr>
      <w:rFonts w:ascii="宋体" w:eastAsia="宋体" w:hAnsi="宋体" w:cs="宋体"/>
      <w:sz w:val="32"/>
      <w:szCs w:val="32"/>
      <w:lang w:val="zh-CN" w:eastAsia="zh-CN" w:bidi="zh-CN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C1">
    <w:name w:val="toc 1"/>
    <w:basedOn w:val="Normal"/>
    <w:next w:val="Normal"/>
    <w:uiPriority w:val="1"/>
    <w:qFormat/>
    <w:pPr>
      <w:spacing w:before="171"/>
      <w:ind w:left="485"/>
    </w:pPr>
    <w:rPr>
      <w:rFonts w:ascii="宋体" w:eastAsia="宋体" w:hAnsi="宋体" w:cs="宋体"/>
      <w:sz w:val="32"/>
      <w:szCs w:val="32"/>
      <w:lang w:val="zh-CN" w:eastAsia="zh-CN" w:bidi="zh-CN"/>
    </w:rPr>
  </w:style>
  <w:style w:type="paragraph" w:styleId="TOC2">
    <w:name w:val="toc 2"/>
    <w:basedOn w:val="Normal"/>
    <w:next w:val="Normal"/>
    <w:uiPriority w:val="1"/>
    <w:qFormat/>
    <w:pPr>
      <w:spacing w:before="168"/>
      <w:ind w:left="485"/>
    </w:pPr>
    <w:rPr>
      <w:rFonts w:ascii="宋体" w:eastAsia="宋体" w:hAnsi="宋体" w:cs="宋体"/>
      <w:b/>
      <w:bCs/>
      <w:i/>
      <w:lang w:val="zh-CN" w:eastAsia="zh-CN" w:bidi="zh-CN"/>
    </w:rPr>
  </w:style>
  <w:style w:type="table" w:styleId="TableGrid">
    <w:name w:val="Table Grid"/>
    <w:basedOn w:val="TableNormal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pPr>
      <w:ind w:left="485" w:firstLine="640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hyperlink" Target="https://d.book118.com/996043014050010100" TargetMode="External" /><Relationship Id="rId18" Type="http://schemas.openxmlformats.org/officeDocument/2006/relationships/footer" Target="footer12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8372</Words>
  <Characters>8748</Characters>
  <Application>Microsoft Office Word</Application>
  <DocSecurity>0</DocSecurity>
  <Lines>0</Lines>
  <Paragraphs>0</Paragraphs>
  <ScaleCrop>false</ScaleCrop>
  <Company/>
  <LinksUpToDate>false</LinksUpToDate>
  <CharactersWithSpaces>9070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 you</dc:creator>
  <cp:lastModifiedBy>WPS_1145677462</cp:lastModifiedBy>
  <cp:revision>1</cp:revision>
  <dcterms:created xsi:type="dcterms:W3CDTF">2023-04-07T07:01:00Z</dcterms:created>
  <dcterms:modified xsi:type="dcterms:W3CDTF">2023-04-24T15:51:58Z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A69A245ECA344EA09FEFC5297DA85D54</vt:lpwstr>
  </property>
  <property fmtid="{D5CDD505-2E9C-101B-9397-08002B2CF9AE}" pid="3" name="KSOProductBuildVer">
    <vt:lpwstr>2052-11.1.0.14036</vt:lpwstr>
  </property>
</Properties>
</file>