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氢化可的松行业相关公司设立可行性研究报告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0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_Toc7006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_Toc11957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_Toc16358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_Toc24884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_Toc8189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(七)、氢化可的松项目建设必要性分析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2" w:history="1">
        <w:r>
          <w:rPr>
            <w:rFonts w:ascii="仿宋" w:eastAsia="仿宋" w:hAnsi="仿宋" w:cs="仿宋" w:hint="eastAsia"/>
            <w:lang w:eastAsia="zh-CN"/>
          </w:rPr>
          <w:t>(一)、氢化可的松项目选址原则</w:t>
        </w:r>
        <w:r>
          <w:tab/>
        </w:r>
        <w:r>
          <w:fldChar w:fldCharType="begin"/>
        </w:r>
        <w:r>
          <w:instrText xml:space="preserve"> PAGEREF _Toc20772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(五)、氢化可的松项目选址综合评价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_Toc29395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(一)、氢化可的松项目背景分析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(二)、氢化可的松项目建设必要性分析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(五)、氢化可的松项目总投资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_Toc4543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_Toc32064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_Toc9244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_Toc30019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_Toc12181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" w:history="1">
        <w:r>
          <w:rPr>
            <w:rFonts w:ascii="仿宋" w:eastAsia="仿宋" w:hAnsi="仿宋" w:cs="仿宋" w:hint="eastAsia"/>
            <w:lang w:eastAsia="zh-CN"/>
          </w:rPr>
          <w:t>十、氢化可的松项目经济效益</w:t>
        </w:r>
        <w:r>
          <w:tab/>
        </w:r>
        <w:r>
          <w:fldChar w:fldCharType="begin"/>
        </w:r>
        <w:r>
          <w:instrText xml:space="preserve"> PAGEREF _Toc2671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_Toc26916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(三)、氢化可的松项目盈利能力分析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_Toc15656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_Toc9259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0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65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4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5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https://d.book118.com/996052121241010040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氢化可的松行业相关公司设立可行性研究报告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6052121241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2024-01-04T06:05:00Z</dcterms:created>
  <dcterms:modified xsi:type="dcterms:W3CDTF">2024-01-04T06:05:52Z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04755C2C1DF843E5BB6C78AF354B49E6_11</vt:lpwstr>
  </property>
  <property fmtid="{D5CDD505-2E9C-101B-9397-08002B2CF9AE}" pid="3" name="KSOProductBuildVer">
    <vt:lpwstr>2052-12.1.0.16120</vt:lpwstr>
  </property>
</Properties>
</file>