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978" w:beforeLines="300" w:after="652" w:afterLines="200"/>
        <w:ind w:left="482" w:firstLine="0" w:firstLineChars="0"/>
        <w:jc w:val="both"/>
        <w:rPr>
          <w:rFonts w:ascii="Times New Roman" w:eastAsia="华文中宋" w:hAnsi="Times New Roman" w:cs="Times New Roman"/>
          <w:b/>
          <w:sz w:val="18"/>
          <w:szCs w:val="18"/>
        </w:rPr>
      </w:pPr>
      <w:bookmarkStart w:id="0" w:name="_GoBack"/>
      <w:r>
        <w:rPr>
          <w:rFonts w:ascii="Times New Roman" w:eastAsia="华文中宋" w:hAnsi="Times New Roman" w:cs="Times New Roman"/>
          <w:b/>
          <w:sz w:val="18"/>
          <w:szCs w:val="18"/>
        </w:rPr>
        <w:t>高新技术企业股权激励</w:t>
      </w:r>
      <w:r>
        <w:rPr>
          <w:rFonts w:ascii="Times New Roman" w:eastAsia="华文中宋" w:hAnsi="Times New Roman" w:cs="Times New Roman" w:hint="eastAsia"/>
          <w:b/>
          <w:sz w:val="18"/>
          <w:szCs w:val="18"/>
        </w:rPr>
        <w:t>，成长性</w:t>
      </w:r>
      <w:r>
        <w:rPr>
          <w:rFonts w:ascii="Times New Roman" w:eastAsia="华文中宋" w:hAnsi="Times New Roman" w:cs="Times New Roman"/>
          <w:b/>
          <w:sz w:val="18"/>
          <w:szCs w:val="18"/>
        </w:rPr>
        <w:t>和</w:t>
      </w:r>
      <w:r>
        <w:rPr>
          <w:rFonts w:ascii="Times New Roman" w:eastAsia="华文中宋" w:hAnsi="Times New Roman" w:cs="Times New Roman" w:hint="eastAsia"/>
          <w:b/>
          <w:sz w:val="18"/>
          <w:szCs w:val="18"/>
        </w:rPr>
        <w:t>企业价值</w:t>
      </w:r>
      <w:r>
        <w:rPr>
          <w:rFonts w:ascii="Times New Roman" w:eastAsia="华文中宋" w:hAnsi="Times New Roman" w:cs="Times New Roman"/>
          <w:b/>
          <w:sz w:val="18"/>
          <w:szCs w:val="18"/>
        </w:rPr>
        <w:t>分析——以科创板为例</w:t>
      </w:r>
    </w:p>
    <w:bookmarkEnd w:id="0"/>
    <w:p>
      <w:pPr>
        <w:pStyle w:val="a4"/>
        <w:spacing w:before="978" w:after="652"/>
        <w:ind w:firstLine="881"/>
        <w:rPr>
          <w:rFonts w:ascii="Times New Roman" w:hAnsi="Times New Roman" w:cs="Times New Roman"/>
        </w:rPr>
      </w:pPr>
      <w:r>
        <w:rPr>
          <w:rFonts w:ascii="Times New Roman" w:hAnsi="Times New Roman" w:cs="Times New Roman"/>
        </w:rPr>
        <w:t>内容摘要</w:t>
      </w:r>
    </w:p>
    <w:p>
      <w:pPr>
        <w:ind w:firstLine="480"/>
        <w:rPr>
          <w:rFonts w:ascii="Times New Roman" w:hAnsi="Times New Roman" w:cs="Times New Roman"/>
        </w:rPr>
      </w:pPr>
      <w:r>
        <w:rPr>
          <w:rFonts w:ascii="Times New Roman" w:hAnsi="Times New Roman" w:cs="Times New Roman" w:hint="eastAsia"/>
        </w:rPr>
        <w:t>本文选取科创板上市公司为实验样本，基于O</w:t>
      </w:r>
      <w:r>
        <w:rPr>
          <w:rFonts w:ascii="Times New Roman" w:hAnsi="Times New Roman" w:cs="Times New Roman"/>
        </w:rPr>
        <w:t>LS</w:t>
      </w:r>
      <w:r>
        <w:rPr>
          <w:rFonts w:ascii="Times New Roman" w:hAnsi="Times New Roman" w:cs="Times New Roman" w:hint="eastAsia"/>
        </w:rPr>
        <w:t>模型检验了样本股权激励所覆盖的不同人群的和股权激励之间的存在的关系，研究高新技术企业股权激励对不同利益群体的激励作用。并根据高新技术企业特征对检验模型进行对应的侧重成长性的调整。实验结果表明股权激励对企业内部不同人群的影响存在较大的差异性，管理层持股比重与企业价值呈显著负相关，核心技术人员和员工持股平台持股比重与企业价值呈显著正相关。本文认为持股人群的利益背景是造成相关差异的核心因素，企业快速发展与核心技术人员和非管理层员工的利益较为重合，管理层出于企业整体角度和避免风险经营对自身利益的损害的考虑，会倾向于放弃长期利益，安于现状。</w:t>
      </w:r>
    </w:p>
    <w:p>
      <w:pPr>
        <w:ind w:firstLine="480"/>
        <w:rPr>
          <w:rFonts w:ascii="Times New Roman" w:hAnsi="Times New Roman" w:cs="Times New Roman"/>
        </w:rPr>
      </w:pPr>
      <w:r>
        <w:rPr>
          <w:rFonts w:ascii="Times New Roman" w:hAnsi="Times New Roman" w:cs="Times New Roman"/>
        </w:rPr>
        <w:t xml:space="preserve">关键词: </w:t>
      </w:r>
      <w:r>
        <w:rPr>
          <w:rFonts w:ascii="Times New Roman" w:hAnsi="Times New Roman" w:cs="Times New Roman" w:hint="eastAsia"/>
        </w:rPr>
        <w:t>高新技术企业；公司治理；股权激励；成长性</w:t>
      </w:r>
    </w:p>
    <w:p>
      <w:pPr>
        <w:pStyle w:val="a6"/>
        <w:spacing w:before="978" w:after="652"/>
        <w:ind w:left="420" w:firstLine="0" w:firstLineChars="0"/>
        <w:rPr>
          <w:rFonts w:ascii="Times New Roman" w:eastAsia="华文仿宋" w:hAnsi="Times New Roman" w:cs="Times New Roman"/>
        </w:rPr>
      </w:pPr>
      <w:r>
        <w:rPr>
          <w:rFonts w:ascii="Times New Roman" w:eastAsia="华文仿宋" w:hAnsi="Times New Roman" w:cs="Times New Roman"/>
        </w:rPr>
        <w:t>Abstract</w:t>
      </w:r>
    </w:p>
    <w:p>
      <w:pPr>
        <w:ind w:firstLine="480"/>
        <w:rPr>
          <w:rFonts w:ascii="Times New Roman" w:hAnsi="Times New Roman" w:cs="Times New Roman"/>
        </w:rPr>
        <w:sectPr>
          <w:headerReference w:type="even" r:id="rId7"/>
          <w:headerReference w:type="default" r:id="rId8"/>
          <w:footerReference w:type="even" r:id="rId9"/>
          <w:footerReference w:type="default" r:id="rId10"/>
          <w:headerReference w:type="first" r:id="rId11"/>
          <w:footerReference w:type="first" r:id="rId12"/>
          <w:pgSz w:w="11906" w:h="16838"/>
          <w:pgMar w:top="1701" w:right="1701" w:bottom="1701" w:left="1701" w:header="851" w:footer="992" w:gutter="0"/>
          <w:pgNumType w:start="1"/>
          <w:cols w:num="1" w:space="425"/>
          <w:titlePg/>
          <w:docGrid w:type="lines" w:linePitch="326" w:charSpace="0"/>
        </w:sectPr>
      </w:pPr>
      <w:r>
        <w:rPr>
          <w:rFonts w:ascii="Times New Roman" w:hAnsi="Times New Roman" w:cs="Times New Roman"/>
        </w:rPr>
        <w:t xml:space="preserve">Based on the OLS model, </w:t>
      </w:r>
      <w:r>
        <w:rPr>
          <w:rFonts w:ascii="Times New Roman" w:hAnsi="Times New Roman" w:cs="Times New Roman" w:hint="eastAsia"/>
        </w:rPr>
        <w:t>t</w:t>
      </w:r>
      <w:r>
        <w:rPr>
          <w:rFonts w:ascii="Times New Roman" w:hAnsi="Times New Roman" w:cs="Times New Roman"/>
        </w:rPr>
        <w:t>he</w:t>
      </w:r>
      <w:r>
        <w:rPr>
          <w:rFonts w:ascii="Times New Roman" w:hAnsi="Times New Roman" w:cs="Times New Roman"/>
        </w:rPr>
        <w:t xml:space="preserve"> dissertation</w:t>
      </w:r>
      <w:r>
        <w:rPr>
          <w:rFonts w:ascii="Times New Roman" w:hAnsi="Times New Roman" w:cs="Times New Roman"/>
        </w:rPr>
        <w:t xml:space="preserve"> selects</w:t>
      </w:r>
      <w:r>
        <w:rPr>
          <w:rFonts w:ascii="Times New Roman" w:hAnsi="Times New Roman" w:cs="Times New Roman"/>
        </w:rPr>
        <w:t xml:space="preserve"> the</w:t>
      </w:r>
      <w:r>
        <w:rPr>
          <w:rFonts w:ascii="Times New Roman" w:hAnsi="Times New Roman" w:cs="Times New Roman"/>
        </w:rPr>
        <w:t xml:space="preserve"> listed</w:t>
      </w:r>
      <w:r>
        <w:rPr>
          <w:rFonts w:ascii="Times New Roman" w:hAnsi="Times New Roman" w:cs="Times New Roman"/>
        </w:rPr>
        <w:t xml:space="preserve"> companies</w:t>
      </w:r>
      <w:r>
        <w:rPr>
          <w:rFonts w:ascii="Times New Roman" w:hAnsi="Times New Roman" w:cs="Times New Roman"/>
        </w:rPr>
        <w:t xml:space="preserve"> of</w:t>
      </w:r>
      <w:r>
        <w:rPr>
          <w:rFonts w:ascii="Times New Roman" w:hAnsi="Times New Roman" w:cs="Times New Roman"/>
        </w:rPr>
        <w:t xml:space="preserve"> Sci-Tech</w:t>
      </w:r>
      <w:r>
        <w:rPr>
          <w:rFonts w:ascii="Times New Roman" w:hAnsi="Times New Roman" w:cs="Times New Roman"/>
        </w:rPr>
        <w:t xml:space="preserve"> innovation</w:t>
      </w:r>
      <w:r>
        <w:rPr>
          <w:rFonts w:ascii="Times New Roman" w:hAnsi="Times New Roman" w:cs="Times New Roman"/>
        </w:rPr>
        <w:t xml:space="preserve"> board</w:t>
      </w:r>
      <w:r>
        <w:rPr>
          <w:rFonts w:ascii="Times New Roman" w:hAnsi="Times New Roman" w:cs="Times New Roman"/>
        </w:rPr>
        <w:t xml:space="preserve"> as</w:t>
      </w:r>
      <w:r>
        <w:rPr>
          <w:rFonts w:ascii="Times New Roman" w:hAnsi="Times New Roman" w:cs="Times New Roman"/>
        </w:rPr>
        <w:t xml:space="preserve"> the</w:t>
      </w:r>
      <w:r>
        <w:rPr>
          <w:rFonts w:ascii="Times New Roman" w:hAnsi="Times New Roman" w:cs="Times New Roman"/>
        </w:rPr>
        <w:t xml:space="preserve"> experimental</w:t>
      </w:r>
      <w:r>
        <w:rPr>
          <w:rFonts w:ascii="Times New Roman" w:hAnsi="Times New Roman" w:cs="Times New Roman"/>
        </w:rPr>
        <w:t xml:space="preserve"> samples</w:t>
      </w:r>
      <w:r>
        <w:rPr>
          <w:rFonts w:ascii="Times New Roman" w:hAnsi="Times New Roman" w:cs="Times New Roman"/>
        </w:rPr>
        <w:t xml:space="preserve"> to</w:t>
      </w:r>
      <w:r>
        <w:rPr>
          <w:rFonts w:ascii="Times New Roman" w:hAnsi="Times New Roman" w:cs="Times New Roman"/>
        </w:rPr>
        <w:t xml:space="preserve"> test</w:t>
      </w:r>
      <w:r>
        <w:rPr>
          <w:rFonts w:ascii="Times New Roman" w:hAnsi="Times New Roman" w:cs="Times New Roman"/>
        </w:rPr>
        <w:t xml:space="preserve"> the</w:t>
      </w:r>
      <w:r>
        <w:rPr>
          <w:rFonts w:ascii="Times New Roman" w:hAnsi="Times New Roman" w:cs="Times New Roman"/>
        </w:rPr>
        <w:t xml:space="preserve"> relationship</w:t>
      </w:r>
      <w:r>
        <w:rPr>
          <w:rFonts w:ascii="Times New Roman" w:hAnsi="Times New Roman" w:cs="Times New Roman"/>
        </w:rPr>
        <w:t xml:space="preserve"> between</w:t>
      </w:r>
      <w:r>
        <w:rPr>
          <w:rFonts w:ascii="Times New Roman" w:hAnsi="Times New Roman" w:cs="Times New Roman"/>
        </w:rPr>
        <w:t xml:space="preserve"> the</w:t>
      </w:r>
      <w:r>
        <w:rPr>
          <w:rFonts w:ascii="Times New Roman" w:hAnsi="Times New Roman" w:cs="Times New Roman"/>
        </w:rPr>
        <w:t xml:space="preserve"> different</w:t>
      </w:r>
      <w:r>
        <w:rPr>
          <w:rFonts w:ascii="Times New Roman" w:hAnsi="Times New Roman" w:cs="Times New Roman"/>
        </w:rPr>
        <w:t xml:space="preserve"> groups</w:t>
      </w:r>
      <w:r>
        <w:rPr>
          <w:rFonts w:ascii="Times New Roman" w:hAnsi="Times New Roman" w:cs="Times New Roman"/>
        </w:rPr>
        <w:t xml:space="preserve"> of</w:t>
      </w:r>
      <w:r>
        <w:rPr>
          <w:rFonts w:ascii="Times New Roman" w:hAnsi="Times New Roman" w:cs="Times New Roman"/>
        </w:rPr>
        <w:t xml:space="preserve"> people</w:t>
      </w:r>
      <w:r>
        <w:rPr>
          <w:rFonts w:ascii="Times New Roman" w:hAnsi="Times New Roman" w:cs="Times New Roman"/>
        </w:rPr>
        <w:t xml:space="preserve"> and</w:t>
      </w:r>
      <w:r>
        <w:rPr>
          <w:rFonts w:ascii="Times New Roman" w:hAnsi="Times New Roman" w:cs="Times New Roman"/>
        </w:rPr>
        <w:t xml:space="preserve"> the</w:t>
      </w:r>
      <w:r>
        <w:rPr>
          <w:rFonts w:ascii="Times New Roman" w:hAnsi="Times New Roman" w:cs="Times New Roman"/>
        </w:rPr>
        <w:t xml:space="preserve"> samples’</w:t>
      </w:r>
      <w:r>
        <w:rPr>
          <w:rFonts w:ascii="Times New Roman" w:hAnsi="Times New Roman" w:cs="Times New Roman"/>
        </w:rPr>
        <w:t xml:space="preserve"> equity</w:t>
      </w:r>
      <w:r>
        <w:rPr>
          <w:rFonts w:ascii="Times New Roman" w:hAnsi="Times New Roman" w:cs="Times New Roman"/>
        </w:rPr>
        <w:t xml:space="preserve"> incentive,</w:t>
      </w:r>
      <w:r>
        <w:rPr>
          <w:rFonts w:ascii="Times New Roman" w:hAnsi="Times New Roman" w:cs="Times New Roman"/>
        </w:rPr>
        <w:t xml:space="preserve"> in</w:t>
      </w:r>
      <w:r>
        <w:rPr>
          <w:rFonts w:ascii="Times New Roman" w:hAnsi="Times New Roman" w:cs="Times New Roman"/>
        </w:rPr>
        <w:t xml:space="preserve"> order</w:t>
      </w:r>
      <w:r>
        <w:rPr>
          <w:rFonts w:ascii="Times New Roman" w:hAnsi="Times New Roman" w:cs="Times New Roman"/>
        </w:rPr>
        <w:t xml:space="preserve"> to</w:t>
      </w:r>
      <w:r>
        <w:rPr>
          <w:rFonts w:ascii="Times New Roman" w:hAnsi="Times New Roman" w:cs="Times New Roman"/>
        </w:rPr>
        <w:t xml:space="preserve"> study</w:t>
      </w:r>
      <w:r>
        <w:rPr>
          <w:rFonts w:ascii="Times New Roman" w:hAnsi="Times New Roman" w:cs="Times New Roman"/>
        </w:rPr>
        <w:t xml:space="preserve"> the</w:t>
      </w:r>
      <w:r>
        <w:rPr>
          <w:rFonts w:ascii="Times New Roman" w:hAnsi="Times New Roman" w:cs="Times New Roman"/>
        </w:rPr>
        <w:t xml:space="preserve"> incentive</w:t>
      </w:r>
      <w:r>
        <w:rPr>
          <w:rFonts w:ascii="Times New Roman" w:hAnsi="Times New Roman" w:cs="Times New Roman"/>
        </w:rPr>
        <w:t xml:space="preserve"> effect</w:t>
      </w:r>
      <w:r>
        <w:rPr>
          <w:rFonts w:ascii="Times New Roman" w:hAnsi="Times New Roman" w:cs="Times New Roman"/>
        </w:rPr>
        <w:t xml:space="preserve"> of</w:t>
      </w:r>
      <w:r>
        <w:rPr>
          <w:rFonts w:ascii="Times New Roman" w:hAnsi="Times New Roman" w:cs="Times New Roman"/>
        </w:rPr>
        <w:t xml:space="preserve"> the</w:t>
      </w:r>
      <w:r>
        <w:rPr>
          <w:rFonts w:ascii="Times New Roman" w:hAnsi="Times New Roman" w:cs="Times New Roman"/>
        </w:rPr>
        <w:t xml:space="preserve"> equity</w:t>
      </w:r>
      <w:r>
        <w:rPr>
          <w:rFonts w:ascii="Times New Roman" w:hAnsi="Times New Roman" w:cs="Times New Roman"/>
        </w:rPr>
        <w:t xml:space="preserve"> incentive</w:t>
      </w:r>
      <w:r>
        <w:rPr>
          <w:rFonts w:ascii="Times New Roman" w:hAnsi="Times New Roman" w:cs="Times New Roman"/>
        </w:rPr>
        <w:t xml:space="preserve"> of</w:t>
      </w:r>
      <w:r>
        <w:rPr>
          <w:rFonts w:ascii="Times New Roman" w:hAnsi="Times New Roman" w:cs="Times New Roman"/>
        </w:rPr>
        <w:t xml:space="preserve"> high-tech</w:t>
      </w:r>
      <w:r>
        <w:rPr>
          <w:rFonts w:ascii="Times New Roman" w:hAnsi="Times New Roman" w:cs="Times New Roman"/>
        </w:rPr>
        <w:t xml:space="preserve"> enterprises</w:t>
      </w:r>
      <w:r>
        <w:rPr>
          <w:rFonts w:ascii="Times New Roman" w:hAnsi="Times New Roman" w:cs="Times New Roman"/>
        </w:rPr>
        <w:t xml:space="preserve"> on</w:t>
      </w:r>
      <w:r>
        <w:rPr>
          <w:rFonts w:ascii="Times New Roman" w:hAnsi="Times New Roman" w:cs="Times New Roman"/>
        </w:rPr>
        <w:t xml:space="preserve"> different</w:t>
      </w:r>
      <w:r>
        <w:rPr>
          <w:rFonts w:ascii="Times New Roman" w:hAnsi="Times New Roman" w:cs="Times New Roman"/>
        </w:rPr>
        <w:t xml:space="preserve"> interest</w:t>
      </w:r>
      <w:r>
        <w:rPr>
          <w:rFonts w:ascii="Times New Roman" w:hAnsi="Times New Roman" w:cs="Times New Roman"/>
        </w:rPr>
        <w:t xml:space="preserve"> groups.</w:t>
      </w:r>
      <w:r>
        <w:rPr>
          <w:rFonts w:ascii="Times New Roman" w:hAnsi="Times New Roman" w:cs="Times New Roman"/>
        </w:rPr>
        <w:t xml:space="preserve"> According</w:t>
      </w:r>
      <w:r>
        <w:rPr>
          <w:rFonts w:ascii="Times New Roman" w:hAnsi="Times New Roman" w:cs="Times New Roman"/>
        </w:rPr>
        <w:t xml:space="preserve"> to</w:t>
      </w:r>
      <w:r>
        <w:rPr>
          <w:rFonts w:ascii="Times New Roman" w:hAnsi="Times New Roman" w:cs="Times New Roman"/>
        </w:rPr>
        <w:t xml:space="preserve"> the</w:t>
      </w:r>
      <w:r>
        <w:rPr>
          <w:rFonts w:ascii="Times New Roman" w:hAnsi="Times New Roman" w:cs="Times New Roman"/>
        </w:rPr>
        <w:t xml:space="preserve"> characteristics</w:t>
      </w:r>
      <w:r>
        <w:rPr>
          <w:rFonts w:ascii="Times New Roman" w:hAnsi="Times New Roman" w:cs="Times New Roman"/>
        </w:rPr>
        <w:t xml:space="preserve"> of</w:t>
      </w:r>
      <w:r>
        <w:rPr>
          <w:rFonts w:ascii="Times New Roman" w:hAnsi="Times New Roman" w:cs="Times New Roman"/>
        </w:rPr>
        <w:t xml:space="preserve"> high-tech</w:t>
      </w:r>
      <w:r>
        <w:rPr>
          <w:rFonts w:ascii="Times New Roman" w:hAnsi="Times New Roman" w:cs="Times New Roman"/>
        </w:rPr>
        <w:t xml:space="preserve"> enterprises,</w:t>
      </w:r>
      <w:r>
        <w:rPr>
          <w:rFonts w:ascii="Times New Roman" w:hAnsi="Times New Roman" w:cs="Times New Roman"/>
        </w:rPr>
        <w:t xml:space="preserve"> the</w:t>
      </w:r>
      <w:r>
        <w:rPr>
          <w:rFonts w:ascii="Times New Roman" w:hAnsi="Times New Roman" w:cs="Times New Roman"/>
        </w:rPr>
        <w:t xml:space="preserve"> test</w:t>
      </w:r>
      <w:r>
        <w:rPr>
          <w:rFonts w:ascii="Times New Roman" w:hAnsi="Times New Roman" w:cs="Times New Roman"/>
        </w:rPr>
        <w:t xml:space="preserve"> model</w:t>
      </w:r>
      <w:r>
        <w:rPr>
          <w:rFonts w:ascii="Times New Roman" w:hAnsi="Times New Roman" w:cs="Times New Roman"/>
        </w:rPr>
        <w:t xml:space="preserve"> is</w:t>
      </w:r>
      <w:r>
        <w:rPr>
          <w:rFonts w:ascii="Times New Roman" w:hAnsi="Times New Roman" w:cs="Times New Roman"/>
        </w:rPr>
        <w:t xml:space="preserve"> adjusted</w:t>
      </w:r>
      <w:r>
        <w:rPr>
          <w:rFonts w:ascii="Times New Roman" w:hAnsi="Times New Roman" w:cs="Times New Roman"/>
        </w:rPr>
        <w:t xml:space="preserve"> to</w:t>
      </w:r>
      <w:r>
        <w:rPr>
          <w:rFonts w:ascii="Times New Roman" w:hAnsi="Times New Roman" w:cs="Times New Roman"/>
        </w:rPr>
        <w:t xml:space="preserve"> focus</w:t>
      </w:r>
      <w:r>
        <w:rPr>
          <w:rFonts w:ascii="Times New Roman" w:hAnsi="Times New Roman" w:cs="Times New Roman"/>
        </w:rPr>
        <w:t xml:space="preserve"> on</w:t>
      </w:r>
      <w:r>
        <w:rPr>
          <w:rFonts w:ascii="Times New Roman" w:hAnsi="Times New Roman" w:cs="Times New Roman"/>
        </w:rPr>
        <w:t xml:space="preserve"> growth</w:t>
      </w:r>
      <w:r>
        <w:rPr>
          <w:rFonts w:ascii="Times New Roman" w:hAnsi="Times New Roman" w:cs="Times New Roman"/>
        </w:rPr>
        <w:t xml:space="preserve"> .</w:t>
      </w:r>
    </w:p>
    <w:p>
      <w:pPr>
        <w:ind w:firstLine="480"/>
        <w:rPr>
          <w:rFonts w:ascii="Times New Roman" w:hAnsi="Times New Roman" w:cs="Times New Roman"/>
        </w:rPr>
      </w:pPr>
      <w:r>
        <w:rPr>
          <w:rFonts w:ascii="Times New Roman" w:hAnsi="Times New Roman" w:cs="Times New Roman"/>
        </w:rPr>
        <w:t xml:space="preserve"> The</w:t>
      </w:r>
      <w:r>
        <w:rPr>
          <w:rFonts w:ascii="Times New Roman" w:hAnsi="Times New Roman" w:cs="Times New Roman"/>
        </w:rPr>
        <w:t xml:space="preserve"> experimental</w:t>
      </w:r>
      <w:r>
        <w:rPr>
          <w:rFonts w:ascii="Times New Roman" w:hAnsi="Times New Roman" w:cs="Times New Roman"/>
        </w:rPr>
        <w:t xml:space="preserve"> results</w:t>
      </w:r>
      <w:r>
        <w:rPr>
          <w:rFonts w:ascii="Times New Roman" w:hAnsi="Times New Roman" w:cs="Times New Roman"/>
        </w:rPr>
        <w:t xml:space="preserve"> show</w:t>
      </w:r>
      <w:r>
        <w:rPr>
          <w:rFonts w:ascii="Times New Roman" w:hAnsi="Times New Roman" w:cs="Times New Roman"/>
        </w:rPr>
        <w:t xml:space="preserve"> that</w:t>
      </w:r>
      <w:r>
        <w:rPr>
          <w:rFonts w:ascii="Times New Roman" w:hAnsi="Times New Roman" w:cs="Times New Roman"/>
        </w:rPr>
        <w:t xml:space="preserve"> there</w:t>
      </w:r>
      <w:r>
        <w:rPr>
          <w:rFonts w:ascii="Times New Roman" w:hAnsi="Times New Roman" w:cs="Times New Roman"/>
        </w:rPr>
        <w:t xml:space="preserve"> are</w:t>
      </w:r>
      <w:r>
        <w:rPr>
          <w:rFonts w:ascii="Times New Roman" w:hAnsi="Times New Roman" w:cs="Times New Roman"/>
        </w:rPr>
        <w:t xml:space="preserve"> significant</w:t>
      </w:r>
      <w:r>
        <w:rPr>
          <w:rFonts w:ascii="Times New Roman" w:hAnsi="Times New Roman" w:cs="Times New Roman"/>
        </w:rPr>
        <w:t xml:space="preserve"> differences</w:t>
      </w:r>
      <w:r>
        <w:rPr>
          <w:rFonts w:ascii="Times New Roman" w:hAnsi="Times New Roman" w:cs="Times New Roman"/>
        </w:rPr>
        <w:t xml:space="preserve"> in</w:t>
      </w:r>
      <w:r>
        <w:rPr>
          <w:rFonts w:ascii="Times New Roman" w:hAnsi="Times New Roman" w:cs="Times New Roman"/>
        </w:rPr>
        <w:t xml:space="preserve"> the</w:t>
      </w:r>
      <w:r>
        <w:rPr>
          <w:rFonts w:ascii="Times New Roman" w:hAnsi="Times New Roman" w:cs="Times New Roman"/>
        </w:rPr>
        <w:t xml:space="preserve"> impact</w:t>
      </w:r>
      <w:r>
        <w:rPr>
          <w:rFonts w:ascii="Times New Roman" w:hAnsi="Times New Roman" w:cs="Times New Roman"/>
        </w:rPr>
        <w:t xml:space="preserve"> of</w:t>
      </w:r>
      <w:r>
        <w:rPr>
          <w:rFonts w:ascii="Times New Roman" w:hAnsi="Times New Roman" w:cs="Times New Roman"/>
        </w:rPr>
        <w:t xml:space="preserve"> equity</w:t>
      </w:r>
      <w:r>
        <w:rPr>
          <w:rFonts w:ascii="Times New Roman" w:hAnsi="Times New Roman" w:cs="Times New Roman"/>
        </w:rPr>
        <w:t xml:space="preserve"> incentive</w:t>
      </w:r>
      <w:r>
        <w:rPr>
          <w:rFonts w:ascii="Times New Roman" w:hAnsi="Times New Roman" w:cs="Times New Roman"/>
        </w:rPr>
        <w:t xml:space="preserve"> on</w:t>
      </w:r>
      <w:r>
        <w:rPr>
          <w:rFonts w:ascii="Times New Roman" w:hAnsi="Times New Roman" w:cs="Times New Roman"/>
        </w:rPr>
        <w:t xml:space="preserve"> different</w:t>
      </w:r>
      <w:r>
        <w:rPr>
          <w:rFonts w:ascii="Times New Roman" w:hAnsi="Times New Roman" w:cs="Times New Roman"/>
        </w:rPr>
        <w:t xml:space="preserve"> groups</w:t>
      </w:r>
      <w:r>
        <w:rPr>
          <w:rFonts w:ascii="Times New Roman" w:hAnsi="Times New Roman" w:cs="Times New Roman"/>
        </w:rPr>
        <w:t xml:space="preserve"> of</w:t>
      </w:r>
      <w:r>
        <w:rPr>
          <w:rFonts w:ascii="Times New Roman" w:hAnsi="Times New Roman" w:cs="Times New Roman"/>
        </w:rPr>
        <w:t xml:space="preserve"> people</w:t>
      </w:r>
      <w:r>
        <w:rPr>
          <w:rFonts w:ascii="Times New Roman" w:hAnsi="Times New Roman" w:cs="Times New Roman"/>
        </w:rPr>
        <w:t xml:space="preserve"> in</w:t>
      </w:r>
      <w:r>
        <w:rPr>
          <w:rFonts w:ascii="Times New Roman" w:hAnsi="Times New Roman" w:cs="Times New Roman"/>
        </w:rPr>
        <w:t xml:space="preserve"> the</w:t>
      </w:r>
      <w:r>
        <w:rPr>
          <w:rFonts w:ascii="Times New Roman" w:hAnsi="Times New Roman" w:cs="Times New Roman"/>
        </w:rPr>
        <w:t xml:space="preserve"> enterprise.</w:t>
      </w:r>
      <w:r>
        <w:rPr>
          <w:rFonts w:ascii="Times New Roman" w:hAnsi="Times New Roman" w:cs="Times New Roman"/>
        </w:rPr>
        <w:t xml:space="preserve"> The</w:t>
      </w:r>
      <w:r>
        <w:rPr>
          <w:rFonts w:ascii="Times New Roman" w:hAnsi="Times New Roman" w:cs="Times New Roman"/>
        </w:rPr>
        <w:t xml:space="preserve"> proportion</w:t>
      </w:r>
      <w:r>
        <w:rPr>
          <w:rFonts w:ascii="Times New Roman" w:hAnsi="Times New Roman" w:cs="Times New Roman"/>
        </w:rPr>
        <w:t xml:space="preserve"> of</w:t>
      </w:r>
      <w:r>
        <w:rPr>
          <w:rFonts w:ascii="Times New Roman" w:hAnsi="Times New Roman" w:cs="Times New Roman"/>
        </w:rPr>
        <w:t xml:space="preserve"> management’s</w:t>
      </w:r>
      <w:r>
        <w:rPr>
          <w:rFonts w:ascii="Times New Roman" w:hAnsi="Times New Roman" w:cs="Times New Roman"/>
        </w:rPr>
        <w:t xml:space="preserve"> share</w:t>
      </w:r>
      <w:r>
        <w:rPr>
          <w:rFonts w:ascii="Times New Roman" w:hAnsi="Times New Roman" w:cs="Times New Roman"/>
        </w:rPr>
        <w:t xml:space="preserve"> is</w:t>
      </w:r>
      <w:r>
        <w:rPr>
          <w:rFonts w:ascii="Times New Roman" w:hAnsi="Times New Roman" w:cs="Times New Roman"/>
        </w:rPr>
        <w:t xml:space="preserve"> negatively</w:t>
      </w:r>
      <w:r>
        <w:rPr>
          <w:rFonts w:ascii="Times New Roman" w:hAnsi="Times New Roman" w:cs="Times New Roman"/>
        </w:rPr>
        <w:t xml:space="preserve"> related</w:t>
      </w:r>
      <w:r>
        <w:rPr>
          <w:rFonts w:ascii="Times New Roman" w:hAnsi="Times New Roman" w:cs="Times New Roman"/>
        </w:rPr>
        <w:t xml:space="preserve"> to</w:t>
      </w:r>
      <w:r>
        <w:rPr>
          <w:rFonts w:ascii="Times New Roman" w:hAnsi="Times New Roman" w:cs="Times New Roman"/>
        </w:rPr>
        <w:t xml:space="preserve"> the</w:t>
      </w:r>
      <w:r>
        <w:rPr>
          <w:rFonts w:ascii="Times New Roman" w:hAnsi="Times New Roman" w:cs="Times New Roman"/>
        </w:rPr>
        <w:t xml:space="preserve"> enterprise</w:t>
      </w:r>
      <w:r>
        <w:rPr>
          <w:rFonts w:ascii="Times New Roman" w:hAnsi="Times New Roman" w:cs="Times New Roman"/>
        </w:rPr>
        <w:t xml:space="preserve"> value,</w:t>
      </w:r>
      <w:r>
        <w:rPr>
          <w:rFonts w:ascii="Times New Roman" w:hAnsi="Times New Roman" w:cs="Times New Roman"/>
        </w:rPr>
        <w:t xml:space="preserve"> and</w:t>
      </w:r>
      <w:r>
        <w:rPr>
          <w:rFonts w:ascii="Times New Roman" w:hAnsi="Times New Roman" w:cs="Times New Roman"/>
        </w:rPr>
        <w:t xml:space="preserve"> the</w:t>
      </w:r>
      <w:r>
        <w:rPr>
          <w:rFonts w:ascii="Times New Roman" w:hAnsi="Times New Roman" w:cs="Times New Roman"/>
        </w:rPr>
        <w:t xml:space="preserve"> proportion</w:t>
      </w:r>
      <w:r>
        <w:rPr>
          <w:rFonts w:ascii="Times New Roman" w:hAnsi="Times New Roman" w:cs="Times New Roman"/>
        </w:rPr>
        <w:t xml:space="preserve"> of</w:t>
      </w:r>
      <w:r>
        <w:rPr>
          <w:rFonts w:ascii="Times New Roman" w:hAnsi="Times New Roman" w:cs="Times New Roman"/>
        </w:rPr>
        <w:t xml:space="preserve"> core</w:t>
      </w:r>
      <w:r>
        <w:rPr>
          <w:rFonts w:ascii="Times New Roman" w:hAnsi="Times New Roman" w:cs="Times New Roman"/>
        </w:rPr>
        <w:t xml:space="preserve"> technicians</w:t>
      </w:r>
      <w:r>
        <w:rPr>
          <w:rFonts w:ascii="Times New Roman" w:hAnsi="Times New Roman" w:cs="Times New Roman"/>
        </w:rPr>
        <w:t xml:space="preserve"> and</w:t>
      </w:r>
      <w:r>
        <w:rPr>
          <w:rFonts w:ascii="Times New Roman" w:hAnsi="Times New Roman" w:cs="Times New Roman"/>
        </w:rPr>
        <w:t xml:space="preserve"> shareholding</w:t>
      </w:r>
      <w:r>
        <w:rPr>
          <w:rFonts w:ascii="Times New Roman" w:hAnsi="Times New Roman" w:cs="Times New Roman"/>
        </w:rPr>
        <w:t xml:space="preserve"> platform</w:t>
      </w:r>
      <w:r>
        <w:rPr>
          <w:rFonts w:ascii="Times New Roman" w:hAnsi="Times New Roman" w:cs="Times New Roman"/>
        </w:rPr>
        <w:t xml:space="preserve"> is</w:t>
      </w:r>
      <w:r>
        <w:rPr>
          <w:rFonts w:ascii="Times New Roman" w:hAnsi="Times New Roman" w:cs="Times New Roman"/>
        </w:rPr>
        <w:t xml:space="preserve"> positively</w:t>
      </w:r>
      <w:r>
        <w:rPr>
          <w:rFonts w:ascii="Times New Roman" w:hAnsi="Times New Roman" w:cs="Times New Roman"/>
        </w:rPr>
        <w:t xml:space="preserve"> related</w:t>
      </w:r>
      <w:r>
        <w:rPr>
          <w:rFonts w:ascii="Times New Roman" w:hAnsi="Times New Roman" w:cs="Times New Roman"/>
        </w:rPr>
        <w:t xml:space="preserve"> to</w:t>
      </w:r>
      <w:r>
        <w:rPr>
          <w:rFonts w:ascii="Times New Roman" w:hAnsi="Times New Roman" w:cs="Times New Roman"/>
        </w:rPr>
        <w:t xml:space="preserve"> the</w:t>
      </w:r>
      <w:r>
        <w:rPr>
          <w:rFonts w:ascii="Times New Roman" w:hAnsi="Times New Roman" w:cs="Times New Roman"/>
        </w:rPr>
        <w:t xml:space="preserve"> enterprise</w:t>
      </w:r>
      <w:r>
        <w:rPr>
          <w:rFonts w:ascii="Times New Roman" w:hAnsi="Times New Roman" w:cs="Times New Roman"/>
        </w:rPr>
        <w:t xml:space="preserve"> value.</w:t>
      </w:r>
      <w:r>
        <w:rPr>
          <w:rFonts w:ascii="Times New Roman" w:hAnsi="Times New Roman" w:cs="Times New Roman"/>
        </w:rPr>
        <w:t xml:space="preserve"> The</w:t>
      </w:r>
      <w:r>
        <w:rPr>
          <w:rFonts w:ascii="Times New Roman" w:hAnsi="Times New Roman" w:cs="Times New Roman"/>
        </w:rPr>
        <w:t xml:space="preserve"> dissertation</w:t>
      </w:r>
      <w:r>
        <w:rPr>
          <w:rFonts w:ascii="Times New Roman" w:hAnsi="Times New Roman" w:cs="Times New Roman"/>
        </w:rPr>
        <w:t xml:space="preserve"> holds</w:t>
      </w:r>
      <w:r>
        <w:rPr>
          <w:rFonts w:ascii="Times New Roman" w:hAnsi="Times New Roman" w:cs="Times New Roman"/>
        </w:rPr>
        <w:t xml:space="preserve"> that</w:t>
      </w:r>
      <w:r>
        <w:rPr>
          <w:rFonts w:ascii="Times New Roman" w:hAnsi="Times New Roman" w:cs="Times New Roman"/>
        </w:rPr>
        <w:t xml:space="preserve"> the</w:t>
      </w:r>
      <w:r>
        <w:rPr>
          <w:rFonts w:ascii="Times New Roman" w:hAnsi="Times New Roman" w:cs="Times New Roman"/>
        </w:rPr>
        <w:t xml:space="preserve"> interest</w:t>
      </w:r>
      <w:r>
        <w:rPr>
          <w:rFonts w:ascii="Times New Roman" w:hAnsi="Times New Roman" w:cs="Times New Roman"/>
        </w:rPr>
        <w:t xml:space="preserve"> background</w:t>
      </w:r>
      <w:r>
        <w:rPr>
          <w:rFonts w:ascii="Times New Roman" w:hAnsi="Times New Roman" w:cs="Times New Roman"/>
        </w:rPr>
        <w:t xml:space="preserve"> of</w:t>
      </w:r>
      <w:r>
        <w:rPr>
          <w:rFonts w:ascii="Times New Roman" w:hAnsi="Times New Roman" w:cs="Times New Roman"/>
        </w:rPr>
        <w:t xml:space="preserve"> the</w:t>
      </w:r>
      <w:r>
        <w:rPr>
          <w:rFonts w:ascii="Times New Roman" w:hAnsi="Times New Roman" w:cs="Times New Roman"/>
        </w:rPr>
        <w:t xml:space="preserve"> shareholders</w:t>
      </w:r>
      <w:r>
        <w:rPr>
          <w:rFonts w:ascii="Times New Roman" w:hAnsi="Times New Roman" w:cs="Times New Roman"/>
        </w:rPr>
        <w:t xml:space="preserve"> is</w:t>
      </w:r>
      <w:r>
        <w:rPr>
          <w:rFonts w:ascii="Times New Roman" w:hAnsi="Times New Roman" w:cs="Times New Roman"/>
        </w:rPr>
        <w:t xml:space="preserve"> the</w:t>
      </w:r>
      <w:r>
        <w:rPr>
          <w:rFonts w:ascii="Times New Roman" w:hAnsi="Times New Roman" w:cs="Times New Roman"/>
        </w:rPr>
        <w:t xml:space="preserve"> core</w:t>
      </w:r>
      <w:r>
        <w:rPr>
          <w:rFonts w:ascii="Times New Roman" w:hAnsi="Times New Roman" w:cs="Times New Roman"/>
        </w:rPr>
        <w:t xml:space="preserve"> factor</w:t>
      </w:r>
      <w:r>
        <w:rPr>
          <w:rFonts w:ascii="Times New Roman" w:hAnsi="Times New Roman" w:cs="Times New Roman"/>
        </w:rPr>
        <w:t xml:space="preserve"> that</w:t>
      </w:r>
      <w:r>
        <w:rPr>
          <w:rFonts w:ascii="Times New Roman" w:hAnsi="Times New Roman" w:cs="Times New Roman"/>
        </w:rPr>
        <w:t xml:space="preserve"> causes</w:t>
      </w:r>
      <w:r>
        <w:rPr>
          <w:rFonts w:ascii="Times New Roman" w:hAnsi="Times New Roman" w:cs="Times New Roman"/>
        </w:rPr>
        <w:t xml:space="preserve"> the</w:t>
      </w:r>
      <w:r>
        <w:rPr>
          <w:rFonts w:ascii="Times New Roman" w:hAnsi="Times New Roman" w:cs="Times New Roman"/>
        </w:rPr>
        <w:t xml:space="preserve"> relevant</w:t>
      </w:r>
      <w:r>
        <w:rPr>
          <w:rFonts w:ascii="Times New Roman" w:hAnsi="Times New Roman" w:cs="Times New Roman"/>
        </w:rPr>
        <w:t xml:space="preserve"> differences.</w:t>
      </w:r>
      <w:r>
        <w:rPr>
          <w:rFonts w:ascii="Times New Roman" w:hAnsi="Times New Roman" w:cs="Times New Roman"/>
        </w:rPr>
        <w:t xml:space="preserve"> The</w:t>
      </w:r>
      <w:r>
        <w:rPr>
          <w:rFonts w:ascii="Times New Roman" w:hAnsi="Times New Roman" w:cs="Times New Roman"/>
        </w:rPr>
        <w:t xml:space="preserve"> rapid</w:t>
      </w:r>
      <w:r>
        <w:rPr>
          <w:rFonts w:ascii="Times New Roman" w:hAnsi="Times New Roman" w:cs="Times New Roman"/>
        </w:rPr>
        <w:t xml:space="preserve"> development</w:t>
      </w:r>
      <w:r>
        <w:rPr>
          <w:rFonts w:ascii="Times New Roman" w:hAnsi="Times New Roman" w:cs="Times New Roman"/>
        </w:rPr>
        <w:t xml:space="preserve"> of</w:t>
      </w:r>
      <w:r>
        <w:rPr>
          <w:rFonts w:ascii="Times New Roman" w:hAnsi="Times New Roman" w:cs="Times New Roman"/>
        </w:rPr>
        <w:t xml:space="preserve"> the</w:t>
      </w:r>
      <w:r>
        <w:rPr>
          <w:rFonts w:ascii="Times New Roman" w:hAnsi="Times New Roman" w:cs="Times New Roman"/>
        </w:rPr>
        <w:t xml:space="preserve"> enterprise</w:t>
      </w:r>
      <w:r>
        <w:rPr>
          <w:rFonts w:ascii="Times New Roman" w:hAnsi="Times New Roman" w:cs="Times New Roman"/>
        </w:rPr>
        <w:t xml:space="preserve"> coincides</w:t>
      </w:r>
      <w:r>
        <w:rPr>
          <w:rFonts w:ascii="Times New Roman" w:hAnsi="Times New Roman" w:cs="Times New Roman"/>
        </w:rPr>
        <w:t xml:space="preserve"> with</w:t>
      </w:r>
      <w:r>
        <w:rPr>
          <w:rFonts w:ascii="Times New Roman" w:hAnsi="Times New Roman" w:cs="Times New Roman"/>
        </w:rPr>
        <w:t xml:space="preserve"> the</w:t>
      </w:r>
      <w:r>
        <w:rPr>
          <w:rFonts w:ascii="Times New Roman" w:hAnsi="Times New Roman" w:cs="Times New Roman"/>
        </w:rPr>
        <w:t xml:space="preserve"> interests</w:t>
      </w:r>
      <w:r>
        <w:rPr>
          <w:rFonts w:ascii="Times New Roman" w:hAnsi="Times New Roman" w:cs="Times New Roman"/>
        </w:rPr>
        <w:t xml:space="preserve"> of</w:t>
      </w:r>
      <w:r>
        <w:rPr>
          <w:rFonts w:ascii="Times New Roman" w:hAnsi="Times New Roman" w:cs="Times New Roman"/>
        </w:rPr>
        <w:t xml:space="preserve"> the</w:t>
      </w:r>
      <w:r>
        <w:rPr>
          <w:rFonts w:ascii="Times New Roman" w:hAnsi="Times New Roman" w:cs="Times New Roman"/>
        </w:rPr>
        <w:t xml:space="preserve"> core</w:t>
      </w:r>
      <w:r>
        <w:rPr>
          <w:rFonts w:ascii="Times New Roman" w:hAnsi="Times New Roman" w:cs="Times New Roman"/>
        </w:rPr>
        <w:t xml:space="preserve"> technicians</w:t>
      </w:r>
      <w:r>
        <w:rPr>
          <w:rFonts w:ascii="Times New Roman" w:hAnsi="Times New Roman" w:cs="Times New Roman"/>
        </w:rPr>
        <w:t xml:space="preserve"> and</w:t>
      </w:r>
      <w:r>
        <w:rPr>
          <w:rFonts w:ascii="Times New Roman" w:hAnsi="Times New Roman" w:cs="Times New Roman"/>
        </w:rPr>
        <w:t xml:space="preserve"> non-management</w:t>
      </w:r>
      <w:r>
        <w:rPr>
          <w:rFonts w:ascii="Times New Roman" w:hAnsi="Times New Roman" w:cs="Times New Roman"/>
        </w:rPr>
        <w:t xml:space="preserve"> employees.</w:t>
      </w:r>
      <w:r>
        <w:rPr>
          <w:rFonts w:ascii="Times New Roman" w:hAnsi="Times New Roman" w:cs="Times New Roman"/>
        </w:rPr>
        <w:t xml:space="preserve"> The</w:t>
      </w:r>
      <w:r>
        <w:rPr>
          <w:rFonts w:ascii="Times New Roman" w:hAnsi="Times New Roman" w:cs="Times New Roman"/>
        </w:rPr>
        <w:t xml:space="preserve"> management</w:t>
      </w:r>
      <w:r>
        <w:rPr>
          <w:rFonts w:ascii="Times New Roman" w:hAnsi="Times New Roman" w:cs="Times New Roman"/>
        </w:rPr>
        <w:t xml:space="preserve"> will</w:t>
      </w:r>
      <w:r>
        <w:rPr>
          <w:rFonts w:ascii="Times New Roman" w:hAnsi="Times New Roman" w:cs="Times New Roman"/>
        </w:rPr>
        <w:t xml:space="preserve"> tend</w:t>
      </w:r>
      <w:r>
        <w:rPr>
          <w:rFonts w:ascii="Times New Roman" w:hAnsi="Times New Roman" w:cs="Times New Roman"/>
        </w:rPr>
        <w:t xml:space="preserve"> to</w:t>
      </w:r>
      <w:r>
        <w:rPr>
          <w:rFonts w:ascii="Times New Roman" w:hAnsi="Times New Roman" w:cs="Times New Roman"/>
        </w:rPr>
        <w:t xml:space="preserve"> give</w:t>
      </w:r>
      <w:r>
        <w:rPr>
          <w:rFonts w:ascii="Times New Roman" w:hAnsi="Times New Roman" w:cs="Times New Roman"/>
        </w:rPr>
        <w:t xml:space="preserve"> up</w:t>
      </w:r>
      <w:r>
        <w:rPr>
          <w:rFonts w:ascii="Times New Roman" w:hAnsi="Times New Roman" w:cs="Times New Roman"/>
        </w:rPr>
        <w:t xml:space="preserve"> the</w:t>
      </w:r>
      <w:r>
        <w:rPr>
          <w:rFonts w:ascii="Times New Roman" w:hAnsi="Times New Roman" w:cs="Times New Roman"/>
        </w:rPr>
        <w:t xml:space="preserve"> long-term</w:t>
      </w:r>
      <w:r>
        <w:rPr>
          <w:rFonts w:ascii="Times New Roman" w:hAnsi="Times New Roman" w:cs="Times New Roman"/>
        </w:rPr>
        <w:t xml:space="preserve"> interests</w:t>
      </w:r>
      <w:r>
        <w:rPr>
          <w:rFonts w:ascii="Times New Roman" w:hAnsi="Times New Roman" w:cs="Times New Roman"/>
        </w:rPr>
        <w:t xml:space="preserve"> and</w:t>
      </w:r>
      <w:r>
        <w:rPr>
          <w:rFonts w:ascii="Times New Roman" w:hAnsi="Times New Roman" w:cs="Times New Roman"/>
        </w:rPr>
        <w:t xml:space="preserve"> be</w:t>
      </w:r>
      <w:r>
        <w:rPr>
          <w:rFonts w:ascii="Times New Roman" w:hAnsi="Times New Roman" w:cs="Times New Roman"/>
        </w:rPr>
        <w:t xml:space="preserve"> content</w:t>
      </w:r>
      <w:r>
        <w:rPr>
          <w:rFonts w:ascii="Times New Roman" w:hAnsi="Times New Roman" w:cs="Times New Roman"/>
        </w:rPr>
        <w:t xml:space="preserve"> with</w:t>
      </w:r>
      <w:r>
        <w:rPr>
          <w:rFonts w:ascii="Times New Roman" w:hAnsi="Times New Roman" w:cs="Times New Roman"/>
        </w:rPr>
        <w:t xml:space="preserve"> the</w:t>
      </w:r>
      <w:r>
        <w:rPr>
          <w:rFonts w:ascii="Times New Roman" w:hAnsi="Times New Roman" w:cs="Times New Roman"/>
        </w:rPr>
        <w:t xml:space="preserve"> status</w:t>
      </w:r>
      <w:r>
        <w:rPr>
          <w:rFonts w:ascii="Times New Roman" w:hAnsi="Times New Roman" w:cs="Times New Roman"/>
        </w:rPr>
        <w:t xml:space="preserve"> quo</w:t>
      </w:r>
      <w:r>
        <w:rPr>
          <w:rFonts w:ascii="Times New Roman" w:hAnsi="Times New Roman" w:cs="Times New Roman"/>
        </w:rPr>
        <w:t xml:space="preserve"> in</w:t>
      </w:r>
      <w:r>
        <w:rPr>
          <w:rFonts w:ascii="Times New Roman" w:hAnsi="Times New Roman" w:cs="Times New Roman"/>
        </w:rPr>
        <w:t xml:space="preserve"> consideration</w:t>
      </w:r>
      <w:r>
        <w:rPr>
          <w:rFonts w:ascii="Times New Roman" w:hAnsi="Times New Roman" w:cs="Times New Roman"/>
        </w:rPr>
        <w:t xml:space="preserve"> of</w:t>
      </w:r>
      <w:r>
        <w:rPr>
          <w:rFonts w:ascii="Times New Roman" w:hAnsi="Times New Roman" w:cs="Times New Roman"/>
        </w:rPr>
        <w:t xml:space="preserve"> the</w:t>
      </w:r>
      <w:r>
        <w:rPr>
          <w:rFonts w:ascii="Times New Roman" w:hAnsi="Times New Roman" w:cs="Times New Roman"/>
        </w:rPr>
        <w:t xml:space="preserve"> overall</w:t>
      </w:r>
      <w:r>
        <w:rPr>
          <w:rFonts w:ascii="Times New Roman" w:hAnsi="Times New Roman" w:cs="Times New Roman"/>
        </w:rPr>
        <w:t xml:space="preserve"> perspective</w:t>
      </w:r>
      <w:r>
        <w:rPr>
          <w:rFonts w:ascii="Times New Roman" w:hAnsi="Times New Roman" w:cs="Times New Roman"/>
        </w:rPr>
        <w:t xml:space="preserve"> of</w:t>
      </w:r>
      <w:r>
        <w:rPr>
          <w:rFonts w:ascii="Times New Roman" w:hAnsi="Times New Roman" w:cs="Times New Roman"/>
        </w:rPr>
        <w:t xml:space="preserve"> the</w:t>
      </w:r>
      <w:r>
        <w:rPr>
          <w:rFonts w:ascii="Times New Roman" w:hAnsi="Times New Roman" w:cs="Times New Roman"/>
        </w:rPr>
        <w:t xml:space="preserve"> enterprise</w:t>
      </w:r>
      <w:r>
        <w:rPr>
          <w:rFonts w:ascii="Times New Roman" w:hAnsi="Times New Roman" w:cs="Times New Roman"/>
        </w:rPr>
        <w:t xml:space="preserve"> and</w:t>
      </w:r>
      <w:r>
        <w:rPr>
          <w:rFonts w:ascii="Times New Roman" w:hAnsi="Times New Roman" w:cs="Times New Roman"/>
        </w:rPr>
        <w:t xml:space="preserve"> avoiding</w:t>
      </w:r>
      <w:r>
        <w:rPr>
          <w:rFonts w:ascii="Times New Roman" w:hAnsi="Times New Roman" w:cs="Times New Roman"/>
        </w:rPr>
        <w:t xml:space="preserve"> the</w:t>
      </w:r>
      <w:r>
        <w:rPr>
          <w:rFonts w:ascii="Times New Roman" w:hAnsi="Times New Roman" w:cs="Times New Roman"/>
        </w:rPr>
        <w:t xml:space="preserve"> damage</w:t>
      </w:r>
      <w:r>
        <w:rPr>
          <w:rFonts w:ascii="Times New Roman" w:hAnsi="Times New Roman" w:cs="Times New Roman"/>
        </w:rPr>
        <w:t xml:space="preserve"> of</w:t>
      </w:r>
      <w:r>
        <w:rPr>
          <w:rFonts w:ascii="Times New Roman" w:hAnsi="Times New Roman" w:cs="Times New Roman"/>
        </w:rPr>
        <w:t xml:space="preserve"> risk</w:t>
      </w:r>
      <w:r>
        <w:rPr>
          <w:rFonts w:ascii="Times New Roman" w:hAnsi="Times New Roman" w:cs="Times New Roman"/>
        </w:rPr>
        <w:t xml:space="preserve"> management</w:t>
      </w:r>
      <w:r>
        <w:rPr>
          <w:rFonts w:ascii="Times New Roman" w:hAnsi="Times New Roman" w:cs="Times New Roman"/>
        </w:rPr>
        <w:t xml:space="preserve"> to</w:t>
      </w:r>
      <w:r>
        <w:rPr>
          <w:rFonts w:ascii="Times New Roman" w:hAnsi="Times New Roman" w:cs="Times New Roman"/>
        </w:rPr>
        <w:t xml:space="preserve"> their</w:t>
      </w:r>
      <w:r>
        <w:rPr>
          <w:rFonts w:ascii="Times New Roman" w:hAnsi="Times New Roman" w:cs="Times New Roman"/>
        </w:rPr>
        <w:t xml:space="preserve"> own</w:t>
      </w:r>
      <w:r>
        <w:rPr>
          <w:rFonts w:ascii="Times New Roman" w:hAnsi="Times New Roman" w:cs="Times New Roman"/>
        </w:rPr>
        <w:t xml:space="preserve"> interests.</w:t>
      </w:r>
    </w:p>
    <w:p>
      <w:pPr>
        <w:ind w:firstLine="480"/>
        <w:rPr>
          <w:rFonts w:ascii="Times New Roman" w:hAnsi="Times New Roman" w:cs="Times New Roman"/>
        </w:rPr>
      </w:pPr>
      <w:r>
        <w:rPr>
          <w:rFonts w:ascii="Times New Roman" w:hAnsi="Times New Roman" w:cs="Times New Roman"/>
        </w:rPr>
        <w:t>Keywords</w:t>
      </w:r>
      <w:r>
        <w:rPr>
          <w:rFonts w:ascii="Times New Roman" w:hAnsi="Times New Roman" w:cs="Times New Roman" w:hint="eastAsia"/>
        </w:rPr>
        <w:t>：H</w:t>
      </w:r>
      <w:r>
        <w:rPr>
          <w:rFonts w:ascii="Times New Roman" w:hAnsi="Times New Roman" w:cs="Times New Roman"/>
        </w:rPr>
        <w:t>igh-tech firms; Corporate governance; Equity incentive; Growth</w:t>
      </w:r>
    </w:p>
    <w:p>
      <w:pPr>
        <w:ind w:firstLine="0" w:firstLineChars="0"/>
        <w:rPr>
          <w:rFonts w:ascii="Times New Roman" w:hAnsi="Times New Roman" w:cs="Times New Roman"/>
        </w:rPr>
      </w:pPr>
    </w:p>
    <w:p>
      <w:pPr>
        <w:ind w:firstLine="0" w:firstLineChars="0"/>
        <w:rPr>
          <w:rFonts w:ascii="Times New Roman" w:hAnsi="Times New Roman" w:cs="Times New Roman"/>
        </w:rPr>
      </w:pPr>
      <w:r>
        <w:rPr>
          <w:rFonts w:ascii="Times New Roman" w:hAnsi="Times New Roman" w:cs="Times New Roman"/>
        </w:rPr>
        <w:br/>
      </w:r>
      <w:r>
        <w:rPr>
          <w:rFonts w:ascii="Times New Roman" w:hAnsi="Times New Roman" w:cs="Times New Roman"/>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https://d.book118.com/996100011230010034</w:t>
        </w:r>
      </w:hyperlink>
    </w:p>
    <w:p>
      <w:pPr>
        <w:ind w:firstLine="0" w:firstLineChars="0"/>
        <w:rPr>
          <w:rFonts w:ascii="Times New Roman" w:hAnsi="Times New Roman" w:cs="Times New Roman"/>
        </w:rPr>
      </w:pPr>
    </w:p>
    <w:sectPr>
      <w:headerReference w:type="even" r:id="rId14"/>
      <w:headerReference w:type="default" r:id="rId15"/>
      <w:footerReference w:type="even" r:id="rId16"/>
      <w:footerReference w:type="default" r:id="rId17"/>
      <w:headerReference w:type="first" r:id="rId18"/>
      <w:footerReference w:type="first" r:id="rId19"/>
      <w:type w:val="nextPage"/>
      <w:pgSz w:w="11906" w:h="16838"/>
      <w:pgMar w:top="1701" w:right="1701" w:bottom="1701" w:left="1701" w:header="851" w:footer="992" w:gutter="0"/>
      <w:pgNumType w:start="2"/>
      <w:cols w:num="1" w:space="425"/>
      <w:titlePg w:val="0"/>
      <w:docGrid w:type="lines" w:linePitch="32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华文仿宋">
    <w:altName w:val="仿宋"/>
    <w:panose1 w:val="02010600040101010101"/>
    <w:charset w:val="86"/>
    <w:family w:val="auto"/>
    <w:pitch w:val="default"/>
    <w:sig w:usb0="00000000" w:usb1="00000000" w:usb2="00000010" w:usb3="00000000" w:csb0="0004009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MingLiU">
    <w:altName w:val="PMingLiU-ExtB"/>
    <w:panose1 w:val="02010609000101010101"/>
    <w:charset w:val="88"/>
    <w:family w:val="modern"/>
    <w:pitch w:val="default"/>
    <w:sig w:usb0="00000000" w:usb1="00000000" w:usb2="00000016" w:usb3="00000000" w:csb0="00100001"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22415476"/>
      <w:docPartObj>
        <w:docPartGallery w:val="AutoText"/>
      </w:docPartObj>
    </w:sdtPr>
    <w:sdtContent>
      <w:p>
        <w:pPr>
          <w:pStyle w:val="Header"/>
          <w:ind w:firstLine="360"/>
        </w:pPr>
        <w:r>
          <w:fldChar w:fldCharType="begin"/>
        </w:r>
        <w:r>
          <w:instrText>PAGE   \* MERGEFORMAT</w:instrText>
        </w:r>
        <w:r>
          <w:fldChar w:fldCharType="separate"/>
        </w:r>
        <w:r>
          <w:rPr>
            <w:lang w:val="zh-CN"/>
          </w:rPr>
          <w:t>2</w:t>
        </w:r>
        <w:r>
          <w:fldChar w:fldCharType="end"/>
        </w:r>
      </w:p>
    </w:sdtContent>
  </w:sdt>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4880212"/>
      <w:docPartObj>
        <w:docPartGallery w:val="AutoText"/>
      </w:docPartObj>
    </w:sdtPr>
    <w:sdtContent>
      <w:p>
        <w:pPr>
          <w:pStyle w:val="Header"/>
          <w:ind w:firstLine="360"/>
        </w:pPr>
        <w:r>
          <w:fldChar w:fldCharType="begin"/>
        </w:r>
        <w:r>
          <w:instrText>PAGE   \* MERGEFORMAT</w:instrText>
        </w:r>
        <w:r>
          <w:fldChar w:fldCharType="separate"/>
        </w:r>
        <w:r>
          <w:rPr>
            <w:lang w:val="zh-CN"/>
          </w:rPr>
          <w:t>1</w:t>
        </w:r>
        <w:r>
          <w:fldChar w:fldCharType="end"/>
        </w:r>
      </w:p>
    </w:sdtContent>
  </w:sdt>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93354862"/>
      <w:docPartObj>
        <w:docPartGallery w:val="AutoText"/>
      </w:docPartObj>
    </w:sdtPr>
    <w:sdtContent>
      <w:p>
        <w:pPr>
          <w:pStyle w:val="Header"/>
          <w:ind w:firstLine="360"/>
        </w:pPr>
        <w:r>
          <w:fldChar w:fldCharType="begin"/>
        </w:r>
        <w:r>
          <w:instrText>PAGE   \* MERGEFORMAT</w:instrText>
        </w:r>
        <w:r>
          <w:fldChar w:fldCharType="separate"/>
        </w:r>
        <w:r>
          <w:rPr>
            <w:lang w:val="zh-CN"/>
          </w:rPr>
          <w:t>2</w:t>
        </w:r>
        <w:r>
          <w:fldChar w:fldCharType="end"/>
        </w:r>
      </w:p>
    </w:sdtContent>
  </w:sdt>
  <w:p>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58056238"/>
      <w:docPartObj>
        <w:docPartGallery w:val="AutoText"/>
      </w:docPartObj>
    </w:sdtPr>
    <w:sdtContent>
      <w:p>
        <w:pPr>
          <w:pStyle w:val="Header"/>
          <w:ind w:firstLine="360"/>
        </w:pPr>
        <w:r>
          <w:fldChar w:fldCharType="begin"/>
        </w:r>
        <w:r>
          <w:instrText>PAGE   \* MERGEFORMAT</w:instrText>
        </w:r>
        <w:r>
          <w:fldChar w:fldCharType="separate"/>
        </w:r>
        <w:r>
          <w:rPr>
            <w:lang w:val="zh-CN"/>
          </w:rPr>
          <w:t>1</w:t>
        </w:r>
        <w:r>
          <w:fldChar w:fldCharType="end"/>
        </w:r>
      </w:p>
    </w:sdtContent>
  </w:sdt>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7C16407"/>
    <w:multiLevelType w:val="multilevel"/>
    <w:tmpl w:val="27C16407"/>
    <w:lvl w:ilvl="0">
      <w:start w:val="1"/>
      <w:numFmt w:val="decimal"/>
      <w:pStyle w:val="a"/>
      <w:lvlText w:val="%1."/>
      <w:lvlJc w:val="left"/>
      <w:pPr>
        <w:ind w:left="840" w:hanging="420"/>
      </w:pPr>
      <w:rPr>
        <w:rFonts w:hint="eastAsia"/>
      </w:rPr>
    </w:lvl>
    <w:lvl w:ilvl="1">
      <w:start w:val="2"/>
      <w:numFmt w:val="decimal"/>
      <w:isLgl/>
      <w:lvlText w:val="%1.%2"/>
      <w:lvlJc w:val="left"/>
      <w:pPr>
        <w:ind w:left="940" w:hanging="52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220" w:hanging="1800"/>
      </w:pPr>
      <w:rPr>
        <w:rFonts w:hint="default"/>
      </w:rPr>
    </w:lvl>
  </w:abstractNum>
  <w:abstractNum w:abstractNumId="1">
    <w:nsid w:val="5B157249"/>
    <w:multiLevelType w:val="multilevel"/>
    <w:tmpl w:val="5B157249"/>
    <w:lvl w:ilvl="0">
      <w:start w:val="1"/>
      <w:numFmt w:val="decimal"/>
      <w:pStyle w:val="a0"/>
      <w:lvlText w:val="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73610E77"/>
    <w:multiLevelType w:val="multilevel"/>
    <w:tmpl w:val="73610E77"/>
    <w:lvl w:ilvl="0">
      <w:start w:val="1"/>
      <w:numFmt w:val="decimal"/>
      <w:pStyle w:val="a2"/>
      <w:lvlText w:val="1.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C23"/>
    <w:rsid w:val="000010EB"/>
    <w:rsid w:val="000021EE"/>
    <w:rsid w:val="00005812"/>
    <w:rsid w:val="00017FC0"/>
    <w:rsid w:val="0002559C"/>
    <w:rsid w:val="00031587"/>
    <w:rsid w:val="00042E90"/>
    <w:rsid w:val="00053806"/>
    <w:rsid w:val="000562C6"/>
    <w:rsid w:val="0006212C"/>
    <w:rsid w:val="000666B2"/>
    <w:rsid w:val="00066C91"/>
    <w:rsid w:val="000710F0"/>
    <w:rsid w:val="00072735"/>
    <w:rsid w:val="00074648"/>
    <w:rsid w:val="0007735A"/>
    <w:rsid w:val="0008271A"/>
    <w:rsid w:val="00087ED3"/>
    <w:rsid w:val="000A1FDF"/>
    <w:rsid w:val="000B7BFF"/>
    <w:rsid w:val="000C6835"/>
    <w:rsid w:val="000D331D"/>
    <w:rsid w:val="000D3C5F"/>
    <w:rsid w:val="000D55D4"/>
    <w:rsid w:val="000F1022"/>
    <w:rsid w:val="000F1E9A"/>
    <w:rsid w:val="000F7DA7"/>
    <w:rsid w:val="001062D9"/>
    <w:rsid w:val="00107E15"/>
    <w:rsid w:val="00111788"/>
    <w:rsid w:val="00112B9B"/>
    <w:rsid w:val="00131F2D"/>
    <w:rsid w:val="00147748"/>
    <w:rsid w:val="00150CCE"/>
    <w:rsid w:val="00164C92"/>
    <w:rsid w:val="00172795"/>
    <w:rsid w:val="0017305E"/>
    <w:rsid w:val="001731AC"/>
    <w:rsid w:val="00177566"/>
    <w:rsid w:val="00177F9F"/>
    <w:rsid w:val="0018126F"/>
    <w:rsid w:val="00191F8F"/>
    <w:rsid w:val="001A6E10"/>
    <w:rsid w:val="001B1D66"/>
    <w:rsid w:val="001B442D"/>
    <w:rsid w:val="001B5FAD"/>
    <w:rsid w:val="001C1721"/>
    <w:rsid w:val="001C1F90"/>
    <w:rsid w:val="001D2121"/>
    <w:rsid w:val="001D4E6E"/>
    <w:rsid w:val="001D76CB"/>
    <w:rsid w:val="001D7E02"/>
    <w:rsid w:val="001E3976"/>
    <w:rsid w:val="001E73A1"/>
    <w:rsid w:val="00201583"/>
    <w:rsid w:val="002139D2"/>
    <w:rsid w:val="002148A8"/>
    <w:rsid w:val="00217C99"/>
    <w:rsid w:val="002341C9"/>
    <w:rsid w:val="0024021F"/>
    <w:rsid w:val="002416C2"/>
    <w:rsid w:val="00246FA5"/>
    <w:rsid w:val="00256AC2"/>
    <w:rsid w:val="002573B6"/>
    <w:rsid w:val="00271AA2"/>
    <w:rsid w:val="00271F29"/>
    <w:rsid w:val="0027669A"/>
    <w:rsid w:val="002775A7"/>
    <w:rsid w:val="002A72CA"/>
    <w:rsid w:val="002B71D5"/>
    <w:rsid w:val="002B7FD1"/>
    <w:rsid w:val="002C0E5B"/>
    <w:rsid w:val="002D1A8C"/>
    <w:rsid w:val="002E3BC7"/>
    <w:rsid w:val="002E4A8C"/>
    <w:rsid w:val="002F55A2"/>
    <w:rsid w:val="002F5F9B"/>
    <w:rsid w:val="002F6603"/>
    <w:rsid w:val="0030066D"/>
    <w:rsid w:val="00302779"/>
    <w:rsid w:val="003316CE"/>
    <w:rsid w:val="00351FC4"/>
    <w:rsid w:val="003523FE"/>
    <w:rsid w:val="00354FC9"/>
    <w:rsid w:val="00356386"/>
    <w:rsid w:val="00357421"/>
    <w:rsid w:val="00360C71"/>
    <w:rsid w:val="00385D2F"/>
    <w:rsid w:val="003A5BF0"/>
    <w:rsid w:val="003A689C"/>
    <w:rsid w:val="003B7AD2"/>
    <w:rsid w:val="003B7ADB"/>
    <w:rsid w:val="003C325D"/>
    <w:rsid w:val="003C636C"/>
    <w:rsid w:val="003E776A"/>
    <w:rsid w:val="003F1A9A"/>
    <w:rsid w:val="003F56E7"/>
    <w:rsid w:val="00400F57"/>
    <w:rsid w:val="0040644F"/>
    <w:rsid w:val="00410FE4"/>
    <w:rsid w:val="0041168D"/>
    <w:rsid w:val="00415AA9"/>
    <w:rsid w:val="004165AF"/>
    <w:rsid w:val="00436EF8"/>
    <w:rsid w:val="00450FE6"/>
    <w:rsid w:val="004539C4"/>
    <w:rsid w:val="00456535"/>
    <w:rsid w:val="00467134"/>
    <w:rsid w:val="00481B45"/>
    <w:rsid w:val="00482A8E"/>
    <w:rsid w:val="0048357E"/>
    <w:rsid w:val="00485B61"/>
    <w:rsid w:val="0048669D"/>
    <w:rsid w:val="004A1BE1"/>
    <w:rsid w:val="004A23BD"/>
    <w:rsid w:val="004A507D"/>
    <w:rsid w:val="004D0DDE"/>
    <w:rsid w:val="004E55E6"/>
    <w:rsid w:val="0050228F"/>
    <w:rsid w:val="00504F98"/>
    <w:rsid w:val="00511CFA"/>
    <w:rsid w:val="00511FFB"/>
    <w:rsid w:val="00521EAF"/>
    <w:rsid w:val="00524968"/>
    <w:rsid w:val="005509B4"/>
    <w:rsid w:val="0055265D"/>
    <w:rsid w:val="005534E1"/>
    <w:rsid w:val="00596997"/>
    <w:rsid w:val="005A1851"/>
    <w:rsid w:val="005B7CCF"/>
    <w:rsid w:val="005C7E4C"/>
    <w:rsid w:val="005D2BA0"/>
    <w:rsid w:val="005D6854"/>
    <w:rsid w:val="005E035E"/>
    <w:rsid w:val="005E423F"/>
    <w:rsid w:val="005E45C1"/>
    <w:rsid w:val="00601A3A"/>
    <w:rsid w:val="006060F6"/>
    <w:rsid w:val="00606810"/>
    <w:rsid w:val="006103FF"/>
    <w:rsid w:val="00610E07"/>
    <w:rsid w:val="00621234"/>
    <w:rsid w:val="0063411F"/>
    <w:rsid w:val="00636BCD"/>
    <w:rsid w:val="00651F34"/>
    <w:rsid w:val="00652A0C"/>
    <w:rsid w:val="00653111"/>
    <w:rsid w:val="006540FE"/>
    <w:rsid w:val="006665A4"/>
    <w:rsid w:val="00667605"/>
    <w:rsid w:val="00675A44"/>
    <w:rsid w:val="006812F2"/>
    <w:rsid w:val="006821D9"/>
    <w:rsid w:val="0068339E"/>
    <w:rsid w:val="00685619"/>
    <w:rsid w:val="00694CF4"/>
    <w:rsid w:val="00694DD6"/>
    <w:rsid w:val="006B6AB8"/>
    <w:rsid w:val="006B725D"/>
    <w:rsid w:val="006B79A9"/>
    <w:rsid w:val="006C27D5"/>
    <w:rsid w:val="006D0F46"/>
    <w:rsid w:val="006D6E19"/>
    <w:rsid w:val="006E7FA8"/>
    <w:rsid w:val="006F3C52"/>
    <w:rsid w:val="0070602E"/>
    <w:rsid w:val="00734A53"/>
    <w:rsid w:val="00742093"/>
    <w:rsid w:val="007455B8"/>
    <w:rsid w:val="007649E2"/>
    <w:rsid w:val="007719D3"/>
    <w:rsid w:val="00773C81"/>
    <w:rsid w:val="007772E1"/>
    <w:rsid w:val="00787567"/>
    <w:rsid w:val="007C2308"/>
    <w:rsid w:val="007C7184"/>
    <w:rsid w:val="007D0909"/>
    <w:rsid w:val="007D0E94"/>
    <w:rsid w:val="007D13AF"/>
    <w:rsid w:val="007D7674"/>
    <w:rsid w:val="007E2F1A"/>
    <w:rsid w:val="007E72D8"/>
    <w:rsid w:val="00800050"/>
    <w:rsid w:val="00805895"/>
    <w:rsid w:val="008104A7"/>
    <w:rsid w:val="00811BD2"/>
    <w:rsid w:val="008165D1"/>
    <w:rsid w:val="008313B7"/>
    <w:rsid w:val="0084298D"/>
    <w:rsid w:val="00847A8D"/>
    <w:rsid w:val="00864DF1"/>
    <w:rsid w:val="00871C65"/>
    <w:rsid w:val="00874189"/>
    <w:rsid w:val="00881390"/>
    <w:rsid w:val="008844EE"/>
    <w:rsid w:val="00890E73"/>
    <w:rsid w:val="008A5B13"/>
    <w:rsid w:val="008B0287"/>
    <w:rsid w:val="008B0B5E"/>
    <w:rsid w:val="008B5887"/>
    <w:rsid w:val="008B75B5"/>
    <w:rsid w:val="008D19E3"/>
    <w:rsid w:val="008E0F5B"/>
    <w:rsid w:val="008E61BF"/>
    <w:rsid w:val="008F4AD6"/>
    <w:rsid w:val="00903CDA"/>
    <w:rsid w:val="00904271"/>
    <w:rsid w:val="00923E47"/>
    <w:rsid w:val="00927C23"/>
    <w:rsid w:val="00941BE6"/>
    <w:rsid w:val="00946519"/>
    <w:rsid w:val="00947F07"/>
    <w:rsid w:val="00961D30"/>
    <w:rsid w:val="00966F42"/>
    <w:rsid w:val="00990572"/>
    <w:rsid w:val="0099191A"/>
    <w:rsid w:val="00995EC2"/>
    <w:rsid w:val="009A7C01"/>
    <w:rsid w:val="009B51BE"/>
    <w:rsid w:val="009D2B2F"/>
    <w:rsid w:val="009D4A6C"/>
    <w:rsid w:val="009E03BE"/>
    <w:rsid w:val="009E173D"/>
    <w:rsid w:val="009E33F2"/>
    <w:rsid w:val="009E7DDC"/>
    <w:rsid w:val="009F1C2C"/>
    <w:rsid w:val="009F492E"/>
    <w:rsid w:val="009F60F0"/>
    <w:rsid w:val="00A114C3"/>
    <w:rsid w:val="00A11D3C"/>
    <w:rsid w:val="00A122D8"/>
    <w:rsid w:val="00A168C9"/>
    <w:rsid w:val="00A25AEE"/>
    <w:rsid w:val="00A53D81"/>
    <w:rsid w:val="00A579C2"/>
    <w:rsid w:val="00A62E4F"/>
    <w:rsid w:val="00A662A4"/>
    <w:rsid w:val="00A8083A"/>
    <w:rsid w:val="00A811F0"/>
    <w:rsid w:val="00A82740"/>
    <w:rsid w:val="00A87267"/>
    <w:rsid w:val="00AA3ED7"/>
    <w:rsid w:val="00AB05B1"/>
    <w:rsid w:val="00AB3A45"/>
    <w:rsid w:val="00AB7AC1"/>
    <w:rsid w:val="00AC33BD"/>
    <w:rsid w:val="00AE5BEE"/>
    <w:rsid w:val="00AF7846"/>
    <w:rsid w:val="00B01DBD"/>
    <w:rsid w:val="00B07C06"/>
    <w:rsid w:val="00B11211"/>
    <w:rsid w:val="00B11741"/>
    <w:rsid w:val="00B15806"/>
    <w:rsid w:val="00B21037"/>
    <w:rsid w:val="00B2437B"/>
    <w:rsid w:val="00B24E5A"/>
    <w:rsid w:val="00B42274"/>
    <w:rsid w:val="00B474E6"/>
    <w:rsid w:val="00B821E2"/>
    <w:rsid w:val="00BB3496"/>
    <w:rsid w:val="00BC139A"/>
    <w:rsid w:val="00BC3761"/>
    <w:rsid w:val="00BD2AB3"/>
    <w:rsid w:val="00BD3A24"/>
    <w:rsid w:val="00BD688A"/>
    <w:rsid w:val="00BE2E65"/>
    <w:rsid w:val="00BE7134"/>
    <w:rsid w:val="00C05461"/>
    <w:rsid w:val="00C10454"/>
    <w:rsid w:val="00C14895"/>
    <w:rsid w:val="00C20DB9"/>
    <w:rsid w:val="00C212F1"/>
    <w:rsid w:val="00C24B30"/>
    <w:rsid w:val="00C269F9"/>
    <w:rsid w:val="00C33F45"/>
    <w:rsid w:val="00C83579"/>
    <w:rsid w:val="00C8688C"/>
    <w:rsid w:val="00CB28DB"/>
    <w:rsid w:val="00CB79C4"/>
    <w:rsid w:val="00CB7B6A"/>
    <w:rsid w:val="00CD1A2D"/>
    <w:rsid w:val="00CD291C"/>
    <w:rsid w:val="00CD3C43"/>
    <w:rsid w:val="00CE2BC9"/>
    <w:rsid w:val="00CE32D7"/>
    <w:rsid w:val="00CE71F9"/>
    <w:rsid w:val="00CF17A4"/>
    <w:rsid w:val="00CF6309"/>
    <w:rsid w:val="00D13424"/>
    <w:rsid w:val="00D13E35"/>
    <w:rsid w:val="00D2108C"/>
    <w:rsid w:val="00D249B5"/>
    <w:rsid w:val="00D37973"/>
    <w:rsid w:val="00D435F1"/>
    <w:rsid w:val="00D54A5D"/>
    <w:rsid w:val="00D57516"/>
    <w:rsid w:val="00D60337"/>
    <w:rsid w:val="00D60468"/>
    <w:rsid w:val="00D66CA4"/>
    <w:rsid w:val="00D73D5C"/>
    <w:rsid w:val="00D8406E"/>
    <w:rsid w:val="00D910FA"/>
    <w:rsid w:val="00D96268"/>
    <w:rsid w:val="00DA4090"/>
    <w:rsid w:val="00DA7884"/>
    <w:rsid w:val="00DB1A12"/>
    <w:rsid w:val="00DB1C1D"/>
    <w:rsid w:val="00DC0521"/>
    <w:rsid w:val="00DE3851"/>
    <w:rsid w:val="00DF53F7"/>
    <w:rsid w:val="00DF5DA6"/>
    <w:rsid w:val="00E01C45"/>
    <w:rsid w:val="00E15223"/>
    <w:rsid w:val="00E22AB5"/>
    <w:rsid w:val="00E24770"/>
    <w:rsid w:val="00E377DB"/>
    <w:rsid w:val="00E527BD"/>
    <w:rsid w:val="00E54A23"/>
    <w:rsid w:val="00E557BB"/>
    <w:rsid w:val="00E57C91"/>
    <w:rsid w:val="00E615AE"/>
    <w:rsid w:val="00E627EC"/>
    <w:rsid w:val="00E81EE0"/>
    <w:rsid w:val="00E8708C"/>
    <w:rsid w:val="00E94B5D"/>
    <w:rsid w:val="00EA0AAB"/>
    <w:rsid w:val="00EB6945"/>
    <w:rsid w:val="00EC3DD1"/>
    <w:rsid w:val="00ED6BE0"/>
    <w:rsid w:val="00ED73F5"/>
    <w:rsid w:val="00EE20CD"/>
    <w:rsid w:val="00EE5152"/>
    <w:rsid w:val="00EE7523"/>
    <w:rsid w:val="00EF1B00"/>
    <w:rsid w:val="00F002CF"/>
    <w:rsid w:val="00F37BCC"/>
    <w:rsid w:val="00F4096D"/>
    <w:rsid w:val="00F511CA"/>
    <w:rsid w:val="00F5276C"/>
    <w:rsid w:val="00F53F67"/>
    <w:rsid w:val="00F5758E"/>
    <w:rsid w:val="00F63C9A"/>
    <w:rsid w:val="00F73331"/>
    <w:rsid w:val="00F8195B"/>
    <w:rsid w:val="00F829B2"/>
    <w:rsid w:val="00FA071C"/>
    <w:rsid w:val="00FA387E"/>
    <w:rsid w:val="00FA5A40"/>
    <w:rsid w:val="00FC13AD"/>
    <w:rsid w:val="00FD28FE"/>
    <w:rsid w:val="00FD5150"/>
    <w:rsid w:val="00FD62C9"/>
    <w:rsid w:val="00FF2253"/>
    <w:rsid w:val="00FF3C4E"/>
    <w:rsid w:val="00FF6DE7"/>
    <w:rsid w:val="00FF7A90"/>
    <w:rsid w:val="4F3C2EB9"/>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200" w:firstLineChars="200"/>
      <w:jc w:val="both"/>
    </w:pPr>
    <w:rPr>
      <w:rFonts w:eastAsia="宋体" w:asciiTheme="minorHAnsi" w:hAnsiTheme="minorHAnsi" w:cstheme="minorBidi"/>
      <w:kern w:val="2"/>
      <w:sz w:val="24"/>
      <w:szCs w:val="22"/>
      <w:lang w:val="en-US" w:eastAsia="zh-CN" w:bidi="ar-SA"/>
    </w:rPr>
  </w:style>
  <w:style w:type="paragraph" w:styleId="Heading1">
    <w:name w:val="heading 1"/>
    <w:basedOn w:val="Normal"/>
    <w:next w:val="Normal"/>
    <w:link w:val="1"/>
    <w:autoRedefine/>
    <w:uiPriority w:val="9"/>
    <w:qFormat/>
    <w:pPr>
      <w:keepNext/>
      <w:keepLines/>
      <w:spacing w:before="340" w:after="330" w:line="578" w:lineRule="auto"/>
      <w:outlineLvl w:val="0"/>
    </w:pPr>
    <w:rPr>
      <w:b/>
      <w:bCs/>
      <w:kern w:val="44"/>
      <w:sz w:val="44"/>
      <w:szCs w:val="44"/>
    </w:rPr>
  </w:style>
  <w:style w:type="paragraph" w:styleId="Heading3">
    <w:name w:val="heading 3"/>
    <w:basedOn w:val="Normal"/>
    <w:next w:val="Normal"/>
    <w:link w:val="3"/>
    <w:autoRedefine/>
    <w:uiPriority w:val="9"/>
    <w:semiHidden/>
    <w:unhideWhenUsed/>
    <w:qFormat/>
    <w:pPr>
      <w:keepNext/>
      <w:keepLines/>
      <w:spacing w:before="260" w:after="260" w:line="416" w:lineRule="auto"/>
      <w:outlineLvl w:val="2"/>
    </w:pPr>
    <w:rPr>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3">
    <w:name w:val="toc 3"/>
    <w:basedOn w:val="Normal"/>
    <w:next w:val="Normal"/>
    <w:autoRedefine/>
    <w:uiPriority w:val="39"/>
    <w:unhideWhenUsed/>
    <w:qFormat/>
    <w:pPr>
      <w:widowControl/>
      <w:spacing w:after="100" w:line="259" w:lineRule="auto"/>
      <w:ind w:left="440" w:firstLine="0" w:firstLineChars="0"/>
      <w:jc w:val="left"/>
    </w:pPr>
    <w:rPr>
      <w:rFonts w:eastAsiaTheme="minorEastAsia" w:cs="Times New Roman"/>
      <w:kern w:val="0"/>
      <w:sz w:val="22"/>
    </w:rPr>
  </w:style>
  <w:style w:type="paragraph" w:styleId="Date">
    <w:name w:val="Date"/>
    <w:basedOn w:val="Normal"/>
    <w:next w:val="Normal"/>
    <w:link w:val="a21"/>
    <w:autoRedefine/>
    <w:uiPriority w:val="99"/>
    <w:semiHidden/>
    <w:unhideWhenUsed/>
    <w:qFormat/>
    <w:pPr>
      <w:ind w:left="100" w:leftChars="2500"/>
    </w:pPr>
  </w:style>
  <w:style w:type="paragraph" w:styleId="BalloonText">
    <w:name w:val="Balloon Text"/>
    <w:basedOn w:val="Normal"/>
    <w:link w:val="a22"/>
    <w:autoRedefine/>
    <w:uiPriority w:val="99"/>
    <w:semiHidden/>
    <w:unhideWhenUsed/>
    <w:qFormat/>
    <w:pPr>
      <w:spacing w:line="240" w:lineRule="auto"/>
    </w:pPr>
    <w:rPr>
      <w:sz w:val="18"/>
      <w:szCs w:val="18"/>
    </w:rPr>
  </w:style>
  <w:style w:type="paragraph" w:styleId="Footer">
    <w:name w:val="footer"/>
    <w:basedOn w:val="Normal"/>
    <w:link w:val="a19"/>
    <w:autoRedefine/>
    <w:uiPriority w:val="99"/>
    <w:unhideWhenUsed/>
    <w:qFormat/>
    <w:pPr>
      <w:tabs>
        <w:tab w:val="center" w:pos="4153"/>
        <w:tab w:val="right" w:pos="8306"/>
      </w:tabs>
      <w:snapToGrid w:val="0"/>
      <w:spacing w:line="240" w:lineRule="auto"/>
      <w:jc w:val="left"/>
    </w:pPr>
    <w:rPr>
      <w:sz w:val="18"/>
      <w:szCs w:val="18"/>
    </w:rPr>
  </w:style>
  <w:style w:type="paragraph" w:styleId="Header">
    <w:name w:val="header"/>
    <w:basedOn w:val="Normal"/>
    <w:link w:val="a18"/>
    <w:autoRedefine/>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Normal"/>
    <w:next w:val="Normal"/>
    <w:autoRedefine/>
    <w:uiPriority w:val="39"/>
    <w:unhideWhenUsed/>
    <w:qFormat/>
    <w:pPr>
      <w:widowControl/>
      <w:spacing w:after="100" w:line="259" w:lineRule="auto"/>
      <w:ind w:firstLine="0" w:firstLineChars="0"/>
      <w:jc w:val="left"/>
    </w:pPr>
    <w:rPr>
      <w:rFonts w:eastAsiaTheme="minorEastAsia" w:cs="Times New Roman"/>
      <w:kern w:val="0"/>
      <w:sz w:val="22"/>
    </w:rPr>
  </w:style>
  <w:style w:type="paragraph" w:styleId="TOC2">
    <w:name w:val="toc 2"/>
    <w:basedOn w:val="Normal"/>
    <w:next w:val="Normal"/>
    <w:autoRedefine/>
    <w:uiPriority w:val="39"/>
    <w:unhideWhenUsed/>
    <w:qFormat/>
    <w:pPr>
      <w:widowControl/>
      <w:spacing w:after="100" w:line="259" w:lineRule="auto"/>
      <w:ind w:left="220" w:firstLine="0" w:firstLineChars="0"/>
      <w:jc w:val="left"/>
    </w:pPr>
    <w:rPr>
      <w:rFonts w:eastAsiaTheme="minorEastAsia" w:cs="Times New Roman"/>
      <w:kern w:val="0"/>
      <w:sz w:val="22"/>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autoRedefine/>
    <w:uiPriority w:val="20"/>
    <w:qFormat/>
    <w:rPr>
      <w:i/>
      <w:iCs/>
    </w:rPr>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customStyle="1" w:styleId="1">
    <w:name w:val="标题 1 字符"/>
    <w:basedOn w:val="DefaultParagraphFont"/>
    <w:link w:val="Heading1"/>
    <w:autoRedefine/>
    <w:uiPriority w:val="9"/>
    <w:qFormat/>
    <w:rPr>
      <w:rFonts w:eastAsia="宋体"/>
      <w:b/>
      <w:bCs/>
      <w:kern w:val="44"/>
      <w:sz w:val="44"/>
      <w:szCs w:val="44"/>
    </w:rPr>
  </w:style>
  <w:style w:type="paragraph" w:customStyle="1" w:styleId="a">
    <w:name w:val="一级标题"/>
    <w:basedOn w:val="Normal"/>
    <w:link w:val="a1"/>
    <w:autoRedefine/>
    <w:qFormat/>
    <w:pPr>
      <w:numPr>
        <w:ilvl w:val="0"/>
        <w:numId w:val="1"/>
      </w:numPr>
      <w:spacing w:before="300" w:beforeLines="300" w:after="200" w:afterLines="200"/>
      <w:ind w:firstLine="0" w:firstLineChars="0"/>
      <w:jc w:val="center"/>
      <w:outlineLvl w:val="0"/>
    </w:pPr>
    <w:rPr>
      <w:rFonts w:eastAsia="华文中宋"/>
      <w:b/>
      <w:sz w:val="44"/>
    </w:rPr>
  </w:style>
  <w:style w:type="paragraph" w:customStyle="1" w:styleId="a0">
    <w:name w:val="二级标题"/>
    <w:basedOn w:val="Normal"/>
    <w:link w:val="a3"/>
    <w:autoRedefine/>
    <w:qFormat/>
    <w:pPr>
      <w:numPr>
        <w:ilvl w:val="0"/>
        <w:numId w:val="2"/>
      </w:numPr>
      <w:spacing w:before="100" w:beforeLines="100" w:after="100" w:afterLines="100"/>
      <w:ind w:firstLine="0" w:firstLineChars="0"/>
      <w:jc w:val="left"/>
      <w:outlineLvl w:val="1"/>
    </w:pPr>
    <w:rPr>
      <w:rFonts w:eastAsia="黑体"/>
      <w:b/>
      <w:sz w:val="30"/>
    </w:rPr>
  </w:style>
  <w:style w:type="character" w:customStyle="1" w:styleId="a1">
    <w:name w:val="一级标题 字符"/>
    <w:basedOn w:val="DefaultParagraphFont"/>
    <w:link w:val="a"/>
    <w:autoRedefine/>
    <w:qFormat/>
    <w:rPr>
      <w:rFonts w:eastAsia="华文中宋"/>
      <w:b/>
      <w:sz w:val="44"/>
    </w:rPr>
  </w:style>
  <w:style w:type="paragraph" w:customStyle="1" w:styleId="a2">
    <w:name w:val="三级标题"/>
    <w:basedOn w:val="a0"/>
    <w:link w:val="a5"/>
    <w:autoRedefine/>
    <w:qFormat/>
    <w:pPr>
      <w:numPr>
        <w:numId w:val="3"/>
      </w:numPr>
      <w:outlineLvl w:val="2"/>
    </w:pPr>
    <w:rPr>
      <w:sz w:val="24"/>
    </w:rPr>
  </w:style>
  <w:style w:type="character" w:customStyle="1" w:styleId="a3">
    <w:name w:val="二级标题 字符"/>
    <w:basedOn w:val="a1"/>
    <w:link w:val="a0"/>
    <w:autoRedefine/>
    <w:qFormat/>
    <w:rPr>
      <w:rFonts w:eastAsia="黑体"/>
      <w:sz w:val="30"/>
    </w:rPr>
  </w:style>
  <w:style w:type="paragraph" w:customStyle="1" w:styleId="a4">
    <w:name w:val="摘要标题（中）"/>
    <w:basedOn w:val="Normal"/>
    <w:link w:val="a7"/>
    <w:autoRedefine/>
    <w:qFormat/>
    <w:pPr>
      <w:spacing w:before="300" w:beforeLines="300" w:after="200" w:afterLines="200"/>
      <w:jc w:val="center"/>
    </w:pPr>
    <w:rPr>
      <w:rFonts w:eastAsia="华文中宋"/>
      <w:b/>
      <w:sz w:val="44"/>
    </w:rPr>
  </w:style>
  <w:style w:type="character" w:customStyle="1" w:styleId="a5">
    <w:name w:val="三级标题 字符"/>
    <w:basedOn w:val="a3"/>
    <w:link w:val="a2"/>
    <w:autoRedefine/>
    <w:qFormat/>
    <w:rPr>
      <w:rFonts w:eastAsia="黑体"/>
      <w:sz w:val="24"/>
    </w:rPr>
  </w:style>
  <w:style w:type="paragraph" w:customStyle="1" w:styleId="a6">
    <w:name w:val="摘要标题（英）"/>
    <w:basedOn w:val="a4"/>
    <w:link w:val="a9"/>
    <w:autoRedefine/>
    <w:qFormat/>
    <w:pPr>
      <w:spacing w:before="936" w:after="624"/>
    </w:pPr>
    <w:rPr>
      <w:rFonts w:eastAsia="Times New Roman"/>
    </w:rPr>
  </w:style>
  <w:style w:type="character" w:customStyle="1" w:styleId="a7">
    <w:name w:val="摘要标题（中） 字符"/>
    <w:basedOn w:val="a5"/>
    <w:link w:val="a4"/>
    <w:autoRedefine/>
    <w:qFormat/>
    <w:rPr>
      <w:rFonts w:eastAsia="华文中宋"/>
      <w:sz w:val="44"/>
    </w:rPr>
  </w:style>
  <w:style w:type="paragraph" w:customStyle="1" w:styleId="a8">
    <w:name w:val="中文摘要内容"/>
    <w:basedOn w:val="a6"/>
    <w:link w:val="a11"/>
    <w:autoRedefine/>
    <w:qFormat/>
    <w:pPr>
      <w:spacing w:before="0" w:beforeLines="0" w:after="0" w:afterLines="0"/>
      <w:jc w:val="left"/>
    </w:pPr>
    <w:rPr>
      <w:rFonts w:eastAsia="宋体"/>
      <w:sz w:val="24"/>
    </w:rPr>
  </w:style>
  <w:style w:type="character" w:customStyle="1" w:styleId="a9">
    <w:name w:val="摘要标题（英） 字符"/>
    <w:basedOn w:val="a7"/>
    <w:link w:val="a6"/>
    <w:autoRedefine/>
    <w:qFormat/>
    <w:rPr>
      <w:rFonts w:eastAsia="Times New Roman"/>
      <w:sz w:val="44"/>
    </w:rPr>
  </w:style>
  <w:style w:type="paragraph" w:customStyle="1" w:styleId="a10">
    <w:name w:val="英文摘要内容"/>
    <w:basedOn w:val="a8"/>
    <w:link w:val="a12"/>
    <w:autoRedefine/>
    <w:qFormat/>
    <w:pPr>
      <w:ind w:firstLine="482"/>
    </w:pPr>
    <w:rPr>
      <w:rFonts w:eastAsia="Times New Roman"/>
    </w:rPr>
  </w:style>
  <w:style w:type="character" w:customStyle="1" w:styleId="a11">
    <w:name w:val="中文摘要内容 字符"/>
    <w:basedOn w:val="a9"/>
    <w:link w:val="a8"/>
    <w:autoRedefine/>
    <w:qFormat/>
    <w:rPr>
      <w:rFonts w:eastAsia="宋体"/>
      <w:sz w:val="24"/>
    </w:rPr>
  </w:style>
  <w:style w:type="character" w:customStyle="1" w:styleId="a12">
    <w:name w:val="英文摘要内容 字符"/>
    <w:basedOn w:val="a11"/>
    <w:link w:val="a10"/>
    <w:autoRedefine/>
    <w:qFormat/>
    <w:rPr>
      <w:rFonts w:eastAsia="Times New Roman"/>
      <w:sz w:val="24"/>
    </w:rPr>
  </w:style>
  <w:style w:type="paragraph" w:customStyle="1" w:styleId="a13">
    <w:name w:val="目录标题"/>
    <w:basedOn w:val="a4"/>
    <w:link w:val="a20"/>
    <w:autoRedefine/>
    <w:qFormat/>
  </w:style>
  <w:style w:type="paragraph" w:customStyle="1" w:styleId="a14">
    <w:name w:val="注释脚注"/>
    <w:basedOn w:val="a13"/>
    <w:autoRedefine/>
    <w:qFormat/>
    <w:pPr>
      <w:spacing w:before="0" w:beforeLines="0" w:after="0" w:afterLines="0"/>
    </w:pPr>
    <w:rPr>
      <w:rFonts w:eastAsia="宋体"/>
      <w:sz w:val="18"/>
    </w:rPr>
  </w:style>
  <w:style w:type="paragraph" w:customStyle="1" w:styleId="a15">
    <w:name w:val="参考文献标题"/>
    <w:basedOn w:val="Normal"/>
    <w:autoRedefine/>
    <w:qFormat/>
    <w:pPr>
      <w:widowControl/>
      <w:spacing w:line="240" w:lineRule="auto"/>
      <w:ind w:firstLine="0" w:firstLineChars="0"/>
      <w:jc w:val="left"/>
    </w:pPr>
    <w:rPr>
      <w:rFonts w:ascii="华文仿宋" w:eastAsia="华文仿宋" w:hAnsi="华文仿宋" w:cs="Times New Roman"/>
      <w:b/>
      <w:sz w:val="32"/>
      <w:szCs w:val="24"/>
    </w:rPr>
  </w:style>
  <w:style w:type="paragraph" w:customStyle="1" w:styleId="a16">
    <w:name w:val="致谢附录标题"/>
    <w:basedOn w:val="a"/>
    <w:link w:val="a17"/>
    <w:autoRedefine/>
    <w:qFormat/>
    <w:pPr>
      <w:jc w:val="both"/>
    </w:pPr>
  </w:style>
  <w:style w:type="character" w:customStyle="1" w:styleId="a17">
    <w:name w:val="致谢附录标题 字符"/>
    <w:basedOn w:val="a1"/>
    <w:link w:val="a16"/>
    <w:autoRedefine/>
    <w:qFormat/>
    <w:rPr>
      <w:rFonts w:eastAsia="华文中宋"/>
      <w:sz w:val="44"/>
    </w:rPr>
  </w:style>
  <w:style w:type="character" w:customStyle="1" w:styleId="a18">
    <w:name w:val="页眉 字符"/>
    <w:basedOn w:val="DefaultParagraphFont"/>
    <w:link w:val="Header"/>
    <w:autoRedefine/>
    <w:uiPriority w:val="99"/>
    <w:qFormat/>
    <w:rPr>
      <w:rFonts w:eastAsia="宋体"/>
      <w:sz w:val="18"/>
      <w:szCs w:val="18"/>
    </w:rPr>
  </w:style>
  <w:style w:type="character" w:customStyle="1" w:styleId="a19">
    <w:name w:val="页脚 字符"/>
    <w:basedOn w:val="DefaultParagraphFont"/>
    <w:link w:val="Footer"/>
    <w:autoRedefine/>
    <w:uiPriority w:val="99"/>
    <w:qFormat/>
    <w:rPr>
      <w:rFonts w:eastAsia="宋体"/>
      <w:sz w:val="18"/>
      <w:szCs w:val="18"/>
    </w:rPr>
  </w:style>
  <w:style w:type="paragraph" w:styleId="ListParagraph">
    <w:name w:val="List Paragraph"/>
    <w:basedOn w:val="Normal"/>
    <w:autoRedefine/>
    <w:uiPriority w:val="34"/>
    <w:qFormat/>
    <w:pPr>
      <w:ind w:firstLine="420"/>
    </w:pPr>
  </w:style>
  <w:style w:type="paragraph" w:customStyle="1" w:styleId="TOCHeading">
    <w:name w:val="TOC Heading"/>
    <w:basedOn w:val="Heading1"/>
    <w:next w:val="Normal"/>
    <w:autoRedefine/>
    <w:uiPriority w:val="39"/>
    <w:unhideWhenUsed/>
    <w:qFormat/>
    <w:pPr>
      <w:widowControl/>
      <w:spacing w:before="240" w:after="0" w:line="259" w:lineRule="auto"/>
      <w:ind w:firstLine="0" w:firstLineChars="0"/>
      <w:jc w:val="left"/>
      <w:outlineLvl w:val="9"/>
    </w:pPr>
    <w:rPr>
      <w:rFonts w:asciiTheme="majorHAnsi" w:eastAsiaTheme="majorEastAsia" w:hAnsiTheme="majorHAnsi" w:cstheme="majorBidi"/>
      <w:b w:val="0"/>
      <w:bCs w:val="0"/>
      <w:color w:val="2F5597" w:themeColor="accent1" w:themeShade="BF"/>
      <w:kern w:val="0"/>
      <w:sz w:val="32"/>
      <w:szCs w:val="32"/>
    </w:rPr>
  </w:style>
  <w:style w:type="character" w:customStyle="1" w:styleId="a20">
    <w:name w:val="目录标题 字符"/>
    <w:basedOn w:val="a9"/>
    <w:link w:val="a13"/>
    <w:autoRedefine/>
    <w:qFormat/>
    <w:rPr>
      <w:rFonts w:eastAsia="华文中宋"/>
      <w:sz w:val="44"/>
    </w:rPr>
  </w:style>
  <w:style w:type="character" w:styleId="PlaceholderText">
    <w:name w:val="Placeholder Text"/>
    <w:basedOn w:val="DefaultParagraphFont"/>
    <w:autoRedefine/>
    <w:uiPriority w:val="99"/>
    <w:semiHidden/>
    <w:qFormat/>
    <w:rPr>
      <w:color w:val="808080"/>
    </w:rPr>
  </w:style>
  <w:style w:type="character" w:customStyle="1" w:styleId="a21">
    <w:name w:val="日期 字符"/>
    <w:basedOn w:val="DefaultParagraphFont"/>
    <w:link w:val="Date"/>
    <w:autoRedefine/>
    <w:uiPriority w:val="99"/>
    <w:semiHidden/>
    <w:qFormat/>
    <w:rPr>
      <w:rFonts w:eastAsia="宋体"/>
      <w:sz w:val="24"/>
    </w:rPr>
  </w:style>
  <w:style w:type="character" w:customStyle="1" w:styleId="a22">
    <w:name w:val="批注框文本 字符"/>
    <w:basedOn w:val="DefaultParagraphFont"/>
    <w:link w:val="BalloonText"/>
    <w:autoRedefine/>
    <w:uiPriority w:val="99"/>
    <w:semiHidden/>
    <w:qFormat/>
    <w:rPr>
      <w:rFonts w:eastAsia="宋体"/>
      <w:sz w:val="18"/>
      <w:szCs w:val="18"/>
    </w:rPr>
  </w:style>
  <w:style w:type="character" w:customStyle="1" w:styleId="3">
    <w:name w:val="标题 3 字符"/>
    <w:basedOn w:val="DefaultParagraphFont"/>
    <w:link w:val="Heading3"/>
    <w:autoRedefine/>
    <w:uiPriority w:val="9"/>
    <w:semiHidden/>
    <w:qFormat/>
    <w:rPr>
      <w:rFonts w:eastAsia="宋体"/>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996100011230010034" TargetMode="Externa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067621-7EA1-4CBF-A674-7F7CADDEFFA0}">
  <ds:schemaRefs/>
</ds:datastoreItem>
</file>

<file path=docProps/app.xml><?xml version="1.0" encoding="utf-8"?>
<Properties xmlns="http://schemas.openxmlformats.org/officeDocument/2006/extended-properties" xmlns:vt="http://schemas.openxmlformats.org/officeDocument/2006/docPropsVTypes">
  <Template>Normal</Template>
  <TotalTime>14182</TotalTime>
  <Pages>2</Pages>
  <Words>3283</Words>
  <Characters>18718</Characters>
  <Application>Microsoft Office Word</Application>
  <DocSecurity>0</DocSecurity>
  <Lines>155</Lines>
  <Paragraphs>43</Paragraphs>
  <ScaleCrop>false</ScaleCrop>
  <Company/>
  <LinksUpToDate>false</LinksUpToDate>
  <CharactersWithSpaces>21958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Lynn Ludwig</dc:creator>
  <cp:lastModifiedBy>张老师</cp:lastModifiedBy>
  <cp:revision>78</cp:revision>
  <cp:lastPrinted>2021-05-22T19:25:00Z</cp:lastPrinted>
  <dcterms:created xsi:type="dcterms:W3CDTF">2019-12-14T09:46:00Z</dcterms:created>
  <dcterms:modified xsi:type="dcterms:W3CDTF">2024-01-09T11:23:45Z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6E256808F34C475EAAD29DE03183ABB2_12</vt:lpwstr>
  </property>
  <property fmtid="{D5CDD505-2E9C-101B-9397-08002B2CF9AE}" pid="3" name="KSOProductBuildVer">
    <vt:lpwstr>2052-12.1.0.16120</vt:lpwstr>
  </property>
</Properties>
</file>