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铝包钢导线项目可行性建设方案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86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_Toc26860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9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_Toc20294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_Toc4340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_Toc24676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_Toc7322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_Toc28826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_Toc544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32" w:history="1">
        <w:r>
          <w:rPr>
            <w:rFonts w:ascii="仿宋" w:eastAsia="仿宋" w:hAnsi="仿宋" w:cs="仿宋" w:hint="eastAsia"/>
            <w:lang w:eastAsia="zh-CN"/>
          </w:rPr>
          <w:t>二、建设风险评估分析</w:t>
        </w:r>
        <w:r>
          <w:tab/>
        </w:r>
        <w:r>
          <w:fldChar w:fldCharType="begin"/>
        </w:r>
        <w:r>
          <w:instrText xml:space="preserve"> PAGEREF _Toc28332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3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_Toc10403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9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_Toc4889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_Toc1300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3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_Toc27583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_Toc20445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6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_Toc12626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4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_Toc8434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3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_Toc7623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_Toc27927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17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_Toc29417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8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_Toc30368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_Toc6823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73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_Toc5373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0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_Toc22250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3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_Toc4553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4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_Toc25834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0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_Toc3900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20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_Toc22620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7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_Toc19237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2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_Toc21752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6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_Toc27366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66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_Toc16666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7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_Toc8187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8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_Toc8848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_Toc12823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2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_Toc7902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2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_Toc8932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8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_Toc8818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_Toc217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43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_Toc3743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9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_Toc27089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_Toc3164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7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_Toc837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021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_Toc21021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3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_Toc7503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64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_Toc23864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5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_Toc7915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0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_Toc25530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38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_Toc3338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_Toc10644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_Toc19316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_Toc31883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_Toc28048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_Toc29778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8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_Toc24198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9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_Toc16559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48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_Toc9048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9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_Toc23969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0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_Toc20200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3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_Toc1503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1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_Toc16131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6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_Toc15916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1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_Toc13031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95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_Toc26695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9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_Toc3809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_Toc657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48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_Toc32248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6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_Toc8596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3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_Toc27063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16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_Toc23316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8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_Toc16798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5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_Toc22095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24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_Toc5824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3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_Toc5013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4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_Toc30094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17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_Toc19817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9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_Toc30449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_Toc10175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4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_Toc2834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_Toc17943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7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_Toc21377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_Toc26499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5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_Toc20395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44" w:history="1">
        <w:r>
          <w:rPr>
            <w:rFonts w:ascii="仿宋" w:eastAsia="仿宋" w:hAnsi="仿宋" w:cs="仿宋" w:hint="eastAsia"/>
            <w:lang w:eastAsia="zh-CN"/>
          </w:rPr>
          <w:t>十九、设施与设备管理</w:t>
        </w:r>
        <w:r>
          <w:tab/>
        </w:r>
        <w:r>
          <w:fldChar w:fldCharType="begin"/>
        </w:r>
        <w:r>
          <w:instrText xml:space="preserve"> PAGEREF _Toc24544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1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_Toc30121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_Toc16324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_Toc25338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86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29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34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铝包钢导线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铝包钢导线项目将进行详细的生态影响评估，确保不会对当地的动植物种群和自然栖息地造成负面影响。如果项目地点附近有重要的生物栖息地或生态敏感区，项目将重新考虑建设地点或采取相应的保护措施。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铝包钢导线项目将积极采用可持续材料，如再生塑料和生物降解材料，以减少对环境的影响。项目还将推行废物减量和回收计划，例如通过再利用工业废料或建立回收系统。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铝包钢导线项目还将参与当地的环保活动和计划，如资助当地的环境保护项目或与社区合作进行环保宣传活动。通过这些活动，项目不仅能够提高自身的环境表现，还能在当地社区中树立积极的环保形象。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67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铝包钢导线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铝包钢导线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铝包钢导线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32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铝包钢导线项目将采用绿色屋顶和生态墙等环境友好型建筑设计，这些设计不仅有助于改善空气质量，还能为城市野生动植物提供栖息地。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铝包钢导线项目将建立高效的废水处理系统，确保所有工业废水在排放前都经过适当处理，达到或超过环保标准。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铝包钢导线项目将致力于使用清洁能源，如太阳能和风能，减少对化石燃料的依赖。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铝包钢导线项目将举办环保教育研讨会，向员工和当地社区普及环保知识，提升对环境保护重要性的认识。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882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在铝包钢导线项目启动前，将进行一系列深入的地质调查，包括钻探和土壤取样，以深入了解项目区域的地层结构和土壤组成。特别是对于土壤的承载能力和地下水位的深度进行详细评估。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铝包钢导线项目将通过地下水位监测系统定期检测水位变化，以预测和预防由高地下水位可能引起的地基问题。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铝包钢导线项目将进行详尽的水文和地形分析，以识别可能的洪水和泥石流风险区。基于这些分析，项目将设计防洪设施，如提高地基、构建防洪墙和排水沟。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铝包钢导线项目还将考虑建设排水系统，以减少地表水对土壤稳定性的影响。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完成初始的地质风险评估后，铝包钢导线项目将安装长期地质监测设备，如倾斜仪、裂缝计和地下水位计，以持续监测地质条件的变化。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544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铝包钢导线项目将通过这些措施来适应和尊重特殊环境条件，确保项目的可持续发展，同时减少对环境的负面影响。这不仅有助于保护自然和文化遗产，还能提升项目在社会责任方面的表现和形象。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8332"/>
      <w:r>
        <w:rPr>
          <w:rFonts w:ascii="仿宋" w:eastAsia="仿宋" w:hAnsi="仿宋" w:cs="仿宋" w:hint="eastAsia"/>
          <w:sz w:val="28"/>
          <w:lang w:eastAsia="zh-CN"/>
        </w:rPr>
        <w:t>二、建设风险评估分析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0403"/>
      <w:r>
        <w:rPr>
          <w:rFonts w:ascii="仿宋" w:eastAsia="仿宋" w:hAnsi="仿宋" w:cs="仿宋" w:hint="eastAsia"/>
          <w:lang w:eastAsia="zh-CN"/>
        </w:rPr>
        <w:t>(一)、政策风险分析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在管理层面，政策风险是一个需要认真管理和规避的关键因素。项目管理团队将采取以下措施来有效管理政策风险：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政策监测与分析：建立政策监测机制，密切关注所在地区和国际层面的政策变化。定期进行政策风险分析，评估潜在政策对项目的影响，以便及时调整策略。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政府关系建设：积极与政府部门建立密切的关系，参与政策制定和决策过程。与政府建立战略伙伴关系，争取政府的政策支持和税收优惠。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https://d.book118.com/996103200142010045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铝包钢导线项目可行性建设方案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铝包钢导线项目可行性建设方案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铝包钢导线项目可行性建设方案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铝包钢导线项目可行性建设方案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铝包钢导线项目可行性建设方案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铝包钢导线项目可行性建设方案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铝包钢导线项目可行性建设方案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铝包钢导线项目可行性建设方案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铝包钢导线项目可行性建设方案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铝包钢导线项目可行性建设方案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铝包钢导线项目可行性建设方案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铝包钢导线项目可行性建设方案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6EA0D6B"/>
    <w:rsid w:val="46EA0D6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9610320014201004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2024-02-03T06:54:00Z</dcterms:created>
  <dcterms:modified xsi:type="dcterms:W3CDTF">2024-02-03T06:55:11Z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B344B7C87EA24125BC9E7E97FA1A9959_11</vt:lpwstr>
  </property>
  <property fmtid="{D5CDD505-2E9C-101B-9397-08002B2CF9AE}" pid="3" name="KSOProductBuildVer">
    <vt:lpwstr>2052-12.1.0.16250</vt:lpwstr>
  </property>
</Properties>
</file>