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水泥混凝土制品市场分析及竞争策略报告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eastAsia="zh-CN"/>
          </w:rPr>
          <w:t>一、建筑物技术方案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(二)、水泥混凝土制品产品规划方案及生产纲领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7" w:history="1">
        <w:r>
          <w:rPr>
            <w:rFonts w:ascii="仿宋" w:eastAsia="仿宋" w:hAnsi="仿宋" w:cs="仿宋" w:hint="eastAsia"/>
            <w:lang w:eastAsia="zh-CN"/>
          </w:rPr>
          <w:t>三、建筑工程可行性分析</w:t>
        </w:r>
        <w:r>
          <w:tab/>
        </w:r>
        <w:r>
          <w:fldChar w:fldCharType="begin"/>
        </w:r>
        <w:r>
          <w:instrText xml:space="preserve"> PAGEREF _Toc21517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(一)、水泥混凝土制品项目工程设计总体要求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_Toc14353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四、水泥混凝土制品项目投资主体概况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4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_Toc11784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(一)、水泥混凝土制品项目选址原则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(五)、水泥混凝土制品项目选址综合评价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六、技术方案与建筑物规划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(一)、设计原则与水泥混凝土制品项目工程概述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八、水泥混凝土制品项目投资方案分析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仿宋" w:eastAsia="仿宋" w:hAnsi="仿宋" w:cs="仿宋" w:hint="eastAsia"/>
            <w:lang w:eastAsia="zh-CN"/>
          </w:rPr>
          <w:t>(一)、水泥混凝土制品项目估算说明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(二)、水泥混凝土制品项目总投资估算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九、可持续发展和社会责任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6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_Toc16496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(一)、水泥混凝土制品项目进度安排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(二)、水泥混凝土制品项目实施保障措施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6" w:history="1">
        <w:r>
          <w:rPr>
            <w:rFonts w:ascii="仿宋" w:eastAsia="仿宋" w:hAnsi="仿宋" w:cs="仿宋" w:hint="eastAsia"/>
            <w:lang w:eastAsia="zh-CN"/>
          </w:rPr>
          <w:t>十一、网络分销渠道</w:t>
        </w:r>
        <w:r>
          <w:tab/>
        </w:r>
        <w:r>
          <w:fldChar w:fldCharType="begin"/>
        </w:r>
        <w:r>
          <w:instrText xml:space="preserve"> PAGEREF _Toc6066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6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_Toc27206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十二、公司治理结构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9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_Toc3809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3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_Toc4383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十三、第三十二章未来发展愿景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_Toc415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十四、行业趋势与未来发展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6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十五、水泥混凝土制品商业模式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(一)、水泥混凝土制品新型运营方式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(二)、水泥混凝土制品数字化发展方案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8" w:history="1">
        <w:r>
          <w:rPr>
            <w:rFonts w:ascii="仿宋" w:eastAsia="仿宋" w:hAnsi="仿宋" w:cs="仿宋" w:hint="eastAsia"/>
            <w:lang w:eastAsia="zh-CN"/>
          </w:rPr>
          <w:t>(三)、水泥混凝土制品企业文化建设方案</w:t>
        </w:r>
        <w:r>
          <w:tab/>
        </w:r>
        <w:r>
          <w:fldChar w:fldCharType="begin"/>
        </w:r>
        <w:r>
          <w:instrText xml:space="preserve"> PAGEREF _Toc10868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(四)、水泥混凝土制品供应链管理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十六、生产控制的基本程序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eastAsia="zh-CN"/>
          </w:rPr>
          <w:t>十七、员工满意度调查与提升策略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5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6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十八、财务管理与报告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7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_Toc32397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3" w:history="1">
        <w:r>
          <w:rPr>
            <w:rFonts w:ascii="仿宋" w:eastAsia="仿宋" w:hAnsi="仿宋" w:cs="仿宋" w:hint="eastAsia"/>
            <w:lang w:eastAsia="zh-CN"/>
          </w:rPr>
          <w:t>十九、员工管理与发展</w:t>
        </w:r>
        <w:r>
          <w:tab/>
        </w:r>
        <w:r>
          <w:fldChar w:fldCharType="begin"/>
        </w:r>
        <w:r>
          <w:instrText xml:space="preserve"> PAGEREF _Toc6793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二十、水泥混凝土制品项目执行风险与应对策略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425" w:history="1">
        <w:r>
          <w:rPr>
            <w:rFonts w:ascii="仿宋" w:eastAsia="仿宋" w:hAnsi="仿宋" w:cs="仿宋" w:hint="eastAsia"/>
            <w:lang w:eastAsia="zh-CN"/>
          </w:rPr>
          <w:t>(一)、水泥混凝土制品项目执行风险识别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24"/>
      <w:r>
        <w:rPr>
          <w:rFonts w:ascii="仿宋" w:eastAsia="仿宋" w:hAnsi="仿宋" w:cs="仿宋" w:hint="eastAsia"/>
          <w:sz w:val="28"/>
          <w:lang w:eastAsia="zh-CN"/>
        </w:rPr>
        <w:t>一、建筑物技术方案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54"/>
      <w:r>
        <w:rPr>
          <w:rFonts w:ascii="仿宋" w:eastAsia="仿宋" w:hAnsi="仿宋" w:cs="仿宋" w:hint="eastAsia"/>
          <w:lang w:eastAsia="zh-CN"/>
        </w:rPr>
        <w:t>(一)、项目工程设计总体要求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在建筑结构设计中，以经济、实用和美观为原则，综合考虑了工艺需求、地质条件和用地需求。努力使建筑结构满足工艺生产的需要，同时也方便操作、维修和管理。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为了满足工艺生产的需求，便于日常操作、维修和管理，采取了厂房一体化的设计理念。设计充分考虑了竖向组合，以缩短管道长度、减少能耗和节约用地及投资成本为目标。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为了提高建设速度并为未来技术升级预留充足的发展空间，主厂房采用了轻钢结构设计。钢结构用于悬挂和支撑主要设备，实现了轻型化设计理念，并符合防腐、防爆规范及相关法规要求。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https://d.book118.com/996113050225010102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水泥混凝土制品市场分析及竞争策略报告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水泥混凝土制品市场分析及竞争策略报告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水泥混凝土制品市场分析及竞争策略报告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水泥混凝土制品市场分析及竞争策略报告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水泥混凝土制品市场分析及竞争策略报告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F36BBC"/>
    <w:rsid w:val="4593521B"/>
    <w:rsid w:val="50F36BB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6113050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2024-03-17T10:08:00Z</dcterms:created>
  <dcterms:modified xsi:type="dcterms:W3CDTF">2024-03-17T10:09:01Z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76B1FE3DCCB44389AB7941A831EE3F66_11</vt:lpwstr>
  </property>
  <property fmtid="{D5CDD505-2E9C-101B-9397-08002B2CF9AE}" pid="3" name="KSOProductBuildVer">
    <vt:lpwstr>2052-12.1.0.16412</vt:lpwstr>
  </property>
</Properties>
</file>