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核设施退役技术设备相关项目可行性研究报告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28" w:history="1">
        <w:r>
          <w:rPr>
            <w:rFonts w:ascii="仿宋" w:eastAsia="仿宋" w:hAnsi="仿宋" w:cs="仿宋" w:hint="eastAsia"/>
            <w:lang w:eastAsia="zh-CN"/>
          </w:rPr>
          <w:t>序言</w:t>
        </w:r>
        <w:r>
          <w:tab/>
        </w:r>
        <w:r>
          <w:fldChar w:fldCharType="begin"/>
        </w:r>
        <w:r>
          <w:instrText xml:space="preserve"> PAGEREF _Toc10928 \h </w:instrText>
        </w:r>
        <w:r>
          <w:fldChar w:fldCharType="separate"/>
        </w:r>
        <w:r>
          <w:t>3</w:t>
        </w:r>
        <w:r>
          <w:fldChar w:fldCharType="end"/>
        </w:r>
      </w:hyperlink>
    </w:p>
    <w:p>
      <w:pPr>
        <w:pStyle w:val="TOC1"/>
        <w:tabs>
          <w:tab w:val="right" w:leader="dot" w:pos="8306"/>
        </w:tabs>
      </w:pPr>
      <w:hyperlink w:anchor="_Toc2663" w:history="1">
        <w:r>
          <w:rPr>
            <w:rFonts w:ascii="仿宋" w:eastAsia="仿宋" w:hAnsi="仿宋" w:cs="仿宋" w:hint="eastAsia"/>
            <w:lang w:eastAsia="zh-CN"/>
          </w:rPr>
          <w:t>一、核设施退役技术设备项目投资估算与资金筹措</w:t>
        </w:r>
        <w:r>
          <w:tab/>
        </w:r>
        <w:r>
          <w:fldChar w:fldCharType="begin"/>
        </w:r>
        <w:r>
          <w:instrText xml:space="preserve"> PAGEREF _Toc2663 \h </w:instrText>
        </w:r>
        <w:r>
          <w:fldChar w:fldCharType="separate"/>
        </w:r>
        <w:r>
          <w:t>3</w:t>
        </w:r>
        <w:r>
          <w:fldChar w:fldCharType="end"/>
        </w:r>
      </w:hyperlink>
    </w:p>
    <w:p>
      <w:pPr>
        <w:pStyle w:val="TOC2"/>
        <w:tabs>
          <w:tab w:val="right" w:leader="dot" w:pos="8306"/>
        </w:tabs>
      </w:pPr>
      <w:hyperlink w:anchor="_Toc8335" w:history="1">
        <w:r>
          <w:rPr>
            <w:rFonts w:ascii="仿宋" w:eastAsia="仿宋" w:hAnsi="仿宋" w:cs="仿宋" w:hint="eastAsia"/>
            <w:lang w:eastAsia="zh-CN"/>
          </w:rPr>
          <w:t>(一)、投资估算依据和说明</w:t>
        </w:r>
        <w:r>
          <w:tab/>
        </w:r>
        <w:r>
          <w:fldChar w:fldCharType="begin"/>
        </w:r>
        <w:r>
          <w:instrText xml:space="preserve"> PAGEREF _Toc8335 \h </w:instrText>
        </w:r>
        <w:r>
          <w:fldChar w:fldCharType="separate"/>
        </w:r>
        <w:r>
          <w:t>3</w:t>
        </w:r>
        <w:r>
          <w:fldChar w:fldCharType="end"/>
        </w:r>
      </w:hyperlink>
    </w:p>
    <w:p>
      <w:pPr>
        <w:pStyle w:val="TOC2"/>
        <w:tabs>
          <w:tab w:val="right" w:leader="dot" w:pos="8306"/>
        </w:tabs>
      </w:pPr>
      <w:hyperlink w:anchor="_Toc10205" w:history="1">
        <w:r>
          <w:rPr>
            <w:rFonts w:ascii="仿宋" w:eastAsia="仿宋" w:hAnsi="仿宋" w:cs="仿宋" w:hint="eastAsia"/>
            <w:lang w:eastAsia="zh-CN"/>
          </w:rPr>
          <w:t>(二)、资金筹措</w:t>
        </w:r>
        <w:r>
          <w:tab/>
        </w:r>
        <w:r>
          <w:fldChar w:fldCharType="begin"/>
        </w:r>
        <w:r>
          <w:instrText xml:space="preserve"> PAGEREF _Toc10205 \h </w:instrText>
        </w:r>
        <w:r>
          <w:fldChar w:fldCharType="separate"/>
        </w:r>
        <w:r>
          <w:t>5</w:t>
        </w:r>
        <w:r>
          <w:fldChar w:fldCharType="end"/>
        </w:r>
      </w:hyperlink>
    </w:p>
    <w:p>
      <w:pPr>
        <w:pStyle w:val="TOC2"/>
        <w:tabs>
          <w:tab w:val="right" w:leader="dot" w:pos="8306"/>
        </w:tabs>
      </w:pPr>
      <w:hyperlink w:anchor="_Toc14230" w:history="1">
        <w:r>
          <w:rPr>
            <w:rFonts w:ascii="仿宋" w:eastAsia="仿宋" w:hAnsi="仿宋" w:cs="仿宋" w:hint="eastAsia"/>
            <w:lang w:eastAsia="zh-CN"/>
          </w:rPr>
          <w:t>(三)、资金使用计划</w:t>
        </w:r>
        <w:r>
          <w:tab/>
        </w:r>
        <w:r>
          <w:fldChar w:fldCharType="begin"/>
        </w:r>
        <w:r>
          <w:instrText xml:space="preserve"> PAGEREF _Toc14230 \h </w:instrText>
        </w:r>
        <w:r>
          <w:fldChar w:fldCharType="separate"/>
        </w:r>
        <w:r>
          <w:t>5</w:t>
        </w:r>
        <w:r>
          <w:fldChar w:fldCharType="end"/>
        </w:r>
      </w:hyperlink>
    </w:p>
    <w:p>
      <w:pPr>
        <w:pStyle w:val="TOC2"/>
        <w:tabs>
          <w:tab w:val="right" w:leader="dot" w:pos="8306"/>
        </w:tabs>
      </w:pPr>
      <w:hyperlink w:anchor="_Toc20141" w:history="1">
        <w:r>
          <w:rPr>
            <w:rFonts w:ascii="仿宋" w:eastAsia="仿宋" w:hAnsi="仿宋" w:cs="仿宋" w:hint="eastAsia"/>
            <w:lang w:eastAsia="zh-CN"/>
          </w:rPr>
          <w:t>(四)、核设施退役技术设备项目经济评价</w:t>
        </w:r>
        <w:r>
          <w:tab/>
        </w:r>
        <w:r>
          <w:fldChar w:fldCharType="begin"/>
        </w:r>
        <w:r>
          <w:instrText xml:space="preserve"> PAGEREF _Toc20141 \h </w:instrText>
        </w:r>
        <w:r>
          <w:fldChar w:fldCharType="separate"/>
        </w:r>
        <w:r>
          <w:t>5</w:t>
        </w:r>
        <w:r>
          <w:fldChar w:fldCharType="end"/>
        </w:r>
      </w:hyperlink>
    </w:p>
    <w:p>
      <w:pPr>
        <w:pStyle w:val="TOC1"/>
        <w:tabs>
          <w:tab w:val="right" w:leader="dot" w:pos="8306"/>
        </w:tabs>
      </w:pPr>
      <w:hyperlink w:anchor="_Toc20749" w:history="1">
        <w:r>
          <w:rPr>
            <w:rFonts w:ascii="仿宋" w:eastAsia="仿宋" w:hAnsi="仿宋" w:cs="仿宋" w:hint="eastAsia"/>
            <w:lang w:eastAsia="zh-CN"/>
          </w:rPr>
          <w:t>二、核设施退役技术设备项目选址科学性分析</w:t>
        </w:r>
        <w:r>
          <w:tab/>
        </w:r>
        <w:r>
          <w:fldChar w:fldCharType="begin"/>
        </w:r>
        <w:r>
          <w:instrText xml:space="preserve"> PAGEREF _Toc20749 \h </w:instrText>
        </w:r>
        <w:r>
          <w:fldChar w:fldCharType="separate"/>
        </w:r>
        <w:r>
          <w:t>6</w:t>
        </w:r>
        <w:r>
          <w:fldChar w:fldCharType="end"/>
        </w:r>
      </w:hyperlink>
    </w:p>
    <w:p>
      <w:pPr>
        <w:pStyle w:val="TOC2"/>
        <w:tabs>
          <w:tab w:val="right" w:leader="dot" w:pos="8306"/>
        </w:tabs>
      </w:pPr>
      <w:hyperlink w:anchor="_Toc25521" w:history="1">
        <w:r>
          <w:rPr>
            <w:rFonts w:ascii="仿宋" w:eastAsia="仿宋" w:hAnsi="仿宋" w:cs="仿宋" w:hint="eastAsia"/>
            <w:lang w:eastAsia="zh-CN"/>
          </w:rPr>
          <w:t>(一)、核设施退役技术设备项目厂址的选择原则</w:t>
        </w:r>
        <w:r>
          <w:tab/>
        </w:r>
        <w:r>
          <w:fldChar w:fldCharType="begin"/>
        </w:r>
        <w:r>
          <w:instrText xml:space="preserve"> PAGEREF _Toc25521 \h </w:instrText>
        </w:r>
        <w:r>
          <w:fldChar w:fldCharType="separate"/>
        </w:r>
        <w:r>
          <w:t>6</w:t>
        </w:r>
        <w:r>
          <w:fldChar w:fldCharType="end"/>
        </w:r>
      </w:hyperlink>
    </w:p>
    <w:p>
      <w:pPr>
        <w:pStyle w:val="TOC2"/>
        <w:tabs>
          <w:tab w:val="right" w:leader="dot" w:pos="8306"/>
        </w:tabs>
      </w:pPr>
      <w:hyperlink w:anchor="_Toc19566" w:history="1">
        <w:r>
          <w:rPr>
            <w:rFonts w:ascii="仿宋" w:eastAsia="仿宋" w:hAnsi="仿宋" w:cs="仿宋" w:hint="eastAsia"/>
            <w:lang w:eastAsia="zh-CN"/>
          </w:rPr>
          <w:t>(二)、核设施退役技术设备项目区概况</w:t>
        </w:r>
        <w:r>
          <w:tab/>
        </w:r>
        <w:r>
          <w:fldChar w:fldCharType="begin"/>
        </w:r>
        <w:r>
          <w:instrText xml:space="preserve"> PAGEREF _Toc19566 \h </w:instrText>
        </w:r>
        <w:r>
          <w:fldChar w:fldCharType="separate"/>
        </w:r>
        <w:r>
          <w:t>6</w:t>
        </w:r>
        <w:r>
          <w:fldChar w:fldCharType="end"/>
        </w:r>
      </w:hyperlink>
    </w:p>
    <w:p>
      <w:pPr>
        <w:pStyle w:val="TOC2"/>
        <w:tabs>
          <w:tab w:val="right" w:leader="dot" w:pos="8306"/>
        </w:tabs>
      </w:pPr>
      <w:hyperlink w:anchor="_Toc9839" w:history="1">
        <w:r>
          <w:rPr>
            <w:rFonts w:ascii="仿宋" w:eastAsia="仿宋" w:hAnsi="仿宋" w:cs="仿宋" w:hint="eastAsia"/>
            <w:lang w:eastAsia="zh-CN"/>
          </w:rPr>
          <w:t>(三)、核设施退役技术设备厂址选择方案</w:t>
        </w:r>
        <w:r>
          <w:tab/>
        </w:r>
        <w:r>
          <w:fldChar w:fldCharType="begin"/>
        </w:r>
        <w:r>
          <w:instrText xml:space="preserve"> PAGEREF _Toc9839 \h </w:instrText>
        </w:r>
        <w:r>
          <w:fldChar w:fldCharType="separate"/>
        </w:r>
        <w:r>
          <w:t>6</w:t>
        </w:r>
        <w:r>
          <w:fldChar w:fldCharType="end"/>
        </w:r>
      </w:hyperlink>
    </w:p>
    <w:p>
      <w:pPr>
        <w:pStyle w:val="TOC2"/>
        <w:tabs>
          <w:tab w:val="right" w:leader="dot" w:pos="8306"/>
        </w:tabs>
      </w:pPr>
      <w:hyperlink w:anchor="_Toc14641" w:history="1">
        <w:r>
          <w:rPr>
            <w:rFonts w:ascii="仿宋" w:eastAsia="仿宋" w:hAnsi="仿宋" w:cs="仿宋" w:hint="eastAsia"/>
            <w:lang w:eastAsia="zh-CN"/>
          </w:rPr>
          <w:t>(四)、核设施退役技术设备项目选址用地权属性质类别及占地面积</w:t>
        </w:r>
        <w:r>
          <w:tab/>
        </w:r>
        <w:r>
          <w:fldChar w:fldCharType="begin"/>
        </w:r>
        <w:r>
          <w:instrText xml:space="preserve"> PAGEREF _Toc14641 \h </w:instrText>
        </w:r>
        <w:r>
          <w:fldChar w:fldCharType="separate"/>
        </w:r>
        <w:r>
          <w:t>7</w:t>
        </w:r>
        <w:r>
          <w:fldChar w:fldCharType="end"/>
        </w:r>
      </w:hyperlink>
    </w:p>
    <w:p>
      <w:pPr>
        <w:pStyle w:val="TOC2"/>
        <w:tabs>
          <w:tab w:val="right" w:leader="dot" w:pos="8306"/>
        </w:tabs>
      </w:pPr>
      <w:hyperlink w:anchor="_Toc17992" w:history="1">
        <w:r>
          <w:rPr>
            <w:rFonts w:ascii="仿宋" w:eastAsia="仿宋" w:hAnsi="仿宋" w:cs="仿宋" w:hint="eastAsia"/>
            <w:lang w:eastAsia="zh-CN"/>
          </w:rPr>
          <w:t>(五)、核设施退役技术设备项目用地利用指标</w:t>
        </w:r>
        <w:r>
          <w:tab/>
        </w:r>
        <w:r>
          <w:fldChar w:fldCharType="begin"/>
        </w:r>
        <w:r>
          <w:instrText xml:space="preserve"> PAGEREF _Toc17992 \h </w:instrText>
        </w:r>
        <w:r>
          <w:fldChar w:fldCharType="separate"/>
        </w:r>
        <w:r>
          <w:t>7</w:t>
        </w:r>
        <w:r>
          <w:fldChar w:fldCharType="end"/>
        </w:r>
      </w:hyperlink>
    </w:p>
    <w:p>
      <w:pPr>
        <w:pStyle w:val="TOC1"/>
        <w:tabs>
          <w:tab w:val="right" w:leader="dot" w:pos="8306"/>
        </w:tabs>
      </w:pPr>
      <w:hyperlink w:anchor="_Toc6108" w:history="1">
        <w:r>
          <w:rPr>
            <w:rFonts w:ascii="仿宋" w:eastAsia="仿宋" w:hAnsi="仿宋" w:cs="仿宋" w:hint="eastAsia"/>
            <w:lang w:eastAsia="zh-CN"/>
          </w:rPr>
          <w:t>三、核设施退役技术设备项目组织机构与人力资源配置</w:t>
        </w:r>
        <w:r>
          <w:tab/>
        </w:r>
        <w:r>
          <w:fldChar w:fldCharType="begin"/>
        </w:r>
        <w:r>
          <w:instrText xml:space="preserve"> PAGEREF _Toc6108 \h </w:instrText>
        </w:r>
        <w:r>
          <w:fldChar w:fldCharType="separate"/>
        </w:r>
        <w:r>
          <w:t>8</w:t>
        </w:r>
        <w:r>
          <w:fldChar w:fldCharType="end"/>
        </w:r>
      </w:hyperlink>
    </w:p>
    <w:p>
      <w:pPr>
        <w:pStyle w:val="TOC2"/>
        <w:tabs>
          <w:tab w:val="right" w:leader="dot" w:pos="8306"/>
        </w:tabs>
      </w:pPr>
      <w:hyperlink w:anchor="_Toc7624" w:history="1">
        <w:r>
          <w:rPr>
            <w:rFonts w:ascii="仿宋" w:eastAsia="仿宋" w:hAnsi="仿宋" w:cs="仿宋" w:hint="eastAsia"/>
            <w:lang w:eastAsia="zh-CN"/>
          </w:rPr>
          <w:t>(一)、核设施退役技术设备项目组织机构设置</w:t>
        </w:r>
        <w:r>
          <w:tab/>
        </w:r>
        <w:r>
          <w:fldChar w:fldCharType="begin"/>
        </w:r>
        <w:r>
          <w:instrText xml:space="preserve"> PAGEREF _Toc7624 \h </w:instrText>
        </w:r>
        <w:r>
          <w:fldChar w:fldCharType="separate"/>
        </w:r>
        <w:r>
          <w:t>8</w:t>
        </w:r>
        <w:r>
          <w:fldChar w:fldCharType="end"/>
        </w:r>
      </w:hyperlink>
    </w:p>
    <w:p>
      <w:pPr>
        <w:pStyle w:val="TOC2"/>
        <w:tabs>
          <w:tab w:val="right" w:leader="dot" w:pos="8306"/>
        </w:tabs>
      </w:pPr>
      <w:hyperlink w:anchor="_Toc11385" w:history="1">
        <w:r>
          <w:rPr>
            <w:rFonts w:ascii="仿宋" w:eastAsia="仿宋" w:hAnsi="仿宋" w:cs="仿宋" w:hint="eastAsia"/>
            <w:lang w:eastAsia="zh-CN"/>
          </w:rPr>
          <w:t>(二)、人力资源配置计划</w:t>
        </w:r>
        <w:r>
          <w:tab/>
        </w:r>
        <w:r>
          <w:fldChar w:fldCharType="begin"/>
        </w:r>
        <w:r>
          <w:instrText xml:space="preserve"> PAGEREF _Toc11385 \h </w:instrText>
        </w:r>
        <w:r>
          <w:fldChar w:fldCharType="separate"/>
        </w:r>
        <w:r>
          <w:t>10</w:t>
        </w:r>
        <w:r>
          <w:fldChar w:fldCharType="end"/>
        </w:r>
      </w:hyperlink>
    </w:p>
    <w:p>
      <w:pPr>
        <w:pStyle w:val="TOC2"/>
        <w:tabs>
          <w:tab w:val="right" w:leader="dot" w:pos="8306"/>
        </w:tabs>
      </w:pPr>
      <w:hyperlink w:anchor="_Toc11707" w:history="1">
        <w:r>
          <w:rPr>
            <w:rFonts w:ascii="仿宋" w:eastAsia="仿宋" w:hAnsi="仿宋" w:cs="仿宋" w:hint="eastAsia"/>
            <w:lang w:eastAsia="zh-CN"/>
          </w:rPr>
          <w:t>(三)、培训计划</w:t>
        </w:r>
        <w:r>
          <w:tab/>
        </w:r>
        <w:r>
          <w:fldChar w:fldCharType="begin"/>
        </w:r>
        <w:r>
          <w:instrText xml:space="preserve"> PAGEREF _Toc11707 \h </w:instrText>
        </w:r>
        <w:r>
          <w:fldChar w:fldCharType="separate"/>
        </w:r>
        <w:r>
          <w:t>11</w:t>
        </w:r>
        <w:r>
          <w:fldChar w:fldCharType="end"/>
        </w:r>
      </w:hyperlink>
    </w:p>
    <w:p>
      <w:pPr>
        <w:pStyle w:val="TOC1"/>
        <w:tabs>
          <w:tab w:val="right" w:leader="dot" w:pos="8306"/>
        </w:tabs>
      </w:pPr>
      <w:hyperlink w:anchor="_Toc13798" w:history="1">
        <w:r>
          <w:rPr>
            <w:rFonts w:ascii="仿宋" w:eastAsia="仿宋" w:hAnsi="仿宋" w:cs="仿宋" w:hint="eastAsia"/>
            <w:lang w:eastAsia="zh-CN"/>
          </w:rPr>
          <w:t>四、未来市场预测和产品升级</w:t>
        </w:r>
        <w:r>
          <w:tab/>
        </w:r>
        <w:r>
          <w:fldChar w:fldCharType="begin"/>
        </w:r>
        <w:r>
          <w:instrText xml:space="preserve"> PAGEREF _Toc13798 \h </w:instrText>
        </w:r>
        <w:r>
          <w:fldChar w:fldCharType="separate"/>
        </w:r>
        <w:r>
          <w:t>13</w:t>
        </w:r>
        <w:r>
          <w:fldChar w:fldCharType="end"/>
        </w:r>
      </w:hyperlink>
    </w:p>
    <w:p>
      <w:pPr>
        <w:pStyle w:val="TOC2"/>
        <w:tabs>
          <w:tab w:val="right" w:leader="dot" w:pos="8306"/>
        </w:tabs>
      </w:pPr>
      <w:hyperlink w:anchor="_Toc32188" w:history="1">
        <w:r>
          <w:rPr>
            <w:rFonts w:ascii="仿宋" w:eastAsia="仿宋" w:hAnsi="仿宋" w:cs="仿宋" w:hint="eastAsia"/>
            <w:lang w:eastAsia="zh-CN"/>
          </w:rPr>
          <w:t>(一)、未来市场发展趋势和预测</w:t>
        </w:r>
        <w:r>
          <w:tab/>
        </w:r>
        <w:r>
          <w:fldChar w:fldCharType="begin"/>
        </w:r>
        <w:r>
          <w:instrText xml:space="preserve"> PAGEREF _Toc32188 \h </w:instrText>
        </w:r>
        <w:r>
          <w:fldChar w:fldCharType="separate"/>
        </w:r>
        <w:r>
          <w:t>13</w:t>
        </w:r>
        <w:r>
          <w:fldChar w:fldCharType="end"/>
        </w:r>
      </w:hyperlink>
    </w:p>
    <w:p>
      <w:pPr>
        <w:pStyle w:val="TOC2"/>
        <w:tabs>
          <w:tab w:val="right" w:leader="dot" w:pos="8306"/>
        </w:tabs>
      </w:pPr>
      <w:hyperlink w:anchor="_Toc14503" w:history="1">
        <w:r>
          <w:rPr>
            <w:rFonts w:ascii="仿宋" w:eastAsia="仿宋" w:hAnsi="仿宋" w:cs="仿宋" w:hint="eastAsia"/>
            <w:lang w:eastAsia="zh-CN"/>
          </w:rPr>
          <w:t>(二)、产品升级换代和创新的必要性</w:t>
        </w:r>
        <w:r>
          <w:tab/>
        </w:r>
        <w:r>
          <w:fldChar w:fldCharType="begin"/>
        </w:r>
        <w:r>
          <w:instrText xml:space="preserve"> PAGEREF _Toc14503 \h </w:instrText>
        </w:r>
        <w:r>
          <w:fldChar w:fldCharType="separate"/>
        </w:r>
        <w:r>
          <w:t>14</w:t>
        </w:r>
        <w:r>
          <w:fldChar w:fldCharType="end"/>
        </w:r>
      </w:hyperlink>
    </w:p>
    <w:p>
      <w:pPr>
        <w:pStyle w:val="TOC2"/>
        <w:tabs>
          <w:tab w:val="right" w:leader="dot" w:pos="8306"/>
        </w:tabs>
      </w:pPr>
      <w:hyperlink w:anchor="_Toc30287" w:history="1">
        <w:r>
          <w:rPr>
            <w:rFonts w:ascii="仿宋" w:eastAsia="仿宋" w:hAnsi="仿宋" w:cs="仿宋" w:hint="eastAsia"/>
            <w:lang w:eastAsia="zh-CN"/>
          </w:rPr>
          <w:t>(三)、产品升级换代和创新的实施方案</w:t>
        </w:r>
        <w:r>
          <w:tab/>
        </w:r>
        <w:r>
          <w:fldChar w:fldCharType="begin"/>
        </w:r>
        <w:r>
          <w:instrText xml:space="preserve"> PAGEREF _Toc30287 \h </w:instrText>
        </w:r>
        <w:r>
          <w:fldChar w:fldCharType="separate"/>
        </w:r>
        <w:r>
          <w:t>14</w:t>
        </w:r>
        <w:r>
          <w:fldChar w:fldCharType="end"/>
        </w:r>
      </w:hyperlink>
    </w:p>
    <w:p>
      <w:pPr>
        <w:pStyle w:val="TOC1"/>
        <w:tabs>
          <w:tab w:val="right" w:leader="dot" w:pos="8306"/>
        </w:tabs>
      </w:pPr>
      <w:hyperlink w:anchor="_Toc16656" w:history="1">
        <w:r>
          <w:rPr>
            <w:rFonts w:ascii="仿宋" w:eastAsia="仿宋" w:hAnsi="仿宋" w:cs="仿宋" w:hint="eastAsia"/>
            <w:lang w:eastAsia="zh-CN"/>
          </w:rPr>
          <w:t>五、核设施退役技术设备项目主要建(构)筑物建设工程</w:t>
        </w:r>
        <w:r>
          <w:tab/>
        </w:r>
        <w:r>
          <w:fldChar w:fldCharType="begin"/>
        </w:r>
        <w:r>
          <w:instrText xml:space="preserve"> PAGEREF _Toc16656 \h </w:instrText>
        </w:r>
        <w:r>
          <w:fldChar w:fldCharType="separate"/>
        </w:r>
        <w:r>
          <w:t>15</w:t>
        </w:r>
        <w:r>
          <w:fldChar w:fldCharType="end"/>
        </w:r>
      </w:hyperlink>
    </w:p>
    <w:p>
      <w:pPr>
        <w:pStyle w:val="TOC2"/>
        <w:tabs>
          <w:tab w:val="right" w:leader="dot" w:pos="8306"/>
        </w:tabs>
      </w:pPr>
      <w:hyperlink w:anchor="_Toc10444" w:history="1">
        <w:r>
          <w:rPr>
            <w:rFonts w:ascii="仿宋" w:eastAsia="仿宋" w:hAnsi="仿宋" w:cs="仿宋" w:hint="eastAsia"/>
            <w:lang w:eastAsia="zh-CN"/>
          </w:rPr>
          <w:t>(一)、抗震设防</w:t>
        </w:r>
        <w:r>
          <w:tab/>
        </w:r>
        <w:r>
          <w:fldChar w:fldCharType="begin"/>
        </w:r>
        <w:r>
          <w:instrText xml:space="preserve"> PAGEREF _Toc10444 \h </w:instrText>
        </w:r>
        <w:r>
          <w:fldChar w:fldCharType="separate"/>
        </w:r>
        <w:r>
          <w:t>15</w:t>
        </w:r>
        <w:r>
          <w:fldChar w:fldCharType="end"/>
        </w:r>
      </w:hyperlink>
    </w:p>
    <w:p>
      <w:pPr>
        <w:pStyle w:val="TOC2"/>
        <w:tabs>
          <w:tab w:val="right" w:leader="dot" w:pos="8306"/>
        </w:tabs>
      </w:pPr>
      <w:hyperlink w:anchor="_Toc24587" w:history="1">
        <w:r>
          <w:rPr>
            <w:rFonts w:ascii="仿宋" w:eastAsia="仿宋" w:hAnsi="仿宋" w:cs="仿宋" w:hint="eastAsia"/>
            <w:lang w:eastAsia="zh-CN"/>
          </w:rPr>
          <w:t>(二)、建筑结构形势及基础方案</w:t>
        </w:r>
        <w:r>
          <w:tab/>
        </w:r>
        <w:r>
          <w:fldChar w:fldCharType="begin"/>
        </w:r>
        <w:r>
          <w:instrText xml:space="preserve"> PAGEREF _Toc24587 \h </w:instrText>
        </w:r>
        <w:r>
          <w:fldChar w:fldCharType="separate"/>
        </w:r>
        <w:r>
          <w:t>16</w:t>
        </w:r>
        <w:r>
          <w:fldChar w:fldCharType="end"/>
        </w:r>
      </w:hyperlink>
    </w:p>
    <w:p>
      <w:pPr>
        <w:pStyle w:val="TOC2"/>
        <w:tabs>
          <w:tab w:val="right" w:leader="dot" w:pos="8306"/>
        </w:tabs>
      </w:pPr>
      <w:hyperlink w:anchor="_Toc23461" w:history="1">
        <w:r>
          <w:rPr>
            <w:rFonts w:ascii="仿宋" w:eastAsia="仿宋" w:hAnsi="仿宋" w:cs="仿宋" w:hint="eastAsia"/>
            <w:lang w:eastAsia="zh-CN"/>
          </w:rPr>
          <w:t>(三)、主要建(构)筑物建设工程</w:t>
        </w:r>
        <w:r>
          <w:tab/>
        </w:r>
        <w:r>
          <w:fldChar w:fldCharType="begin"/>
        </w:r>
        <w:r>
          <w:instrText xml:space="preserve"> PAGEREF _Toc23461 \h </w:instrText>
        </w:r>
        <w:r>
          <w:fldChar w:fldCharType="separate"/>
        </w:r>
        <w:r>
          <w:t>17</w:t>
        </w:r>
        <w:r>
          <w:fldChar w:fldCharType="end"/>
        </w:r>
      </w:hyperlink>
    </w:p>
    <w:p>
      <w:pPr>
        <w:pStyle w:val="TOC1"/>
        <w:tabs>
          <w:tab w:val="right" w:leader="dot" w:pos="8306"/>
        </w:tabs>
      </w:pPr>
      <w:hyperlink w:anchor="_Toc32453" w:history="1">
        <w:r>
          <w:rPr>
            <w:rFonts w:ascii="仿宋" w:eastAsia="仿宋" w:hAnsi="仿宋" w:cs="仿宋" w:hint="eastAsia"/>
            <w:lang w:eastAsia="zh-CN"/>
          </w:rPr>
          <w:t>六、工程设计方案</w:t>
        </w:r>
        <w:r>
          <w:tab/>
        </w:r>
        <w:r>
          <w:fldChar w:fldCharType="begin"/>
        </w:r>
        <w:r>
          <w:instrText xml:space="preserve"> PAGEREF _Toc32453 \h </w:instrText>
        </w:r>
        <w:r>
          <w:fldChar w:fldCharType="separate"/>
        </w:r>
        <w:r>
          <w:t>17</w:t>
        </w:r>
        <w:r>
          <w:fldChar w:fldCharType="end"/>
        </w:r>
      </w:hyperlink>
    </w:p>
    <w:p>
      <w:pPr>
        <w:pStyle w:val="TOC2"/>
        <w:tabs>
          <w:tab w:val="right" w:leader="dot" w:pos="8306"/>
        </w:tabs>
      </w:pPr>
      <w:hyperlink w:anchor="_Toc9672" w:history="1">
        <w:r>
          <w:rPr>
            <w:rFonts w:ascii="仿宋" w:eastAsia="仿宋" w:hAnsi="仿宋" w:cs="仿宋" w:hint="eastAsia"/>
            <w:lang w:eastAsia="zh-CN"/>
          </w:rPr>
          <w:t>(一)、总图布置</w:t>
        </w:r>
        <w:r>
          <w:tab/>
        </w:r>
        <w:r>
          <w:fldChar w:fldCharType="begin"/>
        </w:r>
        <w:r>
          <w:instrText xml:space="preserve"> PAGEREF _Toc9672 \h </w:instrText>
        </w:r>
        <w:r>
          <w:fldChar w:fldCharType="separate"/>
        </w:r>
        <w:r>
          <w:t>17</w:t>
        </w:r>
        <w:r>
          <w:fldChar w:fldCharType="end"/>
        </w:r>
      </w:hyperlink>
    </w:p>
    <w:p>
      <w:pPr>
        <w:pStyle w:val="TOC2"/>
        <w:tabs>
          <w:tab w:val="right" w:leader="dot" w:pos="8306"/>
        </w:tabs>
      </w:pPr>
      <w:hyperlink w:anchor="_Toc18692" w:history="1">
        <w:r>
          <w:rPr>
            <w:rFonts w:ascii="仿宋" w:eastAsia="仿宋" w:hAnsi="仿宋" w:cs="仿宋" w:hint="eastAsia"/>
            <w:lang w:eastAsia="zh-CN"/>
          </w:rPr>
          <w:t>(二)、建筑设计</w:t>
        </w:r>
        <w:r>
          <w:tab/>
        </w:r>
        <w:r>
          <w:fldChar w:fldCharType="begin"/>
        </w:r>
        <w:r>
          <w:instrText xml:space="preserve"> PAGEREF _Toc18692 \h </w:instrText>
        </w:r>
        <w:r>
          <w:fldChar w:fldCharType="separate"/>
        </w:r>
        <w:r>
          <w:t>18</w:t>
        </w:r>
        <w:r>
          <w:fldChar w:fldCharType="end"/>
        </w:r>
      </w:hyperlink>
    </w:p>
    <w:p>
      <w:pPr>
        <w:pStyle w:val="TOC2"/>
        <w:tabs>
          <w:tab w:val="right" w:leader="dot" w:pos="8306"/>
        </w:tabs>
      </w:pPr>
      <w:hyperlink w:anchor="_Toc31281" w:history="1">
        <w:r>
          <w:rPr>
            <w:rFonts w:ascii="仿宋" w:eastAsia="仿宋" w:hAnsi="仿宋" w:cs="仿宋" w:hint="eastAsia"/>
            <w:lang w:eastAsia="zh-CN"/>
          </w:rPr>
          <w:t>(三)、结构设计</w:t>
        </w:r>
        <w:r>
          <w:tab/>
        </w:r>
        <w:r>
          <w:fldChar w:fldCharType="begin"/>
        </w:r>
        <w:r>
          <w:instrText xml:space="preserve"> PAGEREF _Toc31281 \h </w:instrText>
        </w:r>
        <w:r>
          <w:fldChar w:fldCharType="separate"/>
        </w:r>
        <w:r>
          <w:t>20</w:t>
        </w:r>
        <w:r>
          <w:fldChar w:fldCharType="end"/>
        </w:r>
      </w:hyperlink>
    </w:p>
    <w:p>
      <w:pPr>
        <w:pStyle w:val="TOC2"/>
        <w:tabs>
          <w:tab w:val="right" w:leader="dot" w:pos="8306"/>
        </w:tabs>
      </w:pPr>
      <w:hyperlink w:anchor="_Toc11001" w:history="1">
        <w:r>
          <w:rPr>
            <w:rFonts w:ascii="仿宋" w:eastAsia="仿宋" w:hAnsi="仿宋" w:cs="仿宋" w:hint="eastAsia"/>
            <w:lang w:eastAsia="zh-CN"/>
          </w:rPr>
          <w:t>(四)、给排水设计</w:t>
        </w:r>
        <w:r>
          <w:tab/>
        </w:r>
        <w:r>
          <w:fldChar w:fldCharType="begin"/>
        </w:r>
        <w:r>
          <w:instrText xml:space="preserve"> PAGEREF _Toc11001 \h </w:instrText>
        </w:r>
        <w:r>
          <w:fldChar w:fldCharType="separate"/>
        </w:r>
        <w:r>
          <w:t>21</w:t>
        </w:r>
        <w:r>
          <w:fldChar w:fldCharType="end"/>
        </w:r>
      </w:hyperlink>
    </w:p>
    <w:p>
      <w:pPr>
        <w:pStyle w:val="TOC2"/>
        <w:tabs>
          <w:tab w:val="right" w:leader="dot" w:pos="8306"/>
        </w:tabs>
      </w:pPr>
      <w:hyperlink w:anchor="_Toc19685" w:history="1">
        <w:r>
          <w:rPr>
            <w:rFonts w:ascii="仿宋" w:eastAsia="仿宋" w:hAnsi="仿宋" w:cs="仿宋" w:hint="eastAsia"/>
            <w:lang w:eastAsia="zh-CN"/>
          </w:rPr>
          <w:t>(五)、电气设计</w:t>
        </w:r>
        <w:r>
          <w:tab/>
        </w:r>
        <w:r>
          <w:fldChar w:fldCharType="begin"/>
        </w:r>
        <w:r>
          <w:instrText xml:space="preserve"> PAGEREF _Toc19685 \h </w:instrText>
        </w:r>
        <w:r>
          <w:fldChar w:fldCharType="separate"/>
        </w:r>
        <w:r>
          <w:t>23</w:t>
        </w:r>
        <w:r>
          <w:fldChar w:fldCharType="end"/>
        </w:r>
      </w:hyperlink>
    </w:p>
    <w:p>
      <w:pPr>
        <w:pStyle w:val="TOC2"/>
        <w:tabs>
          <w:tab w:val="right" w:leader="dot" w:pos="8306"/>
        </w:tabs>
      </w:pPr>
      <w:hyperlink w:anchor="_Toc1733" w:history="1">
        <w:r>
          <w:rPr>
            <w:rFonts w:ascii="仿宋" w:eastAsia="仿宋" w:hAnsi="仿宋" w:cs="仿宋" w:hint="eastAsia"/>
            <w:lang w:eastAsia="zh-CN"/>
          </w:rPr>
          <w:t>(六)、空调通风设计</w:t>
        </w:r>
        <w:r>
          <w:tab/>
        </w:r>
        <w:r>
          <w:fldChar w:fldCharType="begin"/>
        </w:r>
        <w:r>
          <w:instrText xml:space="preserve"> PAGEREF _Toc1733 \h </w:instrText>
        </w:r>
        <w:r>
          <w:fldChar w:fldCharType="separate"/>
        </w:r>
        <w:r>
          <w:t>24</w:t>
        </w:r>
        <w:r>
          <w:fldChar w:fldCharType="end"/>
        </w:r>
      </w:hyperlink>
    </w:p>
    <w:p>
      <w:pPr>
        <w:pStyle w:val="TOC2"/>
        <w:tabs>
          <w:tab w:val="right" w:leader="dot" w:pos="8306"/>
        </w:tabs>
      </w:pPr>
      <w:hyperlink w:anchor="_Toc1261" w:history="1">
        <w:r>
          <w:rPr>
            <w:rFonts w:ascii="仿宋" w:eastAsia="仿宋" w:hAnsi="仿宋" w:cs="仿宋" w:hint="eastAsia"/>
            <w:lang w:eastAsia="zh-CN"/>
          </w:rPr>
          <w:t>(七)、其他专业设计</w:t>
        </w:r>
        <w:r>
          <w:tab/>
        </w:r>
        <w:r>
          <w:fldChar w:fldCharType="begin"/>
        </w:r>
        <w:r>
          <w:instrText xml:space="preserve"> PAGEREF _Toc1261 \h </w:instrText>
        </w:r>
        <w:r>
          <w:fldChar w:fldCharType="separate"/>
        </w:r>
        <w:r>
          <w:t>26</w:t>
        </w:r>
        <w:r>
          <w:fldChar w:fldCharType="end"/>
        </w:r>
      </w:hyperlink>
    </w:p>
    <w:p>
      <w:pPr>
        <w:pStyle w:val="TOC1"/>
        <w:tabs>
          <w:tab w:val="right" w:leader="dot" w:pos="8306"/>
        </w:tabs>
      </w:pPr>
      <w:hyperlink w:anchor="_Toc9997" w:history="1">
        <w:r>
          <w:rPr>
            <w:rFonts w:ascii="仿宋" w:eastAsia="仿宋" w:hAnsi="仿宋" w:cs="仿宋" w:hint="eastAsia"/>
            <w:lang w:eastAsia="zh-CN"/>
          </w:rPr>
          <w:t>七、安全生产评估报告书</w:t>
        </w:r>
        <w:r>
          <w:tab/>
        </w:r>
        <w:r>
          <w:fldChar w:fldCharType="begin"/>
        </w:r>
        <w:r>
          <w:instrText xml:space="preserve"> PAGEREF _Toc9997 \h </w:instrText>
        </w:r>
        <w:r>
          <w:fldChar w:fldCharType="separate"/>
        </w:r>
        <w:r>
          <w:t>27</w:t>
        </w:r>
        <w:r>
          <w:fldChar w:fldCharType="end"/>
        </w:r>
      </w:hyperlink>
    </w:p>
    <w:p>
      <w:pPr>
        <w:pStyle w:val="TOC2"/>
        <w:tabs>
          <w:tab w:val="right" w:leader="dot" w:pos="8306"/>
        </w:tabs>
      </w:pPr>
      <w:hyperlink w:anchor="_Toc19216" w:history="1">
        <w:r>
          <w:rPr>
            <w:rFonts w:ascii="仿宋" w:eastAsia="仿宋" w:hAnsi="仿宋" w:cs="仿宋" w:hint="eastAsia"/>
            <w:lang w:eastAsia="zh-CN"/>
          </w:rPr>
          <w:t>(一)、核设施退役技术设备项目安全生产评估的目的和依据</w:t>
        </w:r>
        <w:r>
          <w:tab/>
        </w:r>
        <w:r>
          <w:fldChar w:fldCharType="begin"/>
        </w:r>
        <w:r>
          <w:instrText xml:space="preserve"> PAGEREF _Toc19216 \h </w:instrText>
        </w:r>
        <w:r>
          <w:fldChar w:fldCharType="separate"/>
        </w:r>
        <w:r>
          <w:t>27</w:t>
        </w:r>
        <w:r>
          <w:fldChar w:fldCharType="end"/>
        </w:r>
      </w:hyperlink>
    </w:p>
    <w:p>
      <w:pPr>
        <w:pStyle w:val="TOC2"/>
        <w:tabs>
          <w:tab w:val="right" w:leader="dot" w:pos="8306"/>
        </w:tabs>
      </w:pPr>
      <w:hyperlink w:anchor="_Toc24405" w:history="1">
        <w:r>
          <w:rPr>
            <w:rFonts w:ascii="仿宋" w:eastAsia="仿宋" w:hAnsi="仿宋" w:cs="仿宋" w:hint="eastAsia"/>
            <w:lang w:eastAsia="zh-CN"/>
          </w:rPr>
          <w:t>(二)、核设施退役技术设备项目安全生产条件和现状评估</w:t>
        </w:r>
        <w:r>
          <w:tab/>
        </w:r>
        <w:r>
          <w:fldChar w:fldCharType="begin"/>
        </w:r>
        <w:r>
          <w:instrText xml:space="preserve"> PAGEREF _Toc24405 \h </w:instrText>
        </w:r>
        <w:r>
          <w:fldChar w:fldCharType="separate"/>
        </w:r>
        <w:r>
          <w:t>29</w:t>
        </w:r>
        <w:r>
          <w:fldChar w:fldCharType="end"/>
        </w:r>
      </w:hyperlink>
    </w:p>
    <w:p>
      <w:pPr>
        <w:pStyle w:val="TOC2"/>
        <w:tabs>
          <w:tab w:val="right" w:leader="dot" w:pos="8306"/>
        </w:tabs>
      </w:pPr>
      <w:hyperlink w:anchor="_Toc847" w:history="1">
        <w:r>
          <w:rPr>
            <w:rFonts w:ascii="仿宋" w:eastAsia="仿宋" w:hAnsi="仿宋" w:cs="仿宋" w:hint="eastAsia"/>
            <w:lang w:eastAsia="zh-CN"/>
          </w:rPr>
          <w:t>(三)、安全生产风险评估和预测</w:t>
        </w:r>
        <w:r>
          <w:tab/>
        </w:r>
        <w:r>
          <w:fldChar w:fldCharType="begin"/>
        </w:r>
        <w:r>
          <w:instrText xml:space="preserve"> PAGEREF _Toc847 \h </w:instrText>
        </w:r>
        <w:r>
          <w:fldChar w:fldCharType="separate"/>
        </w:r>
        <w:r>
          <w:t>30</w:t>
        </w:r>
        <w:r>
          <w:fldChar w:fldCharType="end"/>
        </w:r>
      </w:hyperlink>
    </w:p>
    <w:p>
      <w:pPr>
        <w:pStyle w:val="TOC2"/>
        <w:tabs>
          <w:tab w:val="right" w:leader="dot" w:pos="8306"/>
        </w:tabs>
      </w:pPr>
      <w:hyperlink w:anchor="_Toc4083" w:history="1">
        <w:r>
          <w:rPr>
            <w:rFonts w:ascii="仿宋" w:eastAsia="仿宋" w:hAnsi="仿宋" w:cs="仿宋" w:hint="eastAsia"/>
            <w:lang w:eastAsia="zh-CN"/>
          </w:rPr>
          <w:t>(四)、安全生产对策措施和实施方案</w:t>
        </w:r>
        <w:r>
          <w:tab/>
        </w:r>
        <w:r>
          <w:fldChar w:fldCharType="begin"/>
        </w:r>
        <w:r>
          <w:instrText xml:space="preserve"> PAGEREF _Toc4083 \h </w:instrText>
        </w:r>
        <w:r>
          <w:fldChar w:fldCharType="separate"/>
        </w:r>
        <w:r>
          <w:t>31</w:t>
        </w:r>
        <w:r>
          <w:fldChar w:fldCharType="end"/>
        </w:r>
      </w:hyperlink>
    </w:p>
    <w:p>
      <w:pPr>
        <w:pStyle w:val="TOC1"/>
        <w:tabs>
          <w:tab w:val="right" w:leader="dot" w:pos="8306"/>
        </w:tabs>
      </w:pPr>
      <w:hyperlink w:anchor="_Toc28545" w:history="1">
        <w:r>
          <w:rPr>
            <w:rFonts w:ascii="仿宋" w:eastAsia="仿宋" w:hAnsi="仿宋" w:cs="仿宋" w:hint="eastAsia"/>
            <w:lang w:eastAsia="zh-CN"/>
          </w:rPr>
          <w:t>八、社会责任和可持续发展</w:t>
        </w:r>
        <w:r>
          <w:tab/>
        </w:r>
        <w:r>
          <w:fldChar w:fldCharType="begin"/>
        </w:r>
        <w:r>
          <w:instrText xml:space="preserve"> PAGEREF _Toc28545 \h </w:instrText>
        </w:r>
        <w:r>
          <w:fldChar w:fldCharType="separate"/>
        </w:r>
        <w:r>
          <w:t>33</w:t>
        </w:r>
        <w:r>
          <w:fldChar w:fldCharType="end"/>
        </w:r>
      </w:hyperlink>
    </w:p>
    <w:p>
      <w:pPr>
        <w:pStyle w:val="TOC2"/>
        <w:tabs>
          <w:tab w:val="right" w:leader="dot" w:pos="8306"/>
        </w:tabs>
      </w:pPr>
      <w:hyperlink w:anchor="_Toc13017" w:history="1">
        <w:r>
          <w:rPr>
            <w:rFonts w:ascii="仿宋" w:eastAsia="仿宋" w:hAnsi="仿宋" w:cs="仿宋" w:hint="eastAsia"/>
            <w:lang w:eastAsia="zh-CN"/>
          </w:rPr>
          <w:t>(一)、核设施退役技术设备项目对社会责任的承担和履行</w:t>
        </w:r>
        <w:r>
          <w:tab/>
        </w:r>
        <w:r>
          <w:fldChar w:fldCharType="begin"/>
        </w:r>
        <w:r>
          <w:instrText xml:space="preserve"> PAGEREF _Toc13017 \h </w:instrText>
        </w:r>
        <w:r>
          <w:fldChar w:fldCharType="separate"/>
        </w:r>
        <w:r>
          <w:t>33</w:t>
        </w:r>
        <w:r>
          <w:fldChar w:fldCharType="end"/>
        </w:r>
      </w:hyperlink>
    </w:p>
    <w:p>
      <w:pPr>
        <w:pStyle w:val="TOC2"/>
        <w:tabs>
          <w:tab w:val="right" w:leader="dot" w:pos="8306"/>
        </w:tabs>
      </w:pPr>
      <w:hyperlink w:anchor="_Toc11128" w:history="1">
        <w:r>
          <w:rPr>
            <w:rFonts w:ascii="仿宋" w:eastAsia="仿宋" w:hAnsi="仿宋" w:cs="仿宋" w:hint="eastAsia"/>
            <w:lang w:eastAsia="zh-CN"/>
          </w:rPr>
          <w:t>(二)、可持续发展的目标和实施方案</w:t>
        </w:r>
        <w:r>
          <w:tab/>
        </w:r>
        <w:r>
          <w:fldChar w:fldCharType="begin"/>
        </w:r>
        <w:r>
          <w:instrText xml:space="preserve"> PAGEREF _Toc11128 \h </w:instrText>
        </w:r>
        <w:r>
          <w:fldChar w:fldCharType="separate"/>
        </w:r>
        <w:r>
          <w:t>33</w:t>
        </w:r>
        <w:r>
          <w:fldChar w:fldCharType="end"/>
        </w:r>
      </w:hyperlink>
    </w:p>
    <w:p>
      <w:pPr>
        <w:pStyle w:val="TOC2"/>
        <w:tabs>
          <w:tab w:val="right" w:leader="dot" w:pos="8306"/>
        </w:tabs>
      </w:pPr>
      <w:hyperlink w:anchor="_Toc32658" w:history="1">
        <w:r>
          <w:rPr>
            <w:rFonts w:ascii="仿宋" w:eastAsia="仿宋" w:hAnsi="仿宋" w:cs="仿宋" w:hint="eastAsia"/>
            <w:lang w:eastAsia="zh-CN"/>
          </w:rPr>
          <w:t>(三)、环境保护和社会公益的结合方案</w:t>
        </w:r>
        <w:r>
          <w:tab/>
        </w:r>
        <w:r>
          <w:fldChar w:fldCharType="begin"/>
        </w:r>
        <w:r>
          <w:instrText xml:space="preserve"> PAGEREF _Toc32658 \h </w:instrText>
        </w:r>
        <w:r>
          <w:fldChar w:fldCharType="separate"/>
        </w:r>
        <w:r>
          <w:t>34</w:t>
        </w:r>
        <w:r>
          <w:fldChar w:fldCharType="end"/>
        </w:r>
      </w:hyperlink>
    </w:p>
    <w:p>
      <w:pPr>
        <w:pStyle w:val="TOC1"/>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30610" w:history="1">
        <w:r>
          <w:rPr>
            <w:rFonts w:ascii="仿宋" w:eastAsia="仿宋" w:hAnsi="仿宋" w:cs="仿宋" w:hint="eastAsia"/>
            <w:lang w:eastAsia="zh-CN"/>
          </w:rPr>
          <w:t>九、社会技术影响评估</w:t>
        </w:r>
        <w:r>
          <w:tab/>
        </w:r>
        <w:r>
          <w:fldChar w:fldCharType="begin"/>
        </w:r>
        <w:r>
          <w:instrText xml:space="preserve"> PAGEREF _Toc30610 \h </w:instrText>
        </w:r>
        <w:r>
          <w:fldChar w:fldCharType="separate"/>
        </w:r>
        <w:r>
          <w:t>35</w:t>
        </w:r>
        <w:r>
          <w:fldChar w:fldCharType="end"/>
        </w:r>
      </w:hyperlink>
    </w:p>
    <w:p>
      <w:pPr>
        <w:pStyle w:val="TOC2"/>
        <w:tabs>
          <w:tab w:val="right" w:leader="dot" w:pos="8306"/>
        </w:tabs>
      </w:pPr>
      <w:hyperlink w:anchor="_Toc26646" w:history="1">
        <w:r>
          <w:rPr>
            <w:rFonts w:ascii="仿宋" w:eastAsia="仿宋" w:hAnsi="仿宋" w:cs="仿宋" w:hint="eastAsia"/>
            <w:lang w:eastAsia="zh-CN"/>
          </w:rPr>
          <w:t>(一)、核设施退役技术设备在社会技术系统中的角色</w:t>
        </w:r>
        <w:r>
          <w:tab/>
        </w:r>
        <w:r>
          <w:fldChar w:fldCharType="begin"/>
        </w:r>
        <w:r>
          <w:instrText xml:space="preserve"> PAGEREF _Toc26646 \h </w:instrText>
        </w:r>
        <w:r>
          <w:fldChar w:fldCharType="separate"/>
        </w:r>
        <w:r>
          <w:t>35</w:t>
        </w:r>
        <w:r>
          <w:fldChar w:fldCharType="end"/>
        </w:r>
      </w:hyperlink>
    </w:p>
    <w:p>
      <w:pPr>
        <w:pStyle w:val="TOC2"/>
        <w:tabs>
          <w:tab w:val="right" w:leader="dot" w:pos="8306"/>
        </w:tabs>
      </w:pPr>
      <w:hyperlink w:anchor="_Toc11438" w:history="1">
        <w:r>
          <w:rPr>
            <w:rFonts w:ascii="仿宋" w:eastAsia="仿宋" w:hAnsi="仿宋" w:cs="仿宋" w:hint="eastAsia"/>
            <w:lang w:eastAsia="zh-CN"/>
          </w:rPr>
          <w:t>(二)、技术对核设施退役技术设备使用和市场的影响</w:t>
        </w:r>
        <w:r>
          <w:tab/>
        </w:r>
        <w:r>
          <w:fldChar w:fldCharType="begin"/>
        </w:r>
        <w:r>
          <w:instrText xml:space="preserve"> PAGEREF _Toc11438 \h </w:instrText>
        </w:r>
        <w:r>
          <w:fldChar w:fldCharType="separate"/>
        </w:r>
        <w:r>
          <w:t>36</w:t>
        </w:r>
        <w:r>
          <w:fldChar w:fldCharType="end"/>
        </w:r>
      </w:hyperlink>
    </w:p>
    <w:p>
      <w:pPr>
        <w:pStyle w:val="TOC2"/>
        <w:tabs>
          <w:tab w:val="right" w:leader="dot" w:pos="8306"/>
        </w:tabs>
      </w:pPr>
      <w:hyperlink w:anchor="_Toc32108" w:history="1">
        <w:r>
          <w:rPr>
            <w:rFonts w:ascii="仿宋" w:eastAsia="仿宋" w:hAnsi="仿宋" w:cs="仿宋" w:hint="eastAsia"/>
            <w:lang w:eastAsia="zh-CN"/>
          </w:rPr>
          <w:t>(三)、社会技术趋势对可行性的影响</w:t>
        </w:r>
        <w:r>
          <w:tab/>
        </w:r>
        <w:r>
          <w:fldChar w:fldCharType="begin"/>
        </w:r>
        <w:r>
          <w:instrText xml:space="preserve"> PAGEREF _Toc32108 \h </w:instrText>
        </w:r>
        <w:r>
          <w:fldChar w:fldCharType="separate"/>
        </w:r>
        <w:r>
          <w:t>37</w:t>
        </w:r>
        <w:r>
          <w:fldChar w:fldCharType="end"/>
        </w:r>
      </w:hyperlink>
    </w:p>
    <w:p>
      <w:pPr>
        <w:pStyle w:val="TOC1"/>
        <w:tabs>
          <w:tab w:val="right" w:leader="dot" w:pos="8306"/>
        </w:tabs>
      </w:pPr>
      <w:hyperlink w:anchor="_Toc19666" w:history="1">
        <w:r>
          <w:rPr>
            <w:rFonts w:ascii="仿宋" w:eastAsia="仿宋" w:hAnsi="仿宋" w:cs="仿宋" w:hint="eastAsia"/>
            <w:lang w:eastAsia="zh-CN"/>
          </w:rPr>
          <w:t>十、核设施退役技术设备项目管理和协调机制</w:t>
        </w:r>
        <w:r>
          <w:tab/>
        </w:r>
        <w:r>
          <w:fldChar w:fldCharType="begin"/>
        </w:r>
        <w:r>
          <w:instrText xml:space="preserve"> PAGEREF _Toc19666 \h </w:instrText>
        </w:r>
        <w:r>
          <w:fldChar w:fldCharType="separate"/>
        </w:r>
        <w:r>
          <w:t>38</w:t>
        </w:r>
        <w:r>
          <w:fldChar w:fldCharType="end"/>
        </w:r>
      </w:hyperlink>
    </w:p>
    <w:p>
      <w:pPr>
        <w:pStyle w:val="TOC2"/>
        <w:tabs>
          <w:tab w:val="right" w:leader="dot" w:pos="8306"/>
        </w:tabs>
      </w:pPr>
      <w:hyperlink w:anchor="_Toc562" w:history="1">
        <w:r>
          <w:rPr>
            <w:rFonts w:ascii="仿宋" w:eastAsia="仿宋" w:hAnsi="仿宋" w:cs="仿宋" w:hint="eastAsia"/>
            <w:lang w:eastAsia="zh-CN"/>
          </w:rPr>
          <w:t>(一)、核设施退役技术设备项目管理和协调的方法和工具</w:t>
        </w:r>
        <w:r>
          <w:tab/>
        </w:r>
        <w:r>
          <w:fldChar w:fldCharType="begin"/>
        </w:r>
        <w:r>
          <w:instrText xml:space="preserve"> PAGEREF _Toc562 \h </w:instrText>
        </w:r>
        <w:r>
          <w:fldChar w:fldCharType="separate"/>
        </w:r>
        <w:r>
          <w:t>38</w:t>
        </w:r>
        <w:r>
          <w:fldChar w:fldCharType="end"/>
        </w:r>
      </w:hyperlink>
    </w:p>
    <w:p>
      <w:pPr>
        <w:pStyle w:val="TOC2"/>
        <w:tabs>
          <w:tab w:val="right" w:leader="dot" w:pos="8306"/>
        </w:tabs>
      </w:pPr>
      <w:hyperlink w:anchor="_Toc32268" w:history="1">
        <w:r>
          <w:rPr>
            <w:rFonts w:ascii="仿宋" w:eastAsia="仿宋" w:hAnsi="仿宋" w:cs="仿宋" w:hint="eastAsia"/>
            <w:lang w:eastAsia="zh-CN"/>
          </w:rPr>
          <w:t>(二)、核设施退役技术设备项目团队成员之间的协调和沟通</w:t>
        </w:r>
        <w:r>
          <w:tab/>
        </w:r>
        <w:r>
          <w:fldChar w:fldCharType="begin"/>
        </w:r>
        <w:r>
          <w:instrText xml:space="preserve"> PAGEREF _Toc32268 \h </w:instrText>
        </w:r>
        <w:r>
          <w:fldChar w:fldCharType="separate"/>
        </w:r>
        <w:r>
          <w:t>39</w:t>
        </w:r>
        <w:r>
          <w:fldChar w:fldCharType="end"/>
        </w:r>
      </w:hyperlink>
    </w:p>
    <w:p>
      <w:pPr>
        <w:pStyle w:val="TOC2"/>
        <w:tabs>
          <w:tab w:val="right" w:leader="dot" w:pos="8306"/>
        </w:tabs>
      </w:pPr>
      <w:hyperlink w:anchor="_Toc25214" w:history="1">
        <w:r>
          <w:rPr>
            <w:rFonts w:ascii="仿宋" w:eastAsia="仿宋" w:hAnsi="仿宋" w:cs="仿宋" w:hint="eastAsia"/>
            <w:lang w:eastAsia="zh-CN"/>
          </w:rPr>
          <w:t>(三)、核设施退役技术设备项目进度和质量控制的管理和监督</w:t>
        </w:r>
        <w:r>
          <w:tab/>
        </w:r>
        <w:r>
          <w:fldChar w:fldCharType="begin"/>
        </w:r>
        <w:r>
          <w:instrText xml:space="preserve"> PAGEREF _Toc25214 \h </w:instrText>
        </w:r>
        <w:r>
          <w:fldChar w:fldCharType="separate"/>
        </w:r>
        <w:r>
          <w:t>40</w:t>
        </w:r>
        <w:r>
          <w:fldChar w:fldCharType="end"/>
        </w:r>
      </w:hyperlink>
    </w:p>
    <w:p>
      <w:pPr>
        <w:pStyle w:val="TOC1"/>
        <w:tabs>
          <w:tab w:val="right" w:leader="dot" w:pos="8306"/>
        </w:tabs>
      </w:pPr>
      <w:hyperlink w:anchor="_Toc26965" w:history="1">
        <w:r>
          <w:rPr>
            <w:rFonts w:ascii="仿宋" w:eastAsia="仿宋" w:hAnsi="仿宋" w:cs="仿宋" w:hint="eastAsia"/>
            <w:lang w:eastAsia="zh-CN"/>
          </w:rPr>
          <w:t>十一、消防安全</w:t>
        </w:r>
        <w:r>
          <w:tab/>
        </w:r>
        <w:r>
          <w:fldChar w:fldCharType="begin"/>
        </w:r>
        <w:r>
          <w:instrText xml:space="preserve"> PAGEREF _Toc26965 \h </w:instrText>
        </w:r>
        <w:r>
          <w:fldChar w:fldCharType="separate"/>
        </w:r>
        <w:r>
          <w:t>41</w:t>
        </w:r>
        <w:r>
          <w:fldChar w:fldCharType="end"/>
        </w:r>
      </w:hyperlink>
    </w:p>
    <w:p>
      <w:pPr>
        <w:pStyle w:val="TOC2"/>
        <w:tabs>
          <w:tab w:val="right" w:leader="dot" w:pos="8306"/>
        </w:tabs>
      </w:pPr>
      <w:hyperlink w:anchor="_Toc17338" w:history="1">
        <w:r>
          <w:rPr>
            <w:rFonts w:ascii="仿宋" w:eastAsia="仿宋" w:hAnsi="仿宋" w:cs="仿宋" w:hint="eastAsia"/>
            <w:lang w:eastAsia="zh-CN"/>
          </w:rPr>
          <w:t>(一)、核设施退役技术设备项目消防设计依据及原则</w:t>
        </w:r>
        <w:r>
          <w:tab/>
        </w:r>
        <w:r>
          <w:fldChar w:fldCharType="begin"/>
        </w:r>
        <w:r>
          <w:instrText xml:space="preserve"> PAGEREF _Toc17338 \h </w:instrText>
        </w:r>
        <w:r>
          <w:fldChar w:fldCharType="separate"/>
        </w:r>
        <w:r>
          <w:t>41</w:t>
        </w:r>
        <w:r>
          <w:fldChar w:fldCharType="end"/>
        </w:r>
      </w:hyperlink>
    </w:p>
    <w:p>
      <w:pPr>
        <w:pStyle w:val="TOC2"/>
        <w:tabs>
          <w:tab w:val="right" w:leader="dot" w:pos="8306"/>
        </w:tabs>
      </w:pPr>
      <w:hyperlink w:anchor="_Toc1400" w:history="1">
        <w:r>
          <w:rPr>
            <w:rFonts w:ascii="仿宋" w:eastAsia="仿宋" w:hAnsi="仿宋" w:cs="仿宋" w:hint="eastAsia"/>
            <w:lang w:eastAsia="zh-CN"/>
          </w:rPr>
          <w:t>(二)、核设施退役技术设备项目火灾危险性分析</w:t>
        </w:r>
        <w:r>
          <w:tab/>
        </w:r>
        <w:r>
          <w:fldChar w:fldCharType="begin"/>
        </w:r>
        <w:r>
          <w:instrText xml:space="preserve"> PAGEREF _Toc1400 \h </w:instrText>
        </w:r>
        <w:r>
          <w:fldChar w:fldCharType="separate"/>
        </w:r>
        <w:r>
          <w:t>42</w:t>
        </w:r>
        <w:r>
          <w:fldChar w:fldCharType="end"/>
        </w:r>
      </w:hyperlink>
    </w:p>
    <w:p>
      <w:pPr>
        <w:pStyle w:val="TOC1"/>
        <w:tabs>
          <w:tab w:val="right" w:leader="dot" w:pos="8306"/>
        </w:tabs>
      </w:pPr>
      <w:hyperlink w:anchor="_Toc13415" w:history="1">
        <w:r>
          <w:rPr>
            <w:rFonts w:ascii="仿宋" w:eastAsia="仿宋" w:hAnsi="仿宋" w:cs="仿宋" w:hint="eastAsia"/>
            <w:lang w:eastAsia="zh-CN"/>
          </w:rPr>
          <w:t>十二、研究结论与建议</w:t>
        </w:r>
        <w:r>
          <w:tab/>
        </w:r>
        <w:r>
          <w:fldChar w:fldCharType="begin"/>
        </w:r>
        <w:r>
          <w:instrText xml:space="preserve"> PAGEREF _Toc13415 \h </w:instrText>
        </w:r>
        <w:r>
          <w:fldChar w:fldCharType="separate"/>
        </w:r>
        <w:r>
          <w:t>43</w:t>
        </w:r>
        <w:r>
          <w:fldChar w:fldCharType="end"/>
        </w:r>
      </w:hyperlink>
    </w:p>
    <w:p>
      <w:pPr>
        <w:pStyle w:val="TOC2"/>
        <w:tabs>
          <w:tab w:val="right" w:leader="dot" w:pos="8306"/>
        </w:tabs>
      </w:pPr>
      <w:hyperlink w:anchor="_Toc22095" w:history="1">
        <w:r>
          <w:rPr>
            <w:rFonts w:ascii="仿宋" w:eastAsia="仿宋" w:hAnsi="仿宋" w:cs="仿宋" w:hint="eastAsia"/>
            <w:lang w:eastAsia="zh-CN"/>
          </w:rPr>
          <w:t>(一)、研究结论</w:t>
        </w:r>
        <w:r>
          <w:tab/>
        </w:r>
        <w:r>
          <w:fldChar w:fldCharType="begin"/>
        </w:r>
        <w:r>
          <w:instrText xml:space="preserve"> PAGEREF _Toc22095 \h </w:instrText>
        </w:r>
        <w:r>
          <w:fldChar w:fldCharType="separate"/>
        </w:r>
        <w:r>
          <w:t>43</w:t>
        </w:r>
        <w:r>
          <w:fldChar w:fldCharType="end"/>
        </w:r>
      </w:hyperlink>
    </w:p>
    <w:p>
      <w:pPr>
        <w:pStyle w:val="TOC2"/>
        <w:tabs>
          <w:tab w:val="right" w:leader="dot" w:pos="8306"/>
        </w:tabs>
      </w:pPr>
      <w:hyperlink w:anchor="_Toc746" w:history="1">
        <w:r>
          <w:rPr>
            <w:rFonts w:ascii="仿宋" w:eastAsia="仿宋" w:hAnsi="仿宋" w:cs="仿宋" w:hint="eastAsia"/>
            <w:lang w:eastAsia="zh-CN"/>
          </w:rPr>
          <w:t>(二)、建议与展望</w:t>
        </w:r>
        <w:r>
          <w:tab/>
        </w:r>
        <w:r>
          <w:fldChar w:fldCharType="begin"/>
        </w:r>
        <w:r>
          <w:instrText xml:space="preserve"> PAGEREF _Toc746 \h </w:instrText>
        </w:r>
        <w:r>
          <w:fldChar w:fldCharType="separate"/>
        </w:r>
        <w:r>
          <w:t>45</w:t>
        </w:r>
        <w:r>
          <w:fldChar w:fldCharType="end"/>
        </w:r>
      </w:hyperlink>
    </w:p>
    <w:p>
      <w:pPr>
        <w:pStyle w:val="TOC1"/>
        <w:tabs>
          <w:tab w:val="right" w:leader="dot" w:pos="8306"/>
        </w:tabs>
      </w:pPr>
      <w:hyperlink w:anchor="_Toc10966" w:history="1">
        <w:r>
          <w:rPr>
            <w:rFonts w:ascii="仿宋" w:eastAsia="仿宋" w:hAnsi="仿宋" w:cs="仿宋" w:hint="eastAsia"/>
            <w:lang w:eastAsia="zh-CN"/>
          </w:rPr>
          <w:t>十三、企业形象和品牌传播</w:t>
        </w:r>
        <w:r>
          <w:tab/>
        </w:r>
        <w:r>
          <w:fldChar w:fldCharType="begin"/>
        </w:r>
        <w:r>
          <w:instrText xml:space="preserve"> PAGEREF _Toc10966 \h </w:instrText>
        </w:r>
        <w:r>
          <w:fldChar w:fldCharType="separate"/>
        </w:r>
        <w:r>
          <w:t>47</w:t>
        </w:r>
        <w:r>
          <w:fldChar w:fldCharType="end"/>
        </w:r>
      </w:hyperlink>
    </w:p>
    <w:p>
      <w:pPr>
        <w:pStyle w:val="TOC2"/>
        <w:tabs>
          <w:tab w:val="right" w:leader="dot" w:pos="8306"/>
        </w:tabs>
      </w:pPr>
      <w:hyperlink w:anchor="_Toc15309" w:history="1">
        <w:r>
          <w:rPr>
            <w:rFonts w:ascii="仿宋" w:eastAsia="仿宋" w:hAnsi="仿宋" w:cs="仿宋" w:hint="eastAsia"/>
            <w:lang w:eastAsia="zh-CN"/>
          </w:rPr>
          <w:t>(一)、企业形象的策划和设计</w:t>
        </w:r>
        <w:r>
          <w:tab/>
        </w:r>
        <w:r>
          <w:fldChar w:fldCharType="begin"/>
        </w:r>
        <w:r>
          <w:instrText xml:space="preserve"> PAGEREF _Toc15309 \h </w:instrText>
        </w:r>
        <w:r>
          <w:fldChar w:fldCharType="separate"/>
        </w:r>
        <w:r>
          <w:t>47</w:t>
        </w:r>
        <w:r>
          <w:fldChar w:fldCharType="end"/>
        </w:r>
      </w:hyperlink>
    </w:p>
    <w:p>
      <w:pPr>
        <w:pStyle w:val="TOC2"/>
        <w:tabs>
          <w:tab w:val="right" w:leader="dot" w:pos="8306"/>
        </w:tabs>
      </w:pPr>
      <w:hyperlink w:anchor="_Toc30945" w:history="1">
        <w:r>
          <w:rPr>
            <w:rFonts w:ascii="仿宋" w:eastAsia="仿宋" w:hAnsi="仿宋" w:cs="仿宋" w:hint="eastAsia"/>
            <w:lang w:eastAsia="zh-CN"/>
          </w:rPr>
          <w:t>(二)、品牌传播的策略和渠道</w:t>
        </w:r>
        <w:r>
          <w:tab/>
        </w:r>
        <w:r>
          <w:fldChar w:fldCharType="begin"/>
        </w:r>
        <w:r>
          <w:instrText xml:space="preserve"> PAGEREF _Toc30945 \h </w:instrText>
        </w:r>
        <w:r>
          <w:fldChar w:fldCharType="separate"/>
        </w:r>
        <w:r>
          <w:t>48</w:t>
        </w:r>
        <w:r>
          <w:fldChar w:fldCharType="end"/>
        </w:r>
      </w:hyperlink>
    </w:p>
    <w:p>
      <w:pPr>
        <w:pStyle w:val="TOC2"/>
        <w:tabs>
          <w:tab w:val="right" w:leader="dot" w:pos="8306"/>
        </w:tabs>
      </w:pPr>
      <w:hyperlink w:anchor="_Toc4904" w:history="1">
        <w:r>
          <w:rPr>
            <w:rFonts w:ascii="仿宋" w:eastAsia="仿宋" w:hAnsi="仿宋" w:cs="仿宋" w:hint="eastAsia"/>
            <w:lang w:eastAsia="zh-CN"/>
          </w:rPr>
          <w:t>(三)、品牌传播效果的评估和反馈</w:t>
        </w:r>
        <w:r>
          <w:tab/>
        </w:r>
        <w:r>
          <w:fldChar w:fldCharType="begin"/>
        </w:r>
        <w:r>
          <w:instrText xml:space="preserve"> PAGEREF _Toc4904 \h </w:instrText>
        </w:r>
        <w:r>
          <w:fldChar w:fldCharType="separate"/>
        </w:r>
        <w:r>
          <w:t>50</w:t>
        </w:r>
        <w:r>
          <w:fldChar w:fldCharType="end"/>
        </w:r>
      </w:hyperlink>
    </w:p>
    <w:p>
      <w:pPr>
        <w:pStyle w:val="TOC1"/>
        <w:tabs>
          <w:tab w:val="right" w:leader="dot" w:pos="8306"/>
        </w:tabs>
      </w:pPr>
      <w:hyperlink w:anchor="_Toc11131" w:history="1">
        <w:r>
          <w:rPr>
            <w:rFonts w:ascii="仿宋" w:eastAsia="仿宋" w:hAnsi="仿宋" w:cs="仿宋" w:hint="eastAsia"/>
            <w:lang w:eastAsia="zh-CN"/>
          </w:rPr>
          <w:t>十四、企业社会责任和公益活动</w:t>
        </w:r>
        <w:r>
          <w:tab/>
        </w:r>
        <w:r>
          <w:fldChar w:fldCharType="begin"/>
        </w:r>
        <w:r>
          <w:instrText xml:space="preserve"> PAGEREF _Toc11131 \h </w:instrText>
        </w:r>
        <w:r>
          <w:fldChar w:fldCharType="separate"/>
        </w:r>
        <w:r>
          <w:t>51</w:t>
        </w:r>
        <w:r>
          <w:fldChar w:fldCharType="end"/>
        </w:r>
      </w:hyperlink>
    </w:p>
    <w:p>
      <w:pPr>
        <w:pStyle w:val="TOC2"/>
        <w:tabs>
          <w:tab w:val="right" w:leader="dot" w:pos="8306"/>
        </w:tabs>
      </w:pPr>
      <w:hyperlink w:anchor="_Toc23037" w:history="1">
        <w:r>
          <w:rPr>
            <w:rFonts w:ascii="仿宋" w:eastAsia="仿宋" w:hAnsi="仿宋" w:cs="仿宋" w:hint="eastAsia"/>
            <w:lang w:eastAsia="zh-CN"/>
          </w:rPr>
          <w:t>(一)、企业社会责任的内涵和履行</w:t>
        </w:r>
        <w:r>
          <w:tab/>
        </w:r>
        <w:r>
          <w:fldChar w:fldCharType="begin"/>
        </w:r>
        <w:r>
          <w:instrText xml:space="preserve"> PAGEREF _Toc23037 \h </w:instrText>
        </w:r>
        <w:r>
          <w:fldChar w:fldCharType="separate"/>
        </w:r>
        <w:r>
          <w:t>51</w:t>
        </w:r>
        <w:r>
          <w:fldChar w:fldCharType="end"/>
        </w:r>
      </w:hyperlink>
    </w:p>
    <w:p>
      <w:pPr>
        <w:pStyle w:val="TOC2"/>
        <w:tabs>
          <w:tab w:val="right" w:leader="dot" w:pos="8306"/>
        </w:tabs>
      </w:pPr>
      <w:hyperlink w:anchor="_Toc8499" w:history="1">
        <w:r>
          <w:rPr>
            <w:rFonts w:ascii="仿宋" w:eastAsia="仿宋" w:hAnsi="仿宋" w:cs="仿宋" w:hint="eastAsia"/>
            <w:lang w:eastAsia="zh-CN"/>
          </w:rPr>
          <w:t>(二)、公益活动的策划和实施</w:t>
        </w:r>
        <w:r>
          <w:tab/>
        </w:r>
        <w:r>
          <w:fldChar w:fldCharType="begin"/>
        </w:r>
        <w:r>
          <w:instrText xml:space="preserve"> PAGEREF _Toc8499 \h </w:instrText>
        </w:r>
        <w:r>
          <w:fldChar w:fldCharType="separate"/>
        </w:r>
        <w:r>
          <w:t>52</w:t>
        </w:r>
        <w:r>
          <w:fldChar w:fldCharType="end"/>
        </w:r>
      </w:hyperlink>
    </w:p>
    <w:p>
      <w:pPr>
        <w:pStyle w:val="TOC2"/>
        <w:tabs>
          <w:tab w:val="right" w:leader="dot" w:pos="8306"/>
        </w:tabs>
      </w:pPr>
      <w:hyperlink w:anchor="_Toc26577" w:history="1">
        <w:r>
          <w:rPr>
            <w:rFonts w:ascii="仿宋" w:eastAsia="仿宋" w:hAnsi="仿宋" w:cs="仿宋" w:hint="eastAsia"/>
            <w:lang w:eastAsia="zh-CN"/>
          </w:rPr>
          <w:t>(三)、企业社会责任和公益活动的宣传和推广</w:t>
        </w:r>
        <w:r>
          <w:tab/>
        </w:r>
        <w:r>
          <w:fldChar w:fldCharType="begin"/>
        </w:r>
        <w:r>
          <w:instrText xml:space="preserve"> PAGEREF _Toc26577 \h </w:instrText>
        </w:r>
        <w:r>
          <w:fldChar w:fldCharType="separate"/>
        </w:r>
        <w:r>
          <w:t>54</w:t>
        </w:r>
        <w:r>
          <w:fldChar w:fldCharType="end"/>
        </w:r>
      </w:hyperlink>
    </w:p>
    <w:p>
      <w:pPr>
        <w:pStyle w:val="TOC1"/>
        <w:tabs>
          <w:tab w:val="right" w:leader="dot" w:pos="8306"/>
        </w:tabs>
      </w:pPr>
      <w:hyperlink w:anchor="_Toc16869" w:history="1">
        <w:r>
          <w:rPr>
            <w:rFonts w:ascii="仿宋" w:eastAsia="仿宋" w:hAnsi="仿宋" w:cs="仿宋" w:hint="eastAsia"/>
            <w:lang w:eastAsia="zh-CN"/>
          </w:rPr>
          <w:t>十五、执行计划和风险监控</w:t>
        </w:r>
        <w:r>
          <w:tab/>
        </w:r>
        <w:r>
          <w:fldChar w:fldCharType="begin"/>
        </w:r>
        <w:r>
          <w:instrText xml:space="preserve"> PAGEREF _Toc16869 \h </w:instrText>
        </w:r>
        <w:r>
          <w:fldChar w:fldCharType="separate"/>
        </w:r>
        <w:r>
          <w:t>55</w:t>
        </w:r>
        <w:r>
          <w:fldChar w:fldCharType="end"/>
        </w:r>
      </w:hyperlink>
    </w:p>
    <w:p>
      <w:pPr>
        <w:pStyle w:val="TOC2"/>
        <w:tabs>
          <w:tab w:val="right" w:leader="dot" w:pos="8306"/>
        </w:tabs>
      </w:pPr>
      <w:hyperlink w:anchor="_Toc25041" w:history="1">
        <w:r>
          <w:rPr>
            <w:rFonts w:ascii="仿宋" w:eastAsia="仿宋" w:hAnsi="仿宋" w:cs="仿宋" w:hint="eastAsia"/>
            <w:lang w:eastAsia="zh-CN"/>
          </w:rPr>
          <w:t>(一)、核设施退役技术设备项目执行策略</w:t>
        </w:r>
        <w:r>
          <w:tab/>
        </w:r>
        <w:r>
          <w:fldChar w:fldCharType="begin"/>
        </w:r>
        <w:r>
          <w:instrText xml:space="preserve"> PAGEREF _Toc25041 \h </w:instrText>
        </w:r>
        <w:r>
          <w:fldChar w:fldCharType="separate"/>
        </w:r>
        <w:r>
          <w:t>55</w:t>
        </w:r>
        <w:r>
          <w:fldChar w:fldCharType="end"/>
        </w:r>
      </w:hyperlink>
    </w:p>
    <w:p>
      <w:pPr>
        <w:pStyle w:val="TOC2"/>
        <w:tabs>
          <w:tab w:val="right" w:leader="dot" w:pos="8306"/>
        </w:tabs>
      </w:pPr>
      <w:hyperlink w:anchor="_Toc4035" w:history="1">
        <w:r>
          <w:rPr>
            <w:rFonts w:ascii="仿宋" w:eastAsia="仿宋" w:hAnsi="仿宋" w:cs="仿宋" w:hint="eastAsia"/>
            <w:lang w:eastAsia="zh-CN"/>
          </w:rPr>
          <w:t>(二)、风险监控和管理计划</w:t>
        </w:r>
        <w:r>
          <w:tab/>
        </w:r>
        <w:r>
          <w:fldChar w:fldCharType="begin"/>
        </w:r>
        <w:r>
          <w:instrText xml:space="preserve"> PAGEREF _Toc4035 \h </w:instrText>
        </w:r>
        <w:r>
          <w:fldChar w:fldCharType="separate"/>
        </w:r>
        <w:r>
          <w:t>57</w:t>
        </w:r>
        <w:r>
          <w:fldChar w:fldCharType="end"/>
        </w:r>
      </w:hyperlink>
    </w:p>
    <w:p>
      <w:pPr>
        <w:pStyle w:val="TOC2"/>
        <w:tabs>
          <w:tab w:val="right" w:leader="dot" w:pos="8306"/>
        </w:tabs>
      </w:pPr>
      <w:hyperlink w:anchor="_Toc21560" w:history="1">
        <w:r>
          <w:rPr>
            <w:rFonts w:ascii="仿宋" w:eastAsia="仿宋" w:hAnsi="仿宋" w:cs="仿宋" w:hint="eastAsia"/>
            <w:lang w:eastAsia="zh-CN"/>
          </w:rPr>
          <w:t>(三)、变更管理和应急响应策略</w:t>
        </w:r>
        <w:r>
          <w:tab/>
        </w:r>
        <w:r>
          <w:fldChar w:fldCharType="begin"/>
        </w:r>
        <w:r>
          <w:instrText xml:space="preserve"> PAGEREF _Toc21560 \h </w:instrText>
        </w:r>
        <w:r>
          <w:fldChar w:fldCharType="separate"/>
        </w:r>
        <w:r>
          <w:t>58</w:t>
        </w:r>
        <w:r>
          <w:fldChar w:fldCharType="end"/>
        </w:r>
      </w:hyperlink>
    </w:p>
    <w:p>
      <w:pPr>
        <w:pStyle w:val="TOC1"/>
        <w:tabs>
          <w:tab w:val="right" w:leader="dot" w:pos="8306"/>
        </w:tabs>
      </w:pPr>
      <w:hyperlink w:anchor="_Toc30121" w:history="1">
        <w:r>
          <w:rPr>
            <w:rFonts w:ascii="仿宋" w:eastAsia="仿宋" w:hAnsi="仿宋" w:cs="仿宋" w:hint="eastAsia"/>
            <w:lang w:eastAsia="zh-CN"/>
          </w:rPr>
          <w:t>十六、产品定价和销售策略</w:t>
        </w:r>
        <w:r>
          <w:tab/>
        </w:r>
        <w:r>
          <w:fldChar w:fldCharType="begin"/>
        </w:r>
        <w:r>
          <w:instrText xml:space="preserve"> PAGEREF _Toc30121 \h </w:instrText>
        </w:r>
        <w:r>
          <w:fldChar w:fldCharType="separate"/>
        </w:r>
        <w:r>
          <w:t>59</w:t>
        </w:r>
        <w:r>
          <w:fldChar w:fldCharType="end"/>
        </w:r>
      </w:hyperlink>
    </w:p>
    <w:p>
      <w:pPr>
        <w:pStyle w:val="TOC2"/>
        <w:tabs>
          <w:tab w:val="right" w:leader="dot" w:pos="8306"/>
        </w:tabs>
      </w:pPr>
      <w:hyperlink w:anchor="_Toc30679" w:history="1">
        <w:r>
          <w:rPr>
            <w:rFonts w:ascii="仿宋" w:eastAsia="仿宋" w:hAnsi="仿宋" w:cs="仿宋" w:hint="eastAsia"/>
            <w:lang w:eastAsia="zh-CN"/>
          </w:rPr>
          <w:t>(一)、产品定价的原则和策略</w:t>
        </w:r>
        <w:r>
          <w:tab/>
        </w:r>
        <w:r>
          <w:fldChar w:fldCharType="begin"/>
        </w:r>
        <w:r>
          <w:instrText xml:space="preserve"> PAGEREF _Toc30679 \h </w:instrText>
        </w:r>
        <w:r>
          <w:fldChar w:fldCharType="separate"/>
        </w:r>
        <w:r>
          <w:t>59</w:t>
        </w:r>
        <w:r>
          <w:fldChar w:fldCharType="end"/>
        </w:r>
      </w:hyperlink>
    </w:p>
    <w:p>
      <w:pPr>
        <w:pStyle w:val="TOC2"/>
        <w:tabs>
          <w:tab w:val="right" w:leader="dot" w:pos="8306"/>
        </w:tabs>
      </w:pPr>
      <w:hyperlink w:anchor="_Toc25853" w:history="1">
        <w:r>
          <w:rPr>
            <w:rFonts w:ascii="仿宋" w:eastAsia="仿宋" w:hAnsi="仿宋" w:cs="仿宋" w:hint="eastAsia"/>
            <w:lang w:eastAsia="zh-CN"/>
          </w:rPr>
          <w:t>(二)、销售渠道的选择和拓展</w:t>
        </w:r>
        <w:r>
          <w:tab/>
        </w:r>
        <w:r>
          <w:fldChar w:fldCharType="begin"/>
        </w:r>
        <w:r>
          <w:instrText xml:space="preserve"> PAGEREF _Toc25853 \h </w:instrText>
        </w:r>
        <w:r>
          <w:fldChar w:fldCharType="separate"/>
        </w:r>
        <w:r>
          <w:t>61</w:t>
        </w:r>
        <w:r>
          <w:fldChar w:fldCharType="end"/>
        </w:r>
      </w:hyperlink>
    </w:p>
    <w:p>
      <w:pPr>
        <w:pStyle w:val="TOC2"/>
        <w:tabs>
          <w:tab w:val="right" w:leader="dot" w:pos="8306"/>
        </w:tabs>
      </w:pPr>
      <w:hyperlink w:anchor="_Toc3308" w:history="1">
        <w:r>
          <w:rPr>
            <w:rFonts w:ascii="仿宋" w:eastAsia="仿宋" w:hAnsi="仿宋" w:cs="仿宋" w:hint="eastAsia"/>
            <w:lang w:eastAsia="zh-CN"/>
          </w:rPr>
          <w:t>(三)、销售促进和营销活动的策划和实施</w:t>
        </w:r>
        <w:r>
          <w:tab/>
        </w:r>
        <w:r>
          <w:fldChar w:fldCharType="begin"/>
        </w:r>
        <w:r>
          <w:instrText xml:space="preserve"> PAGEREF _Toc3308 \h </w:instrText>
        </w:r>
        <w:r>
          <w:fldChar w:fldCharType="separate"/>
        </w:r>
        <w:r>
          <w:t>63</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pPr>
        <w:pStyle w:val="Heading1"/>
        <w:ind w:firstLine="560" w:firstLineChars="200"/>
        <w:rPr>
          <w:rFonts w:ascii="仿宋" w:eastAsia="仿宋" w:hAnsi="仿宋" w:cs="仿宋" w:hint="eastAsia"/>
          <w:sz w:val="28"/>
          <w:lang w:eastAsia="zh-CN"/>
        </w:rPr>
      </w:pPr>
      <w:bookmarkStart w:id="2" w:name="_Toc2663"/>
      <w:r>
        <w:rPr>
          <w:rFonts w:ascii="仿宋" w:eastAsia="仿宋" w:hAnsi="仿宋" w:cs="仿宋" w:hint="eastAsia"/>
          <w:sz w:val="28"/>
          <w:lang w:eastAsia="zh-CN"/>
        </w:rPr>
        <w:t>一、核设施退役技术设备项目投资估算与资金筹措</w:t>
      </w:r>
      <w:bookmarkEnd w:id="2"/>
    </w:p>
    <w:p>
      <w:pPr>
        <w:pStyle w:val="Heading2"/>
        <w:rPr>
          <w:rFonts w:ascii="仿宋" w:eastAsia="仿宋" w:hAnsi="仿宋" w:cs="仿宋" w:hint="eastAsia"/>
          <w:lang w:eastAsia="zh-CN"/>
        </w:rPr>
      </w:pPr>
      <w:bookmarkStart w:id="3" w:name="_Toc8335"/>
      <w:r>
        <w:rPr>
          <w:rFonts w:ascii="仿宋" w:eastAsia="仿宋" w:hAnsi="仿宋" w:cs="仿宋" w:hint="eastAsia"/>
          <w:lang w:eastAsia="zh-CN"/>
        </w:rPr>
        <w:t>(一)、投资估算依据和说明</w:t>
      </w:r>
      <w:bookmarkEnd w:id="3"/>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核设施退役技术设备项目的投资估算范围内，我们详细考虑了各项关键要素，以确保核设施退役技术设备项目的顺利启动和长期成功。投资估算主要涵盖了以下方面：固定资产投资估算，包括主要生产核设施退役技术设备项目、辅助生产核设施退役技术设备项目、公用工程核设施退役技术设备项目、服务性工程、配套费用以及其他费用的综合估算；流动资金的预估，以保证核设施退役技术设备项目在运营初期的正常资金流转；总投资和报批投资的估算，以便为相关决策提供明确的数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在制定投资估算计划时，我们严格依据一系列权威标准和规范进行，以确保估算的科学性和可靠性。这些标准包括但不限于：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《建设核设施退役技术设备项目投资估算编审规程》 ( CECA/GC1 )**</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《工程经济与财务评价实用手册》**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《投资核设施退役技术设备项目可行性研究指南》**</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《建设核设施退役技术设备项目经济评价方法与参数》 ( 第三版 )**</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《基本建设设计概算编制办法》**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此外，我们还充分考虑了各专业工程设计规范、市场价格信息、相关政策法规以及类似核设施退役技术设备项目的历史成本数据。这些因素的综合考虑有助于我们制定出更为准确和全面的投资估算。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费用分析方面，我们不仅仅着眼于当前的市场状况，还考虑了长期的因素。我们深入市场调研，对不同投资核设施退役技术设备项目进行技术评估，从而得出了每一项费用的预测值。在计算投资费用时，我们还对可能出现的风险因素进行了充分的预测和分析，如物价上涨、汇率波动等，以确保投资估算的可靠性和合理性。</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全面分析和综合考虑，我们的投资估算不仅为核设施退役技术设备项目的资金筹备提供了有力支持，还为核设施退役技术设备项目的可持续成功奠定了坚实的基础。我们相信，这样的投资估算策略将在核设施退役技术设备项目的实施过程中发挥重要作用。</w:t>
      </w:r>
    </w:p>
    <w:p>
      <w:pPr>
        <w:pStyle w:val="Heading2"/>
        <w:ind w:firstLine="560" w:firstLineChars="200"/>
        <w:rPr>
          <w:rFonts w:ascii="仿宋" w:eastAsia="仿宋" w:hAnsi="仿宋" w:cs="仿宋" w:hint="eastAsia"/>
          <w:sz w:val="28"/>
          <w:lang w:eastAsia="zh-CN"/>
        </w:rPr>
      </w:pPr>
      <w:bookmarkStart w:id="4" w:name="_Toc10205"/>
      <w:r>
        <w:rPr>
          <w:rFonts w:ascii="仿宋" w:eastAsia="仿宋" w:hAnsi="仿宋" w:cs="仿宋" w:hint="eastAsia"/>
          <w:sz w:val="28"/>
          <w:lang w:eastAsia="zh-CN"/>
        </w:rPr>
        <w:t>(二)、资金筹措</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核设施退役技术设备项目的总投资额为XXX万元。</w:t>
      </w:r>
    </w:p>
    <w:p>
      <w:pPr>
        <w:pStyle w:val="Heading2"/>
        <w:ind w:firstLine="560" w:firstLineChars="200"/>
        <w:rPr>
          <w:rFonts w:ascii="仿宋" w:eastAsia="仿宋" w:hAnsi="仿宋" w:cs="仿宋" w:hint="eastAsia"/>
          <w:sz w:val="28"/>
          <w:lang w:eastAsia="zh-CN"/>
        </w:rPr>
      </w:pPr>
      <w:bookmarkStart w:id="5" w:name="_Toc14230"/>
      <w:r>
        <w:rPr>
          <w:rFonts w:ascii="仿宋" w:eastAsia="仿宋" w:hAnsi="仿宋" w:cs="仿宋" w:hint="eastAsia"/>
          <w:sz w:val="28"/>
          <w:lang w:eastAsia="zh-CN"/>
        </w:rPr>
        <w:t>(三)、资金使用计划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本核设施退役技术设备项目固定资产投资金额为XXXX万元。</w:t>
      </w:r>
    </w:p>
    <w:p>
      <w:pPr>
        <w:pStyle w:val="Heading2"/>
        <w:ind w:firstLine="560" w:firstLineChars="200"/>
        <w:rPr>
          <w:rFonts w:ascii="仿宋" w:eastAsia="仿宋" w:hAnsi="仿宋" w:cs="仿宋" w:hint="eastAsia"/>
          <w:sz w:val="28"/>
          <w:lang w:eastAsia="zh-CN"/>
        </w:rPr>
      </w:pPr>
      <w:bookmarkStart w:id="6" w:name="_Toc20141"/>
      <w:r>
        <w:rPr>
          <w:rFonts w:ascii="仿宋" w:eastAsia="仿宋" w:hAnsi="仿宋" w:cs="仿宋" w:hint="eastAsia"/>
          <w:sz w:val="28"/>
          <w:lang w:eastAsia="zh-CN"/>
        </w:rPr>
        <w:t>(四)、核设施退役技术设备项目经济评价</w:t>
      </w:r>
      <w:bookmarkEnd w:id="6"/>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设施退役技术设备项目经济评价是基于投入产出相一致原则的重要工作，旨在从企业财务角度分析、测算核设施退役技术设备项目的各项费用和经济效益。该评价采用了严谨的逻辑推理和精确的测算方法，利用先进的人工智能技术对核设施退役技术设备项目进行全面的财务分析。评估过程中，核设施退役技术设备会根据市场价格体系和财税制度，分别测算核设施退役技术设备项目的盈利能力和清偿能力，以确保评价结果的准确性。通过计算核设施退役技术设备项目的财务评价预期指标，如盈利能力、清偿能力等，核设施退役技术设备能够评估拟建核设施退役技术设备项目的经济可行性，并最终判断核设施退役技术设备项目是否值得投资。</w:t>
      </w:r>
    </w:p>
    <w:p>
      <w:pPr>
        <w:pStyle w:val="Heading1"/>
        <w:ind w:firstLine="560" w:firstLineChars="200"/>
        <w:rPr>
          <w:rFonts w:ascii="仿宋" w:eastAsia="仿宋" w:hAnsi="仿宋" w:cs="仿宋" w:hint="eastAsia"/>
          <w:sz w:val="28"/>
          <w:lang w:eastAsia="zh-CN"/>
        </w:rPr>
      </w:pPr>
      <w:bookmarkStart w:id="7" w:name="_Toc20749"/>
      <w:r>
        <w:rPr>
          <w:rFonts w:ascii="仿宋" w:eastAsia="仿宋" w:hAnsi="仿宋" w:cs="仿宋" w:hint="eastAsia"/>
          <w:sz w:val="28"/>
          <w:lang w:eastAsia="zh-CN"/>
        </w:rPr>
        <w:t>二、核设施退役技术设备项目选址科学性分析</w:t>
      </w:r>
      <w:bookmarkEnd w:id="7"/>
    </w:p>
    <w:p>
      <w:pPr>
        <w:pStyle w:val="Heading2"/>
        <w:rPr>
          <w:rFonts w:ascii="仿宋" w:eastAsia="仿宋" w:hAnsi="仿宋" w:cs="仿宋" w:hint="eastAsia"/>
          <w:lang w:eastAsia="zh-CN"/>
        </w:rPr>
      </w:pPr>
      <w:bookmarkStart w:id="8" w:name="_Toc25521"/>
      <w:r>
        <w:rPr>
          <w:rFonts w:ascii="仿宋" w:eastAsia="仿宋" w:hAnsi="仿宋" w:cs="仿宋" w:hint="eastAsia"/>
          <w:lang w:eastAsia="zh-CN"/>
        </w:rPr>
        <w:t>(一)、核设施退役技术设备项目厂址的选择原则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核设施退役技术设备生产项目属于核设施退役技术设备行业，对其工艺流程和工程设施有较为严格的标准化要求。在选择建设核设施退役技术设备项目厂址时，一般应遵循以下原则：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1、符合城乡建设总体规划，满足(建设地)工业核设施退役技术设备项目占地使用规划的要求，并与大气污染防治、水资源和自然生态保护相协调。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2、所选厂址应避开自然保护区、风景名胜区、生活饮用水源地以及其他需要特别保护的敏感目标。</w:t>
      </w:r>
    </w:p>
    <w:p>
      <w:pPr>
        <w:pStyle w:val="Heading2"/>
        <w:ind w:firstLine="560" w:firstLineChars="200"/>
        <w:rPr>
          <w:rFonts w:ascii="仿宋" w:eastAsia="仿宋" w:hAnsi="仿宋" w:cs="仿宋" w:hint="eastAsia"/>
          <w:sz w:val="28"/>
          <w:lang w:eastAsia="zh-CN"/>
        </w:rPr>
      </w:pPr>
      <w:bookmarkStart w:id="9" w:name="_Toc19566"/>
      <w:r>
        <w:rPr>
          <w:rFonts w:ascii="仿宋" w:eastAsia="仿宋" w:hAnsi="仿宋" w:cs="仿宋" w:hint="eastAsia"/>
          <w:sz w:val="28"/>
          <w:lang w:eastAsia="zh-CN"/>
        </w:rPr>
        <w:t>(二)、核设施退役技术设备项目区概况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根据实际情况介绍，核设施退役技术设备项目选址位于周边拥有重要基础设施的区域，如高速公路、铁路和机场，交通非常便利。此外，核设施退役技术设备项目区还拥有丰富的自然资源，如水资源和森林资源，为核设施退役技术设备项目的建设和运营提供了必要的支持。</w:t>
      </w:r>
    </w:p>
    <w:p>
      <w:pPr>
        <w:pStyle w:val="Heading2"/>
        <w:ind w:firstLine="560" w:firstLineChars="200"/>
        <w:rPr>
          <w:rFonts w:ascii="仿宋" w:eastAsia="仿宋" w:hAnsi="仿宋" w:cs="仿宋" w:hint="eastAsia"/>
          <w:sz w:val="28"/>
          <w:lang w:eastAsia="zh-CN"/>
        </w:rPr>
      </w:pPr>
      <w:bookmarkStart w:id="10" w:name="_Toc9839"/>
      <w:r>
        <w:rPr>
          <w:rFonts w:ascii="仿宋" w:eastAsia="仿宋" w:hAnsi="仿宋" w:cs="仿宋" w:hint="eastAsia"/>
          <w:sz w:val="28"/>
          <w:lang w:eastAsia="zh-CN"/>
        </w:rPr>
        <w:t>(三)、核设施退役技术设备厂址选择方案</w:t>
      </w:r>
      <w:bookmarkEnd w:id="10"/>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计划承办新建核设施退役技术设备项目，选址在XXXX开发区，该区域属于工业核设施退役技术设备项目建设占地规划区。核设施退役技术设备项目选址符合《(建设地)土地总体利用规划》要求，区域资源丰富，地理位置优越，交通便利。核设施退役技术设备项目遵循\"合理和集约用地\"原则，符合国家供地政策和核设施退役技术设备行业规范，以科学设计和合理布局满足生产经营需求。详情见附图。</w:t>
      </w:r>
    </w:p>
    <w:p>
      <w:pPr>
        <w:pStyle w:val="Heading2"/>
        <w:ind w:firstLine="560" w:firstLineChars="200"/>
        <w:rPr>
          <w:rFonts w:ascii="仿宋" w:eastAsia="仿宋" w:hAnsi="仿宋" w:cs="仿宋" w:hint="eastAsia"/>
          <w:sz w:val="28"/>
          <w:lang w:eastAsia="zh-CN"/>
        </w:rPr>
      </w:pPr>
      <w:bookmarkStart w:id="11" w:name="_Toc14641"/>
      <w:r>
        <w:rPr>
          <w:rFonts w:ascii="仿宋" w:eastAsia="仿宋" w:hAnsi="仿宋" w:cs="仿宋" w:hint="eastAsia"/>
          <w:sz w:val="28"/>
          <w:lang w:eastAsia="zh-CN"/>
        </w:rPr>
        <w:t>(四)、核设施退役技术设备项目选址用地权属性质类别及占地面积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核设施退役技术设备项目选址所用地的权属类别为XXXX开发区。总占地面积为XXX平方米（约合XXXX亩），实际利用面积为XXX平方米（约合XXXX亩）。</w:t>
      </w:r>
    </w:p>
    <w:p>
      <w:pPr>
        <w:pStyle w:val="Heading2"/>
        <w:ind w:firstLine="560" w:firstLineChars="200"/>
        <w:rPr>
          <w:rFonts w:ascii="仿宋" w:eastAsia="仿宋" w:hAnsi="仿宋" w:cs="仿宋" w:hint="eastAsia"/>
          <w:sz w:val="28"/>
          <w:lang w:eastAsia="zh-CN"/>
        </w:rPr>
      </w:pPr>
      <w:bookmarkStart w:id="12" w:name="_Toc17992"/>
      <w:r>
        <w:rPr>
          <w:rFonts w:ascii="仿宋" w:eastAsia="仿宋" w:hAnsi="仿宋" w:cs="仿宋" w:hint="eastAsia"/>
          <w:sz w:val="28"/>
          <w:lang w:eastAsia="zh-CN"/>
        </w:rPr>
        <w:t>(五)、核设施退役技术设备项目用地利用指标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我方拟将核设施退役技术设备项目落地于一片广阔的区域，总占地面积约为XXXX平方米（相当于约XXX亩），这个空间将被充分用于核设施退役技术设备项目的发展。实际上，我们计划精心规划并有效利用XXXX平方米的区域（约XXX亩），确保每一寸土地都发挥出最大的效益。</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的整体规模也十分令人振奋，总建筑面积将达到XXXX平方米（约XXX亩），这将是一个引人注目的建筑群。具体来说，建筑物基底所占的地面面积预计为XXXX平方米（相当于约XXX亩），我们将充分考虑到每一个细节，确保建筑结构在这个基底上稳固而高效地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通过充分的规划和合理的布局，我们将确保每一块土地都得到充分的利用，从而实现核设施退役技术设备项目的最大价值。</w:t>
      </w:r>
    </w:p>
    <w:p>
      <w:pPr>
        <w:pStyle w:val="Heading1"/>
        <w:ind w:firstLine="560" w:firstLineChars="200"/>
        <w:rPr>
          <w:rFonts w:ascii="仿宋" w:eastAsia="仿宋" w:hAnsi="仿宋" w:cs="仿宋" w:hint="eastAsia"/>
          <w:sz w:val="28"/>
          <w:lang w:eastAsia="zh-CN"/>
        </w:rPr>
      </w:pPr>
      <w:bookmarkStart w:id="13" w:name="_Toc6108"/>
      <w:r>
        <w:rPr>
          <w:rFonts w:ascii="仿宋" w:eastAsia="仿宋" w:hAnsi="仿宋" w:cs="仿宋" w:hint="eastAsia"/>
          <w:sz w:val="28"/>
          <w:lang w:eastAsia="zh-CN"/>
        </w:rPr>
        <w:t>三、核设施退役技术设备项目组织机构与人力资源配置</w:t>
      </w:r>
      <w:bookmarkEnd w:id="13"/>
    </w:p>
    <w:p>
      <w:pPr>
        <w:pStyle w:val="Heading2"/>
        <w:rPr>
          <w:rFonts w:ascii="仿宋" w:eastAsia="仿宋" w:hAnsi="仿宋" w:cs="仿宋" w:hint="eastAsia"/>
          <w:lang w:eastAsia="zh-CN"/>
        </w:rPr>
      </w:pPr>
      <w:bookmarkStart w:id="14" w:name="_Toc7624"/>
      <w:r>
        <w:rPr>
          <w:rFonts w:ascii="仿宋" w:eastAsia="仿宋" w:hAnsi="仿宋" w:cs="仿宋" w:hint="eastAsia"/>
          <w:lang w:eastAsia="zh-CN"/>
        </w:rPr>
        <w:t>(一)、核设施退役技术设备项目组织机构设置</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核设施退役技术设备项目组织架构：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描述核设施退役技术设备项目的组织架构，包括核设施退役技术设备项目的层级结构和各个部门或团队的职责和职能。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强调核设施退役技术设备项目组织架构的合理性和高效性，确保核设施退役技术设备项目的顺利实施和管理。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核设施退役技术设备项目经理和团队：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介绍核设施退役技术设备项目经理和核设施退役技术设备项目团队的角色和职责，包括核设施退役技术设备项目经理的领导和决策能力，团队成员的专业能力和协作能力。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强调核设施退役技术设备项目经理的重要性，作为核设施退役技术设备项目的核心管理者，负责核设施退役技术设备项目的整体规划、执行和控制。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部门或团队设置：</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描述各个部门或团队的设置和职责，包括技术研发、市场推广、运营管理等。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强调部门或团队之间的协作和沟通，确保核设施退役技术设备项目各个方面的顺利推进和协调。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职责和权限：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明确各个职位的职责和权限，确保核设施退役技术设备项目成员清楚自己的工作范围和责任。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强调职责和权限的合理分配，避免决策权过于集中或模糊不清的情况发生。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沟通与协作机制：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描述核设施退役技术设备项目内部沟通和协作的机制，包括定期会议、工作报告、沟通平台等。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强调沟通与协作的重要性，促进核设施退役技术设备项目团队之间的信息共享和问题解决。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强调监督与评估的重要性，确保核设施退役技术设备项目的进展和绩效符合预期。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描述监督与评估的机制和流程，包括定期检查、绩效评估和风险管理等。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强调培训与发展的重要性，提高核设施退役技术设备项目团队成员的专业能力和素质水平。</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描述培训与发展计划，包括内部培训、外部培训和知识分享等。</w:t>
      </w:r>
    </w:p>
    <w:p>
      <w:pPr>
        <w:pStyle w:val="Heading2"/>
        <w:ind w:firstLine="560" w:firstLineChars="200"/>
        <w:rPr>
          <w:rFonts w:ascii="仿宋" w:eastAsia="仿宋" w:hAnsi="仿宋" w:cs="仿宋" w:hint="eastAsia"/>
          <w:sz w:val="28"/>
          <w:lang w:eastAsia="zh-CN"/>
        </w:rPr>
      </w:pPr>
      <w:bookmarkStart w:id="15" w:name="_Toc11385"/>
      <w:r>
        <w:rPr>
          <w:rFonts w:ascii="仿宋" w:eastAsia="仿宋" w:hAnsi="仿宋" w:cs="仿宋" w:hint="eastAsia"/>
          <w:sz w:val="28"/>
          <w:lang w:eastAsia="zh-CN"/>
        </w:rPr>
        <w:t>(二)、人力资源配置计划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核设施退役技术设备项目人力资源需求分析：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对核设施退役技术设备项目进行人力资源需求分析，确定所需的各类岗位和人员数量。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考虑核设施退役技术设备项目的规模、复杂性、时间要求等因素，合理估计人力资源需求。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岗位职责和要求：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明确各个岗位的职责和要求，包括技术能力、工作经验、沟通能力等。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根据核设施退役技术设备项目的需要，制定岗位职责和要求的详细描述，以便后续的招聘和评估。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制定人员招聘计划，包括招聘渠道、招聘方式和招聘时间表等。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考虑到核设施退役技术设备项目的紧迫性和特殊性，制定合理的招聘计划，确保招聘工作的顺利进行。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根据核设施退役技术设备项目的需求和人员的能力缺口，制定人员培训计划。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确定培训内容、培训方式和培训时间，提高人员的专业能力和适应能力。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设计绩效评估和激励机制，以激发人员的积极性和创造力。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确定评估指标、评估周期和激励方式，建立公正、公平的绩效评估体系。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确定人力资源管理的责任部门和人员，负责人员招聘、培训、绩效评估等工作。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建立人力资源管理的流程和制度，保证人力资源的合理配置和管理。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人员离职和补充计划：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考虑到核设施退役技术设备项目的变化和人员流动的情况，制定人员离职和补充计划。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确定离职手续和补充人员的招聘计划，保持核设施退役技术设备项目团队的稳定性和连续性。</w:t>
      </w:r>
    </w:p>
    <w:p>
      <w:pPr>
        <w:pStyle w:val="Heading2"/>
        <w:ind w:firstLine="560" w:firstLineChars="200"/>
        <w:rPr>
          <w:rFonts w:ascii="仿宋" w:eastAsia="仿宋" w:hAnsi="仿宋" w:cs="仿宋" w:hint="eastAsia"/>
          <w:sz w:val="28"/>
          <w:lang w:eastAsia="zh-CN"/>
        </w:rPr>
      </w:pPr>
      <w:bookmarkStart w:id="16" w:name="_Toc11707"/>
      <w:r>
        <w:rPr>
          <w:rFonts w:ascii="仿宋" w:eastAsia="仿宋" w:hAnsi="仿宋" w:cs="仿宋" w:hint="eastAsia"/>
          <w:sz w:val="28"/>
          <w:lang w:eastAsia="zh-CN"/>
        </w:rPr>
        <w:t>(三)、培训计划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对核设施退役技术设备项目团队成员的现有技能和知识进行评估，确定培训的需求和重点领域。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考虑核设施退役技术设备项目的特点和要求，确定培训的范围和目标，确保培训计划的针对性和有效性。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根据培训需求分析的结果，确定培训的具体内容和形式。</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包括技术培训、管理培训、沟通培训等方面，可以结合内部培训、外部培训、在线培训等形式进行。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制定培训计划和时间表，明确培训的安排和持续时间。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考虑到核设施退役技术设备项目的进度和团队成员的工作安排，合理安排培训时间，确保培训的顺利进行。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培训资源和合作伙伴：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确定培训所需的资源和合作伙伴，包括培训师资、培训设施和培训材料等。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可以考虑与专业培训机构、高校合作，利用外部资源提供高质量的培训服务。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设计培训评估和反馈机制，以衡量培训效果和满意度。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可以采用问卷调查、培训成果展示等方式，收集参训人员的反馈和意见，为后续的培训改进提供参考。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持续学习和知识分享：</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强调持续学习和知识分享的重要性，鼓励团队成员在核设施退役技术设备项目过程中不断学习和成长。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可以建立知识分享平台、组织内部讲座等方式，促进知识的传递和共享。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培训成本和预算：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评估培训计划的成本和预算，确保培训的经济合理性和可行性。</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综合考虑培训资源、培训时间和培训形式等因素，制定合理的培训预算。</w:t>
      </w:r>
    </w:p>
    <w:p>
      <w:pPr>
        <w:pStyle w:val="Heading1"/>
        <w:ind w:firstLine="560" w:firstLineChars="200"/>
        <w:rPr>
          <w:rFonts w:ascii="仿宋" w:eastAsia="仿宋" w:hAnsi="仿宋" w:cs="仿宋" w:hint="eastAsia"/>
          <w:sz w:val="28"/>
          <w:lang w:eastAsia="zh-CN"/>
        </w:rPr>
      </w:pPr>
      <w:bookmarkStart w:id="17" w:name="_Toc13798"/>
      <w:r>
        <w:rPr>
          <w:rFonts w:ascii="仿宋" w:eastAsia="仿宋" w:hAnsi="仿宋" w:cs="仿宋" w:hint="eastAsia"/>
          <w:sz w:val="28"/>
          <w:lang w:eastAsia="zh-CN"/>
        </w:rPr>
        <w:t>四、未来市场预测和产品升级</w:t>
      </w:r>
      <w:bookmarkEnd w:id="17"/>
    </w:p>
    <w:p>
      <w:pPr>
        <w:pStyle w:val="Heading2"/>
        <w:rPr>
          <w:rFonts w:ascii="仿宋" w:eastAsia="仿宋" w:hAnsi="仿宋" w:cs="仿宋" w:hint="eastAsia"/>
          <w:lang w:eastAsia="zh-CN"/>
        </w:rPr>
      </w:pPr>
      <w:bookmarkStart w:id="18" w:name="_Toc32188"/>
      <w:r>
        <w:rPr>
          <w:rFonts w:ascii="仿宋" w:eastAsia="仿宋" w:hAnsi="仿宋" w:cs="仿宋" w:hint="eastAsia"/>
          <w:lang w:eastAsia="zh-CN"/>
        </w:rPr>
        <w:t>(一)、未来市场发展趋势和预测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pPr>
        <w:pStyle w:val="Heading2"/>
        <w:ind w:firstLine="560" w:firstLineChars="200"/>
        <w:rPr>
          <w:rFonts w:ascii="仿宋" w:eastAsia="仿宋" w:hAnsi="仿宋" w:cs="仿宋" w:hint="eastAsia"/>
          <w:sz w:val="28"/>
          <w:lang w:eastAsia="zh-CN"/>
        </w:rPr>
      </w:pPr>
      <w:bookmarkStart w:id="19" w:name="_Toc14503"/>
      <w:r>
        <w:rPr>
          <w:rFonts w:ascii="仿宋" w:eastAsia="仿宋" w:hAnsi="仿宋" w:cs="仿宋" w:hint="eastAsia"/>
          <w:sz w:val="28"/>
          <w:lang w:eastAsia="zh-CN"/>
        </w:rPr>
        <w:t>(二)、产品升级换代和创新的必要性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pPr>
        <w:pStyle w:val="Heading2"/>
        <w:ind w:firstLine="560" w:firstLineChars="200"/>
        <w:rPr>
          <w:rFonts w:ascii="仿宋" w:eastAsia="仿宋" w:hAnsi="仿宋" w:cs="仿宋" w:hint="eastAsia"/>
          <w:sz w:val="28"/>
          <w:lang w:eastAsia="zh-CN"/>
        </w:rPr>
      </w:pPr>
      <w:bookmarkStart w:id="20" w:name="_Toc30287"/>
      <w:r>
        <w:rPr>
          <w:rFonts w:ascii="仿宋" w:eastAsia="仿宋" w:hAnsi="仿宋" w:cs="仿宋" w:hint="eastAsia"/>
          <w:sz w:val="28"/>
          <w:lang w:eastAsia="zh-CN"/>
        </w:rPr>
        <w:t>(三)、产品升级换代和创新的实施方案</w:t>
      </w:r>
      <w:bookmarkEnd w:id="20"/>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提供资源支持：为产品升级换代和创新提供必要的资源支持。资源支持可以包括资金投入、技术支持、人力资源等。同时，还应建立激励机制，激励团队成员积极参与创新活动，并给予他们适当的奖励和认可。</w:t>
      </w:r>
    </w:p>
    <w:p>
      <w:pPr>
        <w:pStyle w:val="Heading1"/>
        <w:ind w:firstLine="560" w:firstLineChars="200"/>
        <w:rPr>
          <w:rFonts w:ascii="仿宋" w:eastAsia="仿宋" w:hAnsi="仿宋" w:cs="仿宋" w:hint="eastAsia"/>
          <w:sz w:val="28"/>
          <w:lang w:eastAsia="zh-CN"/>
        </w:rPr>
      </w:pPr>
      <w:bookmarkStart w:id="21" w:name="_Toc16656"/>
      <w:r>
        <w:rPr>
          <w:rFonts w:ascii="仿宋" w:eastAsia="仿宋" w:hAnsi="仿宋" w:cs="仿宋" w:hint="eastAsia"/>
          <w:sz w:val="28"/>
          <w:lang w:eastAsia="zh-CN"/>
        </w:rPr>
        <w:t>五、核设施退役技术设备项目主要建(构)筑物建设工程</w:t>
      </w:r>
      <w:bookmarkEnd w:id="21"/>
    </w:p>
    <w:p>
      <w:pPr>
        <w:pStyle w:val="Heading2"/>
        <w:rPr>
          <w:rFonts w:ascii="仿宋" w:eastAsia="仿宋" w:hAnsi="仿宋" w:cs="仿宋" w:hint="eastAsia"/>
          <w:lang w:eastAsia="zh-CN"/>
        </w:rPr>
      </w:pPr>
      <w:bookmarkStart w:id="22" w:name="_Toc10444"/>
      <w:r>
        <w:rPr>
          <w:rFonts w:ascii="仿宋" w:eastAsia="仿宋" w:hAnsi="仿宋" w:cs="仿宋" w:hint="eastAsia"/>
          <w:lang w:eastAsia="zh-CN"/>
        </w:rPr>
        <w:t>(一)、抗震设防</w:t>
      </w:r>
      <w:bookmarkEnd w:id="22"/>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核设施退役技术设备项目的拟选厂址所在地区的基本地震烈度为XXX度。根据现行《建筑抗震设计规范》</w:t>
      </w:r>
      <w:r>
        <w:rPr>
          <w:rFonts w:ascii="仿宋" w:eastAsia="仿宋" w:hAnsi="仿宋" w:cs="仿宋" w:hint="eastAsia"/>
          <w:sz w:val="28"/>
          <w:lang w:eastAsia="zh-CN"/>
        </w:rPr>
        <w:t xml:space="preserve"> (GBJ11-89)的规定，本核设施退役技术设备项目将按照当地基本地震烈度执行X度抗震设防。请根据当地实际情况如实填写。</w:t>
      </w:r>
    </w:p>
    <w:p>
      <w:pPr>
        <w:pStyle w:val="Heading2"/>
        <w:ind w:firstLine="560" w:firstLineChars="200"/>
        <w:rPr>
          <w:rFonts w:ascii="仿宋" w:eastAsia="仿宋" w:hAnsi="仿宋" w:cs="仿宋" w:hint="eastAsia"/>
          <w:sz w:val="28"/>
          <w:lang w:eastAsia="zh-CN"/>
        </w:rPr>
      </w:pPr>
      <w:bookmarkStart w:id="23" w:name="_Toc24587"/>
      <w:r>
        <w:rPr>
          <w:rFonts w:ascii="仿宋" w:eastAsia="仿宋" w:hAnsi="仿宋" w:cs="仿宋" w:hint="eastAsia"/>
          <w:sz w:val="28"/>
          <w:lang w:eastAsia="zh-CN"/>
        </w:rPr>
        <w:t>(二)、建筑结构形势及基础方案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主要厂房时，我们秉持着多重原则以确保达到最佳效果。首先，在满足工艺使用要求、防火、通风以及采光等基本要求的前提下，我们注重布局的紧凑性，以最大限度地节省用地资源。这种精心的布局将为生产过程提供便利，并在保障基本需求的同时，提高空间的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仅如此，我们还对车间立面进行了精心设计，追求简洁明快的外观，以展现现代化企业的建筑特色。我们在选择建筑材料时，坚持使用质量较高、性能可靠的新型材料，特别是在屋面防水和保温方面，以确保建筑结构的长寿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本核设施退役技术设备项目，主要的生产车间和仓库的结构将采用钢结构，而建筑本身则为砖混结构，这种结合将为建筑稳定性和耐用性提供双重保障。考虑到(建设地)地震带的分布情况，我们将在工程设计中加强抗震结构措施，以增强建筑物的抗震能力。这一方面有助于确保员工和设备的安全，同时也为核设施退役技术设备项目的可持续发展提供了坚实的基础。</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总之，我们的设计方案旨在兼顾功能、美观、稳定性和安全性，为核设施退役技术设备项目提供了一个可靠的建筑环境，使之在未来的生产运营中发挥最大价值。</w:t>
      </w:r>
    </w:p>
    <w:p>
      <w:pPr>
        <w:pStyle w:val="Heading2"/>
        <w:ind w:firstLine="560" w:firstLineChars="200"/>
        <w:rPr>
          <w:rFonts w:ascii="仿宋" w:eastAsia="仿宋" w:hAnsi="仿宋" w:cs="仿宋" w:hint="eastAsia"/>
          <w:sz w:val="28"/>
          <w:lang w:eastAsia="zh-CN"/>
        </w:rPr>
      </w:pPr>
      <w:bookmarkStart w:id="24" w:name="_Toc23461"/>
      <w:r>
        <w:rPr>
          <w:rFonts w:ascii="仿宋" w:eastAsia="仿宋" w:hAnsi="仿宋" w:cs="仿宋" w:hint="eastAsia"/>
          <w:sz w:val="28"/>
          <w:lang w:eastAsia="zh-CN"/>
        </w:rPr>
        <w:t>(三)、主要建(构)筑物建设工程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核设施退役技术设备项目主要土建工程包括：生产工程、辅助生产工程、公用工程、 总图工程、服务性工程(办公及生活)和其他工程六部分组成，土建工程总量为XXXX平方米，预计土建工程投资为XXXX万元。</w:t>
      </w:r>
    </w:p>
    <w:p>
      <w:pPr>
        <w:pStyle w:val="Heading1"/>
        <w:ind w:firstLine="560" w:firstLineChars="200"/>
        <w:rPr>
          <w:rFonts w:ascii="仿宋" w:eastAsia="仿宋" w:hAnsi="仿宋" w:cs="仿宋" w:hint="eastAsia"/>
          <w:sz w:val="28"/>
          <w:lang w:eastAsia="zh-CN"/>
        </w:rPr>
      </w:pPr>
      <w:bookmarkStart w:id="25" w:name="_Toc32453"/>
      <w:r>
        <w:rPr>
          <w:rFonts w:ascii="仿宋" w:eastAsia="仿宋" w:hAnsi="仿宋" w:cs="仿宋" w:hint="eastAsia"/>
          <w:sz w:val="28"/>
          <w:lang w:eastAsia="zh-CN"/>
        </w:rPr>
        <w:t>六、工程设计方案</w:t>
      </w:r>
      <w:bookmarkEnd w:id="25"/>
    </w:p>
    <w:p>
      <w:pPr>
        <w:pStyle w:val="Heading2"/>
        <w:rPr>
          <w:rFonts w:ascii="仿宋" w:eastAsia="仿宋" w:hAnsi="仿宋" w:cs="仿宋" w:hint="eastAsia"/>
          <w:lang w:eastAsia="zh-CN"/>
        </w:rPr>
      </w:pPr>
      <w:bookmarkStart w:id="26" w:name="_Toc9672"/>
      <w:r>
        <w:rPr>
          <w:rFonts w:ascii="仿宋" w:eastAsia="仿宋" w:hAnsi="仿宋" w:cs="仿宋" w:hint="eastAsia"/>
          <w:lang w:eastAsia="zh-CN"/>
        </w:rPr>
        <w:t>(一)、总图布置</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核设施退役技术设备项目总体规划目标：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提醒核设施退役技术设备项目团队将核设施退役技术设备项目总体规划与核设施退役技术设备项目的目标和战略一致，确保规划的有效性和可行性。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描述核设施退役技术设备项目所处的地理位置和环境特点，包括气候条件、地形地貌、自然资源等。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强调充分了解核设施退役技术设备项目所在地的特点和限制，为总体规划提供科学依据。</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强调考虑核设施退役技术设备项目的规模、功能需求、交通便捷性、环境保护等因素，进行用地布局和功能划分。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强调规划和布置核设施退役技术设备项目所需的基础设施，如道路、供水、供电、通信等。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描述核设施退役技术设备项目的空间布局和建筑设计方案，包括建筑风格、建筑高度、景观设计等。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强调考虑核设施退役技术设备项目的功能需求、美观性、可持续性等因素，进行空间布局和建筑设计。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提出核设施退役技术设备项目的交通规划和交通组织方案，包括道路布置、交通流量分析、停车规划等。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27" w:name="_Toc18692"/>
      <w:r>
        <w:rPr>
          <w:rFonts w:ascii="仿宋" w:eastAsia="仿宋" w:hAnsi="仿宋" w:cs="仿宋" w:hint="eastAsia"/>
          <w:sz w:val="28"/>
          <w:lang w:eastAsia="zh-CN"/>
        </w:rPr>
        <w:t>(二)、建筑设计</w:t>
      </w:r>
      <w:bookmarkEnd w:id="27"/>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核设施退役技术设备项目设计目标和原则：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强调将设计与核设施退役技术设备项目的整体规划和定位相一致，确保设计方案的可行性和有效性。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根据核设施退役技术设备项目的特点和需求，确定适合的建筑类型和功能需求，如办公楼、商业综合体、住宅区等。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强调充分了解核设施退役技术设备项目的功能需求和使用者的需求，为建筑设计提供科学依据。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提出建筑的空间布局和平面设计方案，包括功能区划、房间布置、走廊通道等。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强调考虑空间的流动性、通风采光、舒适性等因素，制定合理的空间布局和平面设计。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描述建筑的结构设计方案，包括结构类型、荷载分析、抗震设计等。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提出合适的材料选择，考虑材料的可行性、可持续性和经济性。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建筑外观和立面设计：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强调建筑的外观和立面设计，包括建筑形态、外墙材料、色彩搭配等。</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提出建筑外观和立面设计的原则和要求，确保建筑的美观性和与环境的协调性。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设备与设施规划：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提出建筑设备与设施的规划方案，包括电力供应、通风空调、给排水等。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强调考虑设备与设施的功能需求、能源效率和环境友好性，制定科学合理的规划方案。</w:t>
      </w:r>
    </w:p>
    <w:p>
      <w:pPr>
        <w:pStyle w:val="Heading2"/>
        <w:ind w:firstLine="560" w:firstLineChars="200"/>
        <w:rPr>
          <w:rFonts w:ascii="仿宋" w:eastAsia="仿宋" w:hAnsi="仿宋" w:cs="仿宋" w:hint="eastAsia"/>
          <w:sz w:val="28"/>
          <w:lang w:eastAsia="zh-CN"/>
        </w:rPr>
      </w:pPr>
      <w:bookmarkStart w:id="28" w:name="_Toc31281"/>
      <w:r>
        <w:rPr>
          <w:rFonts w:ascii="仿宋" w:eastAsia="仿宋" w:hAnsi="仿宋" w:cs="仿宋" w:hint="eastAsia"/>
          <w:sz w:val="28"/>
          <w:lang w:eastAsia="zh-CN"/>
        </w:rPr>
        <w:t>(三)、结构设计</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描述结构设计的目标和原则，如确保建筑物的安全性、承载能力和抗震性等。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强调将设计与核设施退役技术设备项目的整体规划和建筑设计相一致，确保结构设计方案的可行性和有效性。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结构类型和荷载分析：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根据核设施退役技术设备项目的特点和要求，确定适合的结构类型，如钢结构、混凝土结构、钢混凝土结构等。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进行荷载分析，考虑建筑物所承受的静态荷载和动态荷载，确保结构设计的合理性和安全性。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结构布局和配置：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提出建筑物的结构布局和配置方案，包括柱网、梁板系统、框架结构等。</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强调考虑结构的稳定性、刚度和变形控制，制定合理的结构布局和配置方案。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抗震设计和防灾措施：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描述建筑物的抗震设计方案，包括地震作用分析、抗震设防烈度等级的确定等。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提出相应的防灾措施，如加固措施、减震措施、隔震措施等，确保建筑物在地震等自然灾害中的安全性。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材料选择和构造技术：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强调合适的材料选择，如钢材、混凝土、预应力混凝土等，考虑材料的强度、耐久性和可持续性。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描述适用的构造技术，如预制构件、现浇构件、施工工艺等，确保结构的施工质量和效率。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结构计算和验算：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进行结构计算和验算，包括静力计算、动力计算、构件受力状态的分析等。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强调结构的安全性和合理性，确保结构设计符合相关的设计规范和标准。</w:t>
      </w:r>
    </w:p>
    <w:p>
      <w:pPr>
        <w:pStyle w:val="Heading2"/>
        <w:ind w:firstLine="560" w:firstLineChars="200"/>
        <w:rPr>
          <w:rFonts w:ascii="仿宋" w:eastAsia="仿宋" w:hAnsi="仿宋" w:cs="仿宋" w:hint="eastAsia"/>
          <w:sz w:val="28"/>
          <w:lang w:eastAsia="zh-CN"/>
        </w:rPr>
      </w:pPr>
      <w:bookmarkStart w:id="29" w:name="_Toc11001"/>
      <w:r>
        <w:rPr>
          <w:rFonts w:ascii="仿宋" w:eastAsia="仿宋" w:hAnsi="仿宋" w:cs="仿宋" w:hint="eastAsia"/>
          <w:sz w:val="28"/>
          <w:lang w:eastAsia="zh-CN"/>
        </w:rPr>
        <w:t>(四)、给排水设计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描述给排水设计的目标和原则，如满足建筑物内部用水需求、保证供水和排水的安全性和可靠性等。</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强调将设计与核设施退役技术设备项目的整体规划和建筑设计相一致，确保给排水设计方案的可行性和有效性。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用水需求和供水设计：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分析建筑物的用水需求，包括冷水、热水、消防水等方面。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提出合理的供水设计方案，考虑供水管网的布置、水源选择、水质要求等。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描述建筑物的排水系统设计方案，包括污水排放、雨水排放等。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强调考虑排水管网的布置、排水设备的选择、排放标准等，确保排水系统的顺畅和环保性。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排水设备和管道材料选择：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提出合适的排水设备选择，如下水道、污水泵站、雨水收集设施等。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考虑管道材料的选择，如PVC管、铸铁管、不锈钢管等，确保设备和管道的可靠性和耐久性。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防水设计和防污染措施：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强调建筑物的防水设计，包括地下室防水、卫生间防水等。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提出相应的防污染措施，如污水处理、雨水回收利用等，确保给排水系统的环保性和可持续性。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设备选型和施工管理：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描述给排水设备的选型和配置，考虑设备的性能、能耗和维护要求。</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强调施工管理，包括施工进度控制、质量监督和安全管理，确保给排水系统的建设质量和效率。</w:t>
      </w:r>
    </w:p>
    <w:p>
      <w:pPr>
        <w:pStyle w:val="Heading2"/>
        <w:ind w:firstLine="560" w:firstLineChars="200"/>
        <w:rPr>
          <w:rFonts w:ascii="仿宋" w:eastAsia="仿宋" w:hAnsi="仿宋" w:cs="仿宋" w:hint="eastAsia"/>
          <w:sz w:val="28"/>
          <w:lang w:eastAsia="zh-CN"/>
        </w:rPr>
      </w:pPr>
      <w:bookmarkStart w:id="30" w:name="_Toc19685"/>
      <w:r>
        <w:rPr>
          <w:rFonts w:ascii="仿宋" w:eastAsia="仿宋" w:hAnsi="仿宋" w:cs="仿宋" w:hint="eastAsia"/>
          <w:sz w:val="28"/>
          <w:lang w:eastAsia="zh-CN"/>
        </w:rPr>
        <w:t>(五)、电气设计</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描述电气设计的目标和原则，如确保建筑物的电力供应和用电安全、提高能源利用效率等。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强调将设计与核设施退役技术设备项目的整体规划和建筑设计相一致，确保电气设计方案的可行性和有效性。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电力需求和供电设计：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分析建筑物的电力需求，包括照明、动力、通信、安防等方面。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提出合理的供电设计方案，考虑供电系统的布置、用电负荷计算、电源选择等。</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描述建筑物的照明设计方案，包括室内照明和室外照明。</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强调考虑照明的舒适性、节能性和可调节性，选择合适的照明设备和控制系统。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提出合理的动力设计方案，包括电力设备、电缆线路和配电装置等。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考虑电力设备的选型和配置，确保电力系统的可靠性和安全性。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通信和安防设计：</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描述建筑物的通信和安防设计方案，包括通信设备、网络布线和安防系统等。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强调考虑通信和安防设备的功能和互联性，确保通信和安防系统的可靠性和安全性。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能源管理和智能化控制：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强调能源管理和智能化控制的重要性，包括能源监测、节能措施和自动化控制等。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提出相应的能源管理和智能化控制方案，提高能源利用效率和系统运行效率。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设备选型和施工管理：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描述电气设备的选型和配置，考虑设备的性能、能耗和维护要求。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强调施工管理，包括施工进度控制、质量监督和安全管理，确保电气系统的建设质量和效率。</w:t>
      </w:r>
    </w:p>
    <w:p>
      <w:pPr>
        <w:pStyle w:val="Heading2"/>
        <w:ind w:firstLine="560" w:firstLineChars="200"/>
        <w:rPr>
          <w:rFonts w:ascii="仿宋" w:eastAsia="仿宋" w:hAnsi="仿宋" w:cs="仿宋" w:hint="eastAsia"/>
          <w:sz w:val="28"/>
          <w:lang w:eastAsia="zh-CN"/>
        </w:rPr>
      </w:pPr>
      <w:bookmarkStart w:id="31" w:name="_Toc1733"/>
      <w:r>
        <w:rPr>
          <w:rFonts w:ascii="仿宋" w:eastAsia="仿宋" w:hAnsi="仿宋" w:cs="仿宋" w:hint="eastAsia"/>
          <w:sz w:val="28"/>
          <w:lang w:eastAsia="zh-CN"/>
        </w:rPr>
        <w:t>(六)、空调通风设计</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描述空调通风设计的目标和原则，如提供舒适的室内环境、保证空气质量和节能减排等。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强调将设计与核设施退役技术设备项目的整体规划和建筑设计相一致，确保空调通风设计方案的可行性和有效性。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分析建筑物的空调需求，包括供冷、供热、湿度控制等方面。</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提出合理的空调设计方案，考虑空调系统的布置、制冷剂选择、设备选型等。</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描述建筑物的通风设计方案，包括室内空气流通、新风供应等。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强调考虑通风系统的布置、通风设备的选型、空气过滤和净化等，确保室内空气质量和舒适性。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风管系统设计：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提出合理的风管系统设计方案，包括风管布置、风管材料选择等。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考虑风管系统的气流阻力、噪音控制和维护要求，确保风管系统的效率和可靠性。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描述建筑物的空调通风控制系统设计方案，包括温度控制、湿度控制、风速控制等。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强调考虑控制系统的智能化和自动化，提高系统的运行效率和能源利用效率。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节能与环保措施：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强调节能与环保的重要性，提出相应的节能措施和环保设计，如余热回收、能源监测等。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考虑使用高效节能设备、推广可再生能源等，减少对环境的影响。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设备选型和施工管理：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描述空调通风设备的选型和配置，考虑设备的性能、能耗和维护要求。</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强调施工管理，包括施工进度控制、质量监督和安全管理，确保空调通风系统的建设质量和效率。</w:t>
      </w:r>
    </w:p>
    <w:p>
      <w:pPr>
        <w:pStyle w:val="Heading2"/>
        <w:ind w:firstLine="560" w:firstLineChars="200"/>
        <w:rPr>
          <w:rFonts w:ascii="仿宋" w:eastAsia="仿宋" w:hAnsi="仿宋" w:cs="仿宋" w:hint="eastAsia"/>
          <w:sz w:val="28"/>
          <w:lang w:eastAsia="zh-CN"/>
        </w:rPr>
      </w:pPr>
      <w:bookmarkStart w:id="32" w:name="_Toc1261"/>
      <w:r>
        <w:rPr>
          <w:rFonts w:ascii="仿宋" w:eastAsia="仿宋" w:hAnsi="仿宋" w:cs="仿宋" w:hint="eastAsia"/>
          <w:sz w:val="28"/>
          <w:lang w:eastAsia="zh-CN"/>
        </w:rPr>
        <w:t>(七)、其他专业设计</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描述建筑物的结构设计方案，包括主体结构和次要结构。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强调结构设计的安全性和稳定性，考虑建筑物的荷载、地质条件和抗震要求。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给排水设计：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分析建筑物的给水和排水需求，包括供水系统和排水系统。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提出合理的给排水设计方案，考虑供水管道的布置、排水管道的坡度和排水设备的选型。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暖通设计：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描述建筑物的暖通设计方案，包括供暖系统和通风系统。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强调考虑供暖设备的选型、供暖方式的选择和通风系统的设计，确保室内温度和空气质量的舒适性。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提出合理的景观设计方案，考虑建筑物周围的绿化、景观布置和景观设施的设计。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强调景观设计的美观性、生态性和可持续性，营造良好的环境氛围。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描述建筑物的室内设计方案，包括空间布局、装饰材料和家具摆放等。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强调室内设计的功能性和美观性，考虑使用者的需求和舒适感。</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提出合理的消防设计方案，包括火灾报警系统、灭火设备和疏散通道等。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考虑消防设备的选型和布置，确保建筑物的火灾安全性和人员疏散的顺畅性。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强调智能化设计的重要性，包括智能家居系统、自动化控制和信息化管理等。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提出相应的智能化设计方案，提高建筑物的智能化程度和运行效率。</w:t>
      </w:r>
    </w:p>
    <w:p>
      <w:pPr>
        <w:pStyle w:val="Heading1"/>
        <w:ind w:firstLine="560" w:firstLineChars="200"/>
        <w:rPr>
          <w:rFonts w:ascii="仿宋" w:eastAsia="仿宋" w:hAnsi="仿宋" w:cs="仿宋" w:hint="eastAsia"/>
          <w:sz w:val="28"/>
          <w:lang w:eastAsia="zh-CN"/>
        </w:rPr>
      </w:pPr>
      <w:bookmarkStart w:id="33" w:name="_Toc9997"/>
      <w:r>
        <w:rPr>
          <w:rFonts w:ascii="仿宋" w:eastAsia="仿宋" w:hAnsi="仿宋" w:cs="仿宋" w:hint="eastAsia"/>
          <w:sz w:val="28"/>
          <w:lang w:eastAsia="zh-CN"/>
        </w:rPr>
        <w:t>七、安全生产评估报告书</w:t>
      </w:r>
      <w:bookmarkEnd w:id="33"/>
    </w:p>
    <w:p>
      <w:pPr>
        <w:pStyle w:val="Heading2"/>
        <w:rPr>
          <w:rFonts w:ascii="仿宋" w:eastAsia="仿宋" w:hAnsi="仿宋" w:cs="仿宋" w:hint="eastAsia"/>
          <w:lang w:eastAsia="zh-CN"/>
        </w:rPr>
      </w:pPr>
      <w:bookmarkStart w:id="34" w:name="_Toc19216"/>
      <w:r>
        <w:rPr>
          <w:rFonts w:ascii="仿宋" w:eastAsia="仿宋" w:hAnsi="仿宋" w:cs="仿宋" w:hint="eastAsia"/>
          <w:lang w:eastAsia="zh-CN"/>
        </w:rPr>
        <w:t>(一)、核设施退役技术设备项目安全生产评估的目的和依据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评估目的：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阐明进行安全生产评估的目的和意义，强调保障员工和资产安全、预防事故和减少风险的重要性。</w:t>
      </w:r>
    </w:p>
    <w:p>
      <w:pPr>
        <w:ind w:firstLine="560" w:firstLineChars="200"/>
        <w:rPr>
          <w:rFonts w:ascii="仿宋" w:eastAsia="仿宋" w:hAnsi="仿宋" w:cs="仿宋" w:hint="eastAsia"/>
          <w:sz w:val="28"/>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强调评估的目标是为了识别和解决核设施退役技术设备项目中存在的安全隐患和问题，提出改进建议和措施，确保核设施退役技术设备项目的安全运营。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提供评估的依据和参考，包括相关的法律法规、安全标准和行业规范等。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引用适用的安全管理体系标准，如ISO 45001（职业健康安全管理体系）等，作为评估的参考依据。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参考相关的安全生产指南、经验教训和最佳实践，以及其他类似核设施退役技术设备项目的安全生产评估结果。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确定评估的具体内容和范围，涵盖工作场所环境、设备设施、安全防护措施、操作规程、培训和教育等方面。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强调综合考虑人员安全、设备安全、环境安全等因素，全面评估核设施退役技术设备项目的安全生产状况。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介绍评估所采用的方法和工具，如安全检查、风险评估、事故调查、现场观察、文件审查、员工访谈等。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强调评估的客观性、全面性和科学性，确保评估结果的可靠性和准确性。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强调评估结果的整理和归纳，撰写评估报告，详细描述评估的过程、结果和发现的问题。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提出改进建议和措施，指导核设施退役技术设备项目在安全生产方面的改进和优化。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https://d.book118.com/996113230003010031</w:t>
        </w:r>
      </w:hyperlink>
    </w:p>
    <w:p>
      <w:pPr>
        <w:ind w:firstLine="560" w:firstLineChars="200"/>
        <w:rPr>
          <w:rFonts w:ascii="仿宋" w:eastAsia="仿宋" w:hAnsi="仿宋" w:cs="仿宋" w:hint="eastAsia"/>
          <w:sz w:val="28"/>
        </w:rPr>
      </w:pPr>
    </w:p>
    <w:sectPr>
      <w:headerReference w:type="default" r:id="rId62"/>
      <w:footerReference w:type="default" r:id="rId63"/>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F5CFB"/>
    <w:rsid w:val="47BF5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yperlink" Target="https://d.book118.com/996113230003010031" TargetMode="Externa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2023-12-16T02:14:00Z</dcterms:created>
  <dcterms:modified xsi:type="dcterms:W3CDTF">2023-12-16T02:14:34Z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