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hd w:val="clear" w:color="auto" w:fill="auto"/>
        <w:jc w:val="center"/>
        <w:rPr>
          <w:rFonts w:ascii="黑体" w:eastAsia="黑体" w:hAnsi="黑体" w:cs="黑体"/>
          <w:b/>
          <w:sz w:val="36"/>
        </w:rPr>
      </w:pPr>
      <w:bookmarkStart w:id="0" w:name="_GoBack"/>
      <w:bookmarkEnd w:id="0"/>
      <w:r>
        <w:rPr>
          <w:rFonts w:ascii="黑体" w:eastAsia="黑体" w:hAnsi="黑体" w:cs="黑体"/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10223500</wp:posOffset>
            </wp:positionH>
            <wp:positionV relativeFrom="topMargin">
              <wp:posOffset>12166600</wp:posOffset>
            </wp:positionV>
            <wp:extent cx="469900" cy="457200"/>
            <wp:effectExtent l="0" t="0" r="6350" b="0"/>
            <wp:wrapNone/>
            <wp:docPr id="100048" name="图片 10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8" name="图片 10004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/>
          <w:b/>
          <w:sz w:val="36"/>
        </w:rPr>
        <w:t>【教材实验热点】14 影响化学反应速率的因素</w:t>
      </w:r>
    </w:p>
    <w:p>
      <w:pPr>
        <w:shd w:val="clear" w:color="auto" w:fill="auto"/>
        <w:spacing w:line="360" w:lineRule="auto"/>
        <w:jc w:val="left"/>
      </w:pPr>
      <w:r>
        <w:t>专题14  影响化学反应速率的因素</w:t>
      </w:r>
    </w:p>
    <w:p>
      <w:pPr>
        <w:shd w:val="clear" w:color="auto" w:fill="auto"/>
        <w:spacing w:line="360" w:lineRule="auto"/>
        <w:jc w:val="left"/>
      </w:pPr>
      <w:r>
        <w:t>【教材实验梳理】</w:t>
      </w:r>
    </w:p>
    <w:p>
      <w:pPr>
        <w:shd w:val="clear" w:color="auto" w:fill="auto"/>
        <w:spacing w:line="360" w:lineRule="auto"/>
        <w:jc w:val="left"/>
      </w:pPr>
      <w:r>
        <w:t>1.锌粒和不同浓度稀硫酸反应速率比较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6"/>
        </w:rPr>
      </w:pPr>
    </w:p>
    <w:p>
      <w:pPr>
        <w:shd w:val="clear" w:color="auto" w:fill="auto"/>
        <w:spacing w:line="360" w:lineRule="auto"/>
        <w:jc w:val="left"/>
      </w:pPr>
      <w:r>
        <w:t>2.不同浓度草酸与高锰酸钾反应速率比较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6"/>
        </w:rPr>
      </w:pPr>
    </w:p>
    <w:p>
      <w:pPr>
        <w:shd w:val="clear" w:color="auto" w:fill="auto"/>
        <w:spacing w:line="360" w:lineRule="auto"/>
        <w:jc w:val="left"/>
      </w:pPr>
      <w:r>
        <w:t>3.不同温度下硫代硫酸钠与硫酸反应速率的比较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6"/>
        </w:rPr>
      </w:pPr>
    </w:p>
    <w:p>
      <w:pPr>
        <w:shd w:val="clear" w:color="auto" w:fill="auto"/>
        <w:spacing w:line="360" w:lineRule="auto"/>
        <w:jc w:val="left"/>
      </w:pPr>
      <w:r>
        <w:t>4.不同温度下I-在酸性溶液中被氧化的速率比较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6"/>
        </w:rPr>
      </w:pPr>
    </w:p>
    <w:p>
      <w:pPr>
        <w:shd w:val="clear" w:color="auto" w:fill="auto"/>
        <w:spacing w:line="360" w:lineRule="auto"/>
        <w:jc w:val="left"/>
      </w:pPr>
      <w:r>
        <w:t>5.催化剂对反应速率的影响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6"/>
        </w:rPr>
      </w:pPr>
    </w:p>
    <w:p>
      <w:pPr>
        <w:shd w:val="clear" w:color="auto" w:fill="auto"/>
        <w:spacing w:line="360" w:lineRule="auto"/>
        <w:jc w:val="left"/>
      </w:pPr>
      <w:r>
        <w:t>6.不同催化剂对反应速率的影响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6"/>
        </w:rPr>
      </w:pPr>
    </w:p>
    <w:p>
      <w:pPr>
        <w:shd w:val="clear" w:color="auto" w:fill="auto"/>
        <w:spacing w:line="360" w:lineRule="auto"/>
        <w:jc w:val="left"/>
      </w:pPr>
      <w:r>
        <w:t>【答题技巧】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6"/>
        </w:rPr>
      </w:pPr>
      <w:r>
        <w:rPr>
          <w:rFonts w:ascii="黑体" w:eastAsia="黑体" w:hAnsi="黑体" w:cs="黑体"/>
          <w:b/>
          <w:sz w:val="36"/>
        </w:rPr>
        <w:drawing>
          <wp:inline distT="0" distB="0" distL="114300" distR="114300">
            <wp:extent cx="2085975" cy="1095375"/>
            <wp:effectExtent l="0" t="0" r="9525" b="9525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检查装置的气密性：关闭分液漏斗的活塞，将注射器往外拉一段距离，松开手后观察是否会迅速回到原位，若能回到原位，则装置气密性良好。</w:t>
      </w:r>
    </w:p>
    <w:p>
      <w:pPr>
        <w:shd w:val="clear" w:color="auto" w:fill="auto"/>
        <w:spacing w:line="360" w:lineRule="auto"/>
        <w:jc w:val="left"/>
      </w:pPr>
      <w:r>
        <w:t>【例题讲解】</w:t>
      </w:r>
    </w:p>
    <w:p>
      <w:pPr>
        <w:shd w:val="clear" w:color="auto" w:fill="auto"/>
        <w:spacing w:line="360" w:lineRule="auto"/>
        <w:jc w:val="left"/>
        <w:sectPr>
          <w:footerReference w:type="even" r:id="rId8"/>
          <w:footerReference w:type="default" r:id="rId9"/>
          <w:pgSz w:w="11906" w:h="16838"/>
          <w:pgMar w:top="1440" w:right="1080" w:bottom="1440" w:left="1080" w:header="851" w:footer="992" w:gutter="0"/>
          <w:pgNumType w:start="1"/>
          <w:cols w:num="1" w:space="425"/>
          <w:docGrid w:type="lines" w:linePitch="312" w:charSpace="0"/>
        </w:sectPr>
      </w:pPr>
      <w:r>
        <w:t>1．某研究小组为了验证反应物浓度对反应速率的影响，在室温下向2mL0.001mol·L</w:t>
      </w:r>
      <w:r>
        <w:rPr>
          <w:vertAlign w:val="superscript"/>
        </w:rPr>
        <w:t>-1</w:t>
      </w:r>
      <w:r>
        <w:t>KMnO</w:t>
      </w:r>
      <w:r>
        <w:rPr>
          <w:vertAlign w:val="subscript"/>
        </w:rPr>
        <w:t>4</w:t>
      </w:r>
      <w:r>
        <w:t>溶液中分别加入不同浓度的草酸溶液2mL，实验结果如图1；若上述实验中使用的是含20%硫酸的0.001mol·L</w:t>
      </w:r>
      <w:r>
        <w:rPr>
          <w:vertAlign w:val="superscript"/>
        </w:rPr>
        <w:t>-1</w:t>
      </w:r>
      <w:r>
        <w:t>KMnO</w:t>
      </w:r>
      <w:r>
        <w:rPr>
          <w:vertAlign w:val="subscript"/>
        </w:rPr>
        <w:t>4</w:t>
      </w:r>
      <w:r>
        <w:t>溶液，实验结果如图2。回答有关问题：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5278120" cy="1643380"/>
            <wp:effectExtent l="0" t="0" r="17780" b="1397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64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已知：草酸与高锰酸钾反应的过程可能为：Mn(VII)(VII表示价态，下同)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cfd398aec245ac0b34f9b5f8fad5a2d9" style="width:42.2pt;height:15.15pt" o:ole="" coordsize="21600,21600" o:preferrelative="t" filled="f" stroked="f">
            <v:stroke joinstyle="miter"/>
            <v:imagedata r:id="rId11" o:title="eqIdcfd398aec245ac0b34f9b5f8fad5a2d9"/>
            <o:lock v:ext="edit" aspectratio="t"/>
            <w10:anchorlock/>
          </v:shape>
          <o:OLEObject Type="Embed" ProgID="Equation.DSMT4" ShapeID="_x0000_i1025" DrawAspect="Content" ObjectID="_1468075725" r:id="rId12"/>
        </w:object>
      </w:r>
      <w:r>
        <w:t>Mn(VI)</w:t>
      </w:r>
      <w:r>
        <w:object>
          <v:shape id="_x0000_i1026" type="#_x0000_t75" alt="eqIdcfd398aec245ac0b34f9b5f8fad5a2d9" style="width:42.2pt;height:15.15pt" o:ole="" coordsize="21600,21600" o:preferrelative="t" filled="f" stroked="f">
            <v:stroke joinstyle="miter"/>
            <v:imagedata r:id="rId11" o:title="eqIdcfd398aec245ac0b34f9b5f8fad5a2d9"/>
            <o:lock v:ext="edit" aspectratio="t"/>
            <w10:anchorlock/>
          </v:shape>
          <o:OLEObject Type="Embed" ProgID="Equation.DSMT4" ShapeID="_x0000_i1026" DrawAspect="Content" ObjectID="_1468075726" r:id="rId13"/>
        </w:object>
      </w:r>
      <w:r>
        <w:t>Mn(IV)</w:t>
      </w:r>
      <w:r>
        <w:object>
          <v:shape id="_x0000_i1027" type="#_x0000_t75" alt="eqIdcfd398aec245ac0b34f9b5f8fad5a2d9" style="width:42.2pt;height:15.15pt" o:ole="" coordsize="21600,21600" o:preferrelative="t" filled="f" stroked="f">
            <v:stroke joinstyle="miter"/>
            <v:imagedata r:id="rId11" o:title="eqIdcfd398aec245ac0b34f9b5f8fad5a2d9"/>
            <o:lock v:ext="edit" aspectratio="t"/>
            <w10:anchorlock/>
          </v:shape>
          <o:OLEObject Type="Embed" ProgID="Equation.DSMT4" ShapeID="_x0000_i1027" DrawAspect="Content" ObjectID="_1468075727" r:id="rId14"/>
        </w:object>
      </w:r>
      <w:r>
        <w:t>Mn(III)</w:t>
      </w:r>
      <w:r>
        <w:object>
          <v:shape id="_x0000_i1028" type="#_x0000_t75" alt="eqId08314fdcee4c260838e5e30e2e513868" style="width:46.6pt;height:15.75pt" o:ole="" coordsize="21600,21600" o:preferrelative="t" filled="f" stroked="f">
            <v:stroke joinstyle="miter"/>
            <v:imagedata r:id="rId15" o:title="eqId08314fdcee4c260838e5e30e2e513868"/>
            <o:lock v:ext="edit" aspectratio="t"/>
            <w10:anchorlock/>
          </v:shape>
          <o:OLEObject Type="Embed" ProgID="Equation.DSMT4" ShapeID="_x0000_i1028" DrawAspect="Content" ObjectID="_1468075728" r:id="rId16"/>
        </w:object>
      </w:r>
      <w:r>
        <w:t>Mn(III)(C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n</w:t>
      </w:r>
      <w:r>
        <w:rPr>
          <w:vertAlign w:val="superscript"/>
        </w:rPr>
        <w:t>3-2n</w:t>
      </w:r>
      <w:r>
        <w:t>2(红色)→Mn(II)+2nCO</w:t>
      </w:r>
      <w:r>
        <w:rPr>
          <w:vertAlign w:val="subscript"/>
        </w:rPr>
        <w:t>2</w:t>
      </w:r>
    </w:p>
    <w:p>
      <w:pPr>
        <w:shd w:val="clear" w:color="auto" w:fill="auto"/>
        <w:spacing w:line="360" w:lineRule="auto"/>
        <w:jc w:val="left"/>
      </w:pPr>
      <w:r>
        <w:t>(1)实验时发生总反应的离子方程式为___。</w:t>
      </w:r>
    </w:p>
    <w:p>
      <w:pPr>
        <w:shd w:val="clear" w:color="auto" w:fill="auto"/>
        <w:spacing w:line="360" w:lineRule="auto"/>
        <w:jc w:val="left"/>
      </w:pPr>
      <w:r>
        <w:t>(2)由题可知，Mn(II)的作用是___；由图2可知，在当前实验条件下，增大草酸的浓度，褪色时间___(填“变大”、“变小”或“不变”)。</w:t>
      </w:r>
    </w:p>
    <w:p>
      <w:pPr>
        <w:shd w:val="clear" w:color="auto" w:fill="auto"/>
        <w:spacing w:line="360" w:lineRule="auto"/>
        <w:jc w:val="left"/>
      </w:pPr>
      <w:r>
        <w:t>(3)对比图1和图2，该小组同学推测酸化有利于提高该反应的速率。为了验证该推测，设计了系列实验，记录如下(均在室温下进行)：</w:t>
      </w:r>
    </w:p>
    <w:tbl>
      <w:tblPr>
        <w:tblStyle w:val="TableNormal"/>
        <w:tblW w:w="82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258"/>
        <w:gridCol w:w="2037"/>
        <w:gridCol w:w="1640"/>
        <w:gridCol w:w="1629"/>
        <w:gridCol w:w="1701"/>
      </w:tblGrid>
      <w:tr>
        <w:tblPrEx>
          <w:tblW w:w="826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试管编号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0.01mol•L</w:t>
            </w:r>
            <w:r>
              <w:rPr>
                <w:vertAlign w:val="superscript"/>
              </w:rPr>
              <w:t>-1</w:t>
            </w:r>
            <w:r>
              <w:t>KMnO</w:t>
            </w:r>
            <w:r>
              <w:rPr>
                <w:vertAlign w:val="subscript"/>
              </w:rPr>
              <w:t>4</w:t>
            </w:r>
            <w:r>
              <w:t>溶液/mL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0.2mol•L</w:t>
            </w:r>
            <w:r>
              <w:rPr>
                <w:vertAlign w:val="superscript"/>
              </w:rPr>
              <w:t>-1</w:t>
            </w:r>
          </w:p>
          <w:p>
            <w:pPr>
              <w:shd w:val="clear" w:color="auto" w:fill="auto"/>
              <w:spacing w:line="360" w:lineRule="auto"/>
              <w:jc w:val="left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C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t>溶液/mL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蒸馏水/mL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2.0mol•L</w:t>
            </w:r>
            <w:r>
              <w:rPr>
                <w:vertAlign w:val="superscript"/>
              </w:rPr>
              <w:t>-1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>溶液/mL</w:t>
            </w:r>
          </w:p>
        </w:tc>
      </w:tr>
      <w:tr>
        <w:tblPrEx>
          <w:tblW w:w="8265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A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4.0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2.0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2.0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0</w:t>
            </w:r>
          </w:p>
        </w:tc>
      </w:tr>
      <w:tr>
        <w:tblPrEx>
          <w:tblW w:w="8265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B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V</w:t>
            </w:r>
            <w:r>
              <w:rPr>
                <w:vertAlign w:val="subscript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V</w:t>
            </w:r>
            <w:r>
              <w:rPr>
                <w:vertAlign w:val="subscript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1.5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V</w:t>
            </w:r>
            <w:r>
              <w:rPr>
                <w:vertAlign w:val="subscript"/>
              </w:rPr>
              <w:t>3</w:t>
            </w:r>
          </w:p>
        </w:tc>
      </w:tr>
      <w:tr>
        <w:tblPrEx>
          <w:tblW w:w="8265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C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V</w:t>
            </w:r>
            <w:r>
              <w:rPr>
                <w:vertAlign w:val="subscript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2.0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V</w:t>
            </w:r>
            <w:r>
              <w:rPr>
                <w:vertAlign w:val="subscript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1.0</w:t>
            </w:r>
          </w:p>
        </w:tc>
      </w:tr>
      <w:tr>
        <w:tblPrEx>
          <w:tblW w:w="8265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D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V</w:t>
            </w:r>
            <w:r>
              <w:rPr>
                <w:vertAlign w:val="subscript"/>
              </w:rPr>
              <w:t>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2.0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2.0</w:t>
            </w:r>
          </w:p>
        </w:tc>
      </w:tr>
    </w:tbl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  <w:r>
        <w:t>①请完成此实验设计：V</w:t>
      </w:r>
      <w:r>
        <w:rPr>
          <w:vertAlign w:val="subscript"/>
        </w:rPr>
        <w:t>5</w:t>
      </w:r>
      <w:r>
        <w:t>=___，V</w:t>
      </w:r>
      <w:r>
        <w:rPr>
          <w:vertAlign w:val="subscript"/>
        </w:rPr>
        <w:t>6</w:t>
      </w:r>
      <w:r>
        <w:t>=___。</w:t>
      </w:r>
    </w:p>
    <w:p>
      <w:pPr>
        <w:shd w:val="clear" w:color="auto" w:fill="auto"/>
        <w:spacing w:line="360" w:lineRule="auto"/>
        <w:jc w:val="left"/>
      </w:pPr>
      <w:r>
        <w:t>②设计A号试管实验的目的是___。</w:t>
      </w:r>
    </w:p>
    <w:p>
      <w:pPr>
        <w:shd w:val="clear" w:color="auto" w:fill="auto"/>
        <w:spacing w:line="360" w:lineRule="auto"/>
        <w:jc w:val="left"/>
      </w:pPr>
      <w:r>
        <w:t>(4)已知25℃时草酸的电离常数为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vertAlign w:val="subscript"/>
        </w:rPr>
        <w:t>1</w:t>
      </w:r>
      <w:r>
        <w:t>=5.0×10</w:t>
      </w:r>
      <w:r>
        <w:rPr>
          <w:vertAlign w:val="superscript"/>
        </w:rPr>
        <w:t>-2</w:t>
      </w:r>
      <w:r>
        <w:t>，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vertAlign w:val="subscript"/>
        </w:rPr>
        <w:t>2</w:t>
      </w:r>
      <w:r>
        <w:t>=5.4×10</w:t>
      </w:r>
      <w:r>
        <w:rPr>
          <w:vertAlign w:val="superscript"/>
        </w:rPr>
        <w:t>-5</w:t>
      </w:r>
      <w:r>
        <w:t>。</w:t>
      </w:r>
    </w:p>
    <w:p>
      <w:pPr>
        <w:shd w:val="clear" w:color="auto" w:fill="auto"/>
        <w:spacing w:line="360" w:lineRule="auto"/>
        <w:jc w:val="left"/>
      </w:pPr>
      <w:r>
        <w:t>①写出H</w:t>
      </w:r>
      <w:r>
        <w:rPr>
          <w:vertAlign w:val="subscript"/>
        </w:rPr>
        <w:t>2</w:t>
      </w:r>
      <w:r>
        <w:t>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>与少量的KOH溶液反应的离子方程式：___。</w:t>
      </w:r>
    </w:p>
    <w:p>
      <w:pPr>
        <w:shd w:val="clear" w:color="auto" w:fill="auto"/>
        <w:spacing w:line="360" w:lineRule="auto"/>
        <w:jc w:val="left"/>
      </w:pPr>
      <w:r>
        <w:t>②已知25℃时CH</w:t>
      </w:r>
      <w:r>
        <w:rPr>
          <w:vertAlign w:val="subscript"/>
        </w:rPr>
        <w:t>3</w:t>
      </w:r>
      <w:r>
        <w:t>COOH的电离常数为</w:t>
      </w:r>
      <w:r>
        <w:rPr>
          <w:rFonts w:ascii="Times New Roman" w:eastAsia="Times New Roman" w:hAnsi="Times New Roman" w:cs="Times New Roman"/>
          <w:i/>
        </w:rPr>
        <w:t>K</w:t>
      </w:r>
      <w:r>
        <w:t>=1.75×10</w:t>
      </w:r>
      <w:r>
        <w:rPr>
          <w:vertAlign w:val="superscript"/>
        </w:rPr>
        <w:t>-5</w:t>
      </w:r>
      <w:r>
        <w:t>，则等浓度的草酸溶液和醋酸溶液中，pH较小的是___。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https://d.book118.com/996140130104010103</w:t>
        </w:r>
      </w:hyperlink>
    </w:p>
    <w:p>
      <w:pPr>
        <w:shd w:val="clear" w:color="auto" w:fill="auto"/>
        <w:spacing w:line="360" w:lineRule="auto"/>
        <w:jc w:val="left"/>
      </w:pPr>
    </w:p>
    <w:sectPr>
      <w:footerReference w:type="even" r:id="rId18"/>
      <w:footerReference w:type="default" r:id="rId19"/>
      <w:pgSz w:w="11906" w:h="16838"/>
      <w:pgMar w:top="1440" w:right="1080" w:bottom="1440" w:left="1080" w:header="851" w:footer="992" w:gutter="0"/>
      <w:pgNumType w:start="2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14</w:instrText>
    </w:r>
    <w:r>
      <w:fldChar w:fldCharType="end"/>
    </w:r>
    <w:r>
      <w:instrText xml:space="preserve"> </w:instrText>
    </w:r>
    <w:r>
      <w:fldChar w:fldCharType="separate"/>
    </w:r>
    <w:r>
      <w:t>14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rPr>
        <w:rFonts w:hint="eastAsia"/>
      </w:rPr>
      <w:t>1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rPr>
        <w:rFonts w:hint="eastAsia"/>
      </w:rPr>
      <w:t>1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49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8240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0" type="#_x0000_t75" alt="学科网 zxxk.com" style="width:0.05pt;height:0.05pt;margin-top:-20.75pt;margin-left:64.05pt;mso-height-relative:page;mso-width-relative:page;position:absolute;z-index:251659264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rPr>
        <w:rFonts w:hint="eastAsia"/>
      </w:rPr>
      <w:t>1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13</w:instrText>
    </w:r>
    <w:r>
      <w:fldChar w:fldCharType="end"/>
    </w:r>
    <w:r>
      <w:instrText xml:space="preserve"> </w:instrText>
    </w:r>
    <w:r>
      <w:fldChar w:fldCharType="separate"/>
    </w:r>
    <w:r>
      <w:t>13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13</w:instrText>
    </w:r>
    <w:r>
      <w:fldChar w:fldCharType="end"/>
    </w:r>
    <w:r>
      <w:instrText xml:space="preserve"> </w:instrText>
    </w:r>
    <w:r>
      <w:fldChar w:fldCharType="separate"/>
    </w:r>
    <w:r>
      <w:rPr>
        <w:rFonts w:hint="eastAsia"/>
      </w:rPr>
      <w:t>13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o:spid="_x0000_s2051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6192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o:spid="_x0000_s2052" type="#_x0000_t75" alt="学科网 zxxk.com" style="width:0.05pt;height:0.05pt;margin-top:-20.75pt;margin-left:64.05pt;mso-height-relative:page;mso-width-relative:page;position:absolute;z-index:251661312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065CD2"/>
    <w:rsid w:val="001D7A06"/>
    <w:rsid w:val="00284433"/>
    <w:rsid w:val="002908F0"/>
    <w:rsid w:val="002A1EC6"/>
    <w:rsid w:val="002E035E"/>
    <w:rsid w:val="003F38F2"/>
    <w:rsid w:val="004151FC"/>
    <w:rsid w:val="006071D5"/>
    <w:rsid w:val="0064153B"/>
    <w:rsid w:val="006B16C5"/>
    <w:rsid w:val="00776133"/>
    <w:rsid w:val="00855687"/>
    <w:rsid w:val="008C07DE"/>
    <w:rsid w:val="009E611B"/>
    <w:rsid w:val="00A30CCE"/>
    <w:rsid w:val="00AC3E9C"/>
    <w:rsid w:val="00BC4F14"/>
    <w:rsid w:val="00BC62FB"/>
    <w:rsid w:val="00BF535F"/>
    <w:rsid w:val="00C02FC6"/>
    <w:rsid w:val="00C806B0"/>
    <w:rsid w:val="00D51257"/>
    <w:rsid w:val="00E476EE"/>
    <w:rsid w:val="00ED4F9A"/>
    <w:rsid w:val="00EF035E"/>
    <w:rsid w:val="00FA429B"/>
    <w:rsid w:val="0FB60679"/>
    <w:rsid w:val="3AFB0398"/>
  </w:rsids>
  <w:docVars>
    <w:docVar w:name="commondata" w:val="eyJoZGlkIjoiOWU3N2U0OGQ1MmQwODc5NjNlZDBjMzZmNWJlOTAzOW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autoRedefine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Header0">
    <w:name w:val="Header_0"/>
    <w:basedOn w:val="Normal0"/>
    <w:link w:val="Char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sz w:val="18"/>
    </w:rPr>
  </w:style>
  <w:style w:type="paragraph" w:customStyle="1" w:styleId="Normal0">
    <w:name w:val="Normal_0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Char">
    <w:name w:val="页眉 Char"/>
    <w:basedOn w:val="DefaultParagraphFont"/>
    <w:link w:val="Header0"/>
    <w:autoRedefine/>
    <w:uiPriority w:val="99"/>
    <w:qFormat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wmf" /><Relationship Id="rId12" Type="http://schemas.openxmlformats.org/officeDocument/2006/relationships/oleObject" Target="embeddings/oleObject1.bin" /><Relationship Id="rId13" Type="http://schemas.openxmlformats.org/officeDocument/2006/relationships/oleObject" Target="embeddings/oleObject2.bin" /><Relationship Id="rId14" Type="http://schemas.openxmlformats.org/officeDocument/2006/relationships/oleObject" Target="embeddings/oleObject3.bin" /><Relationship Id="rId15" Type="http://schemas.openxmlformats.org/officeDocument/2006/relationships/image" Target="media/image6.wmf" /><Relationship Id="rId16" Type="http://schemas.openxmlformats.org/officeDocument/2006/relationships/oleObject" Target="embeddings/oleObject4.bin" /><Relationship Id="rId17" Type="http://schemas.openxmlformats.org/officeDocument/2006/relationships/hyperlink" Target="https://d.book118.com/996140130104010103" TargetMode="External" /><Relationship Id="rId18" Type="http://schemas.openxmlformats.org/officeDocument/2006/relationships/footer" Target="footer3.xml" /><Relationship Id="rId19" Type="http://schemas.openxmlformats.org/officeDocument/2006/relationships/footer" Target="footer4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257B75232B38-A165-1FB7-499C-2E1C792CACB5%257D.png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257B75232B38-A165-1FB7-499C-2E1C792CACB5%25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0</Words>
  <Characters>0</Characters>
  <Application>Microsoft Office Word</Application>
  <DocSecurity>0</DocSecurity>
  <Lines>0</Lines>
  <Paragraphs>0</Paragraphs>
  <ScaleCrop>false</ScaleCrop>
  <Company>学科网(Zxxk.Com)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学科网(Zxxk.Com)</dc:creator>
  <cp:lastModifiedBy>相忘2021。</cp:lastModifiedBy>
  <cp:revision>14</cp:revision>
  <dcterms:created xsi:type="dcterms:W3CDTF">2017-07-19T12:07:00Z</dcterms:created>
  <dcterms:modified xsi:type="dcterms:W3CDTF">2024-03-13T10:13:35Z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29EBB2184D5F45A58635AA029B6BFFDE_13</vt:lpwstr>
  </property>
  <property fmtid="{D5CDD505-2E9C-101B-9397-08002B2CF9AE}" pid="7" name="KSOProductBuildVer">
    <vt:lpwstr>2052-12.1.0.16364</vt:lpwstr>
  </property>
</Properties>
</file>