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2"/>
        <w:spacing w:line="400" w:lineRule="exact"/>
        <w:jc w:val="center"/>
        <w:rPr>
          <w:rFonts w:hint="eastAsia"/>
        </w:rPr>
      </w:pPr>
      <w:bookmarkStart w:id="0" w:name="_Toc54118546"/>
    </w:p>
    <w:p>
      <w:pPr>
        <w:pStyle w:val="Heading2"/>
        <w:spacing w:line="400" w:lineRule="exact"/>
        <w:jc w:val="center"/>
      </w:pPr>
      <w:bookmarkStart w:id="1" w:name="_GoBack"/>
      <w:bookmarkEnd w:id="1"/>
      <w:r>
        <w:rPr>
          <w:rFonts w:hint="eastAsia"/>
        </w:rPr>
        <w:t>新冠疫情下江安县农产品物流选址</w:t>
      </w:r>
      <w:r>
        <w:t>-路径-仓库集成化研究</w:t>
      </w:r>
      <w:bookmarkEnd w:id="0"/>
    </w:p>
    <w:p>
      <w:pPr>
        <w:spacing w:line="400" w:lineRule="exact"/>
        <w:jc w:val="center"/>
        <w:rPr>
          <w:rFonts w:ascii="宋体" w:eastAsia="宋体" w:hAnsi="宋体"/>
          <w:b/>
          <w:sz w:val="24"/>
          <w:szCs w:val="24"/>
        </w:rPr>
      </w:pPr>
    </w:p>
    <w:p>
      <w:pPr>
        <w:spacing w:line="400" w:lineRule="exact"/>
        <w:jc w:val="center"/>
        <w:rPr>
          <w:rFonts w:ascii="宋体" w:eastAsia="宋体" w:hAnsi="宋体"/>
          <w:sz w:val="24"/>
          <w:szCs w:val="24"/>
        </w:rPr>
      </w:pPr>
    </w:p>
    <w:p>
      <w:pPr>
        <w:spacing w:line="400" w:lineRule="exact"/>
        <w:jc w:val="center"/>
        <w:rPr>
          <w:rFonts w:ascii="宋体" w:eastAsia="宋体" w:hAnsi="宋体"/>
          <w:sz w:val="24"/>
          <w:szCs w:val="24"/>
        </w:rPr>
      </w:pPr>
    </w:p>
    <w:p>
      <w:pPr>
        <w:spacing w:line="400" w:lineRule="exact"/>
        <w:rPr>
          <w:rFonts w:ascii="仿宋" w:eastAsia="仿宋" w:hAnsi="仿宋"/>
          <w:sz w:val="24"/>
          <w:szCs w:val="24"/>
        </w:rPr>
      </w:pPr>
      <w:bookmarkStart w:id="2" w:name="_Toc54118547"/>
      <w:r>
        <w:rPr>
          <w:rStyle w:val="1Char"/>
          <w:rFonts w:ascii="黑体" w:eastAsia="黑体" w:hAnsi="黑体" w:hint="eastAsia"/>
          <w:sz w:val="24"/>
          <w:szCs w:val="24"/>
        </w:rPr>
        <w:t>摘要</w:t>
      </w:r>
      <w:bookmarkEnd w:id="2"/>
      <w:r>
        <w:rPr>
          <w:rFonts w:ascii="黑体" w:eastAsia="黑体" w:hAnsi="黑体" w:hint="eastAsia"/>
          <w:sz w:val="24"/>
          <w:szCs w:val="24"/>
        </w:rPr>
        <w:t>：</w:t>
      </w:r>
      <w:r>
        <w:rPr>
          <w:rFonts w:ascii="仿宋" w:eastAsia="仿宋" w:hAnsi="仿宋" w:hint="eastAsia"/>
          <w:sz w:val="24"/>
          <w:szCs w:val="24"/>
        </w:rPr>
        <w:t>在目前社会中，随着5G时代的到来，网络社会的发展，现如今电商企业也逐渐成为了行业的巨头，而随之发展的物流业同时也迎来了发展的激流。在今年，因为新冠疫情的影响，我国的物流业也有着一些不同的影响，在疫情初期，由于病情复杂，导致我国物流业近乎停止，但随着国家的管控，物流慢慢的在这个大家无法出门的时候飞速的发展着。</w:t>
      </w:r>
      <w:r>
        <w:rPr>
          <w:rFonts w:ascii="仿宋" w:eastAsia="仿宋" w:hAnsi="仿宋"/>
          <w:sz w:val="24"/>
          <w:szCs w:val="24"/>
        </w:rPr>
        <w:t>从我国的一个特殊节日“双十一”就可以看出许许多多的东西，在节日这天，人们可以通过网络购买其喜欢的东西，而这些购买的举动，随之带来的便是物资的流通，对于商家来说，选择便宜的物流公司可以更好的获得收益；对于物流公司而言，他们可以通过减少运输过程中产生的成本来扩大自己的收益，因而，学习物流知识，可以更好的帮助我们在物流过程中节约成本，从而获得更大的利益。</w:t>
      </w:r>
      <w:r>
        <w:rPr>
          <w:rFonts w:ascii="仿宋" w:eastAsia="仿宋" w:hAnsi="仿宋" w:hint="eastAsia"/>
          <w:sz w:val="24"/>
          <w:szCs w:val="24"/>
        </w:rPr>
        <w:t>在生活中，我们与物流的各个领域也有着或多或少的接触，学习了解物流的知识可以帮组我们更好的改善我们的生活品质。在本文中设计了三个模型，在第一个模型中，采用精准重心法通过对地址数据的收集分析，考察出仓库的地址；在第二个模型中，通过使用</w:t>
      </w:r>
      <w:r>
        <w:rPr>
          <w:rFonts w:ascii="仿宋" w:eastAsia="仿宋" w:hAnsi="仿宋"/>
          <w:sz w:val="24"/>
          <w:szCs w:val="24"/>
        </w:rPr>
        <w:t>Dijkstra算法，</w:t>
      </w:r>
      <w:r>
        <w:rPr>
          <w:rFonts w:ascii="仿宋" w:eastAsia="仿宋" w:hAnsi="仿宋" w:hint="eastAsia"/>
          <w:sz w:val="24"/>
          <w:szCs w:val="24"/>
        </w:rPr>
        <w:t>根据计算结果迭代得出合适的路径规划；在最后一个模型中，采用表上作业法调整方案，找出了最佳的调配路径。通过对这几个模型的研究，了解了更多关于物流的作用，以及如何节约成本，将成本控制管理的更加有效。</w:t>
      </w:r>
    </w:p>
    <w:p>
      <w:pPr>
        <w:spacing w:line="400" w:lineRule="exact"/>
        <w:rPr>
          <w:rFonts w:ascii="仿宋" w:eastAsia="仿宋" w:hAnsi="仿宋"/>
          <w:sz w:val="24"/>
          <w:szCs w:val="24"/>
        </w:rPr>
      </w:pPr>
      <w:bookmarkStart w:id="3" w:name="_Toc54118548"/>
      <w:r>
        <w:rPr>
          <w:rStyle w:val="1Char"/>
          <w:rFonts w:ascii="黑体" w:eastAsia="黑体" w:hAnsi="黑体" w:hint="eastAsia"/>
          <w:sz w:val="24"/>
          <w:szCs w:val="24"/>
        </w:rPr>
        <w:t>关键词</w:t>
      </w:r>
      <w:bookmarkEnd w:id="3"/>
      <w:r>
        <w:rPr>
          <w:rFonts w:ascii="黑体" w:eastAsia="黑体" w:hAnsi="黑体" w:hint="eastAsia"/>
          <w:sz w:val="24"/>
          <w:szCs w:val="24"/>
        </w:rPr>
        <w:t>：</w:t>
      </w:r>
      <w:r>
        <w:rPr>
          <w:rFonts w:ascii="仿宋" w:eastAsia="仿宋" w:hAnsi="仿宋" w:hint="eastAsia"/>
          <w:sz w:val="24"/>
          <w:szCs w:val="24"/>
        </w:rPr>
        <w:t>重心法选址、最短路径、物流运输、新冠疫情</w:t>
      </w:r>
    </w:p>
    <w:p>
      <w:pPr>
        <w:spacing w:line="400" w:lineRule="exact"/>
        <w:jc w:val="center"/>
        <w:rPr>
          <w:rFonts w:ascii="仿宋" w:eastAsia="仿宋" w:hAnsi="仿宋"/>
          <w:sz w:val="24"/>
          <w:szCs w:val="24"/>
        </w:rPr>
      </w:pPr>
    </w:p>
    <w:p>
      <w:pPr>
        <w:spacing w:line="400" w:lineRule="exact"/>
        <w:jc w:val="left"/>
        <w:rPr>
          <w:rStyle w:val="1Char"/>
          <w:rFonts w:ascii="Times New Roman" w:hAnsi="Times New Roman" w:cs="Times New Roman"/>
          <w:sz w:val="24"/>
          <w:szCs w:val="24"/>
        </w:rPr>
      </w:pPr>
      <w:bookmarkStart w:id="4" w:name="_Toc54118549"/>
    </w:p>
    <w:p>
      <w:pPr>
        <w:spacing w:line="400" w:lineRule="exact"/>
        <w:jc w:val="left"/>
        <w:rPr>
          <w:rStyle w:val="1Char"/>
          <w:rFonts w:ascii="Times New Roman" w:hAnsi="Times New Roman" w:cs="Times New Roman"/>
          <w:sz w:val="24"/>
          <w:szCs w:val="24"/>
        </w:rPr>
      </w:pPr>
    </w:p>
    <w:p>
      <w:pPr>
        <w:spacing w:line="400" w:lineRule="exact"/>
        <w:jc w:val="left"/>
        <w:rPr>
          <w:rStyle w:val="1Char"/>
          <w:rFonts w:ascii="Times New Roman" w:hAnsi="Times New Roman" w:cs="Times New Roman"/>
          <w:sz w:val="24"/>
          <w:szCs w:val="24"/>
        </w:rPr>
      </w:pPr>
    </w:p>
    <w:p>
      <w:pPr>
        <w:spacing w:line="400" w:lineRule="exact"/>
        <w:jc w:val="left"/>
        <w:rPr>
          <w:rStyle w:val="1Char"/>
          <w:rFonts w:ascii="Times New Roman" w:hAnsi="Times New Roman" w:cs="Times New Roman"/>
          <w:sz w:val="24"/>
          <w:szCs w:val="24"/>
        </w:rPr>
      </w:pPr>
    </w:p>
    <w:p>
      <w:pPr>
        <w:spacing w:line="400" w:lineRule="exact"/>
        <w:jc w:val="left"/>
        <w:rPr>
          <w:rStyle w:val="1Char"/>
          <w:rFonts w:ascii="Times New Roman" w:hAnsi="Times New Roman" w:cs="Times New Roman"/>
          <w:sz w:val="24"/>
          <w:szCs w:val="24"/>
        </w:rPr>
      </w:pPr>
    </w:p>
    <w:p>
      <w:pPr>
        <w:spacing w:line="400" w:lineRule="exact"/>
        <w:jc w:val="left"/>
        <w:rPr>
          <w:rStyle w:val="1Char"/>
          <w:rFonts w:ascii="Times New Roman" w:hAnsi="Times New Roman" w:cs="Times New Roman"/>
          <w:sz w:val="24"/>
          <w:szCs w:val="24"/>
        </w:rPr>
      </w:pPr>
    </w:p>
    <w:p>
      <w:pPr>
        <w:spacing w:line="400" w:lineRule="exact"/>
        <w:jc w:val="left"/>
        <w:rPr>
          <w:rStyle w:val="1Char"/>
          <w:rFonts w:ascii="Times New Roman" w:hAnsi="Times New Roman" w:cs="Times New Roman"/>
          <w:sz w:val="24"/>
          <w:szCs w:val="24"/>
        </w:rPr>
      </w:pPr>
    </w:p>
    <w:p>
      <w:pPr>
        <w:spacing w:line="400" w:lineRule="exact"/>
        <w:jc w:val="left"/>
        <w:rPr>
          <w:rStyle w:val="1Char"/>
          <w:rFonts w:ascii="Times New Roman" w:hAnsi="Times New Roman" w:cs="Times New Roman"/>
          <w:sz w:val="24"/>
          <w:szCs w:val="24"/>
        </w:rPr>
      </w:pPr>
    </w:p>
    <w:p>
      <w:pPr>
        <w:spacing w:line="400" w:lineRule="exact"/>
        <w:jc w:val="left"/>
        <w:rPr>
          <w:rStyle w:val="1Char"/>
          <w:rFonts w:ascii="Times New Roman" w:hAnsi="Times New Roman" w:cs="Times New Roman"/>
          <w:sz w:val="24"/>
          <w:szCs w:val="24"/>
        </w:rPr>
      </w:pPr>
    </w:p>
    <w:p>
      <w:pPr>
        <w:spacing w:line="400" w:lineRule="exact"/>
        <w:jc w:val="left"/>
        <w:rPr>
          <w:rStyle w:val="1Char"/>
          <w:rFonts w:ascii="Times New Roman" w:hAnsi="Times New Roman" w:cs="Times New Roman"/>
          <w:sz w:val="24"/>
          <w:szCs w:val="24"/>
        </w:rPr>
        <w:sectPr>
          <w:headerReference w:type="default" r:id="rId5"/>
          <w:footerReference w:type="default" r:id="rId6"/>
          <w:pgSz w:w="11906" w:h="16838"/>
          <w:pgMar w:top="1588" w:right="1418" w:bottom="1418" w:left="1701" w:header="851" w:footer="850" w:gutter="0"/>
          <w:cols w:num="1" w:space="425"/>
          <w:titlePg/>
          <w:docGrid w:type="lines" w:linePitch="312" w:charSpace="0"/>
        </w:sectPr>
      </w:pPr>
    </w:p>
    <w:p>
      <w:pPr>
        <w:spacing w:line="400" w:lineRule="exact"/>
        <w:jc w:val="left"/>
        <w:rPr>
          <w:rStyle w:val="1Char"/>
          <w:rFonts w:ascii="Times New Roman" w:hAnsi="Times New Roman" w:cs="Times New Roman"/>
          <w:sz w:val="24"/>
          <w:szCs w:val="24"/>
        </w:rPr>
      </w:pPr>
    </w:p>
    <w:p>
      <w:pPr>
        <w:spacing w:line="400" w:lineRule="exact"/>
        <w:jc w:val="left"/>
        <w:rPr>
          <w:rFonts w:ascii="Times New Roman" w:eastAsia="仿宋" w:hAnsi="Times New Roman" w:cs="Times New Roman"/>
          <w:sz w:val="24"/>
          <w:szCs w:val="24"/>
        </w:rPr>
      </w:pPr>
      <w:r>
        <w:rPr>
          <w:rStyle w:val="1Char"/>
          <w:rFonts w:ascii="Times New Roman" w:hAnsi="Times New Roman" w:cs="Times New Roman"/>
          <w:sz w:val="24"/>
          <w:szCs w:val="24"/>
        </w:rPr>
        <w:t>Abstract</w:t>
      </w:r>
      <w:bookmarkEnd w:id="4"/>
      <w:r>
        <w:rPr>
          <w:rFonts w:ascii="Times New Roman" w:eastAsia="仿宋" w:hAnsi="仿宋" w:cs="Times New Roman"/>
          <w:b/>
          <w:sz w:val="24"/>
          <w:szCs w:val="24"/>
        </w:rPr>
        <w:t>：</w:t>
      </w:r>
      <w:r>
        <w:rPr>
          <w:rFonts w:ascii="Times New Roman" w:eastAsia="仿宋" w:hAnsi="Times New Roman" w:cs="Times New Roman"/>
          <w:sz w:val="24"/>
          <w:szCs w:val="24"/>
        </w:rPr>
        <w:t>the current society, with the advent of 5g era and the development of network society, e-commerce enterprises have gradually become the giants of the industry, and the logistics industry has also ushered in the torrent of development. In this year, due to the impact of the new epidemic, China's logistics industry also has some different effects. In the early stage of the epidemic, due to the complex condition, China's logistics industry almost stopped. However, with the national control, logistics slowly developed rapidly when everyone could not go out.</w:t>
      </w:r>
      <w:r>
        <w:t xml:space="preserve"> </w:t>
      </w:r>
      <w:r>
        <w:rPr>
          <w:rFonts w:ascii="Times New Roman" w:eastAsia="仿宋" w:hAnsi="Times New Roman" w:cs="Times New Roman"/>
          <w:sz w:val="24"/>
          <w:szCs w:val="24"/>
        </w:rPr>
        <w:t xml:space="preserve">From a special festival "double eleven" in China, we can see many things. On this day of the festival, people can buy things they like through the Internet, and these purchasing actions will bring about the circulation of materials. For businesses, choosing cheap logistics companies can get better profits; for logistics companies, they can reduce the cost of goods and materials Therefore, learning logistics knowledge can help us to save costs in the process of logistics, so as to obtain greater benefits. In our daily life, we have more or less contact with various fields of logistics. Learning and understanding logistics knowledge can help us better improve our quality of life. In this paper, three models are designed. In the first model, the precise barycenter method is used to collect and analyze the address data of the warehouse. In the second model, the Dijkstra algorithm is used to iteratively obtain the appropriate path planning according to the calculation results. In the last model, the best deployment path is found by using the table operation method </w:t>
      </w:r>
      <w:r>
        <w:rPr>
          <w:rFonts w:ascii="Times New Roman" w:eastAsia="仿宋" w:hAnsi="Times New Roman" w:cs="Times New Roman" w:hint="eastAsia"/>
          <w:sz w:val="24"/>
          <w:szCs w:val="24"/>
        </w:rPr>
        <w:t>.</w:t>
      </w:r>
      <w:r>
        <w:rPr>
          <w:rFonts w:ascii="Times New Roman" w:eastAsia="仿宋" w:hAnsi="Times New Roman" w:cs="Times New Roman"/>
          <w:sz w:val="24"/>
          <w:szCs w:val="24"/>
        </w:rPr>
        <w:t>Through the study of these models, we can learn more about the role of logistics, and how to save costs, and make cost control management more effective.</w:t>
      </w:r>
    </w:p>
    <w:p>
      <w:pPr>
        <w:spacing w:line="400" w:lineRule="exact"/>
        <w:jc w:val="left"/>
        <w:rPr>
          <w:rFonts w:ascii="Times New Roman" w:eastAsia="仿宋" w:hAnsi="Times New Roman" w:cs="Times New Roman"/>
          <w:sz w:val="24"/>
          <w:szCs w:val="24"/>
        </w:rPr>
      </w:pPr>
      <w:r>
        <w:rPr>
          <w:rFonts w:ascii="Times New Roman" w:eastAsia="仿宋" w:hAnsi="Times New Roman" w:cs="Times New Roman"/>
          <w:b/>
          <w:bCs/>
          <w:sz w:val="24"/>
          <w:szCs w:val="24"/>
        </w:rPr>
        <w:t>Key words:</w:t>
      </w:r>
      <w:r>
        <w:rPr>
          <w:rFonts w:ascii="Times New Roman" w:eastAsia="仿宋" w:hAnsi="Times New Roman" w:cs="Times New Roman"/>
          <w:sz w:val="24"/>
          <w:szCs w:val="24"/>
        </w:rPr>
        <w:t xml:space="preserve"> site selection by gravity method, shortest path, logistics and transportation, new epidemic situation</w:t>
      </w:r>
    </w:p>
    <w:p>
      <w:pPr>
        <w:spacing w:line="400" w:lineRule="exact"/>
        <w:jc w:val="center"/>
        <w:rPr>
          <w:rFonts w:ascii="黑体" w:eastAsia="黑体" w:hAnsi="黑体"/>
          <w:b/>
          <w:sz w:val="44"/>
          <w:szCs w:val="44"/>
        </w:rPr>
      </w:pPr>
    </w:p>
    <w:p>
      <w:pPr>
        <w:spacing w:line="400" w:lineRule="exact"/>
        <w:jc w:val="center"/>
        <w:rPr>
          <w:rFonts w:ascii="黑体" w:eastAsia="黑体" w:hAnsi="黑体"/>
          <w:b/>
          <w:sz w:val="44"/>
          <w:szCs w:val="44"/>
        </w:rPr>
      </w:pPr>
    </w:p>
    <w:p>
      <w:pPr>
        <w:spacing w:line="400" w:lineRule="exact"/>
        <w:jc w:val="center"/>
        <w:rPr>
          <w:rFonts w:ascii="黑体" w:eastAsia="黑体" w:hAnsi="黑体"/>
          <w:b/>
          <w:sz w:val="44"/>
          <w:szCs w:val="44"/>
        </w:rPr>
      </w:pPr>
    </w:p>
    <w:p>
      <w:pPr>
        <w:spacing w:line="400" w:lineRule="exact"/>
        <w:jc w:val="center"/>
        <w:rPr>
          <w:rFonts w:ascii="黑体" w:eastAsia="黑体" w:hAnsi="黑体"/>
          <w:b/>
          <w:sz w:val="44"/>
          <w:szCs w:val="44"/>
        </w:rPr>
      </w:pPr>
    </w:p>
    <w:p>
      <w:pPr>
        <w:spacing w:line="400" w:lineRule="exact"/>
        <w:jc w:val="center"/>
        <w:rPr>
          <w:rFonts w:ascii="黑体" w:eastAsia="黑体" w:hAnsi="黑体"/>
          <w:b/>
          <w:sz w:val="44"/>
          <w:szCs w:val="44"/>
        </w:rPr>
      </w:pPr>
    </w:p>
    <w:p>
      <w:pPr>
        <w:spacing w:line="400" w:lineRule="exact"/>
        <w:jc w:val="center"/>
        <w:rPr>
          <w:rFonts w:ascii="黑体" w:eastAsia="黑体" w:hAnsi="黑体"/>
          <w:b/>
          <w:sz w:val="44"/>
          <w:szCs w:val="44"/>
        </w:rPr>
      </w:pPr>
    </w:p>
    <w:p>
      <w:pPr>
        <w:spacing w:line="400" w:lineRule="exact"/>
        <w:jc w:val="center"/>
        <w:rPr>
          <w:rFonts w:ascii="黑体" w:eastAsia="黑体" w:hAnsi="黑体"/>
          <w:b/>
          <w:sz w:val="44"/>
          <w:szCs w:val="44"/>
        </w:rPr>
      </w:pPr>
    </w:p>
    <w:p>
      <w:pPr>
        <w:spacing w:line="400" w:lineRule="exact"/>
        <w:jc w:val="center"/>
        <w:rPr>
          <w:rFonts w:ascii="黑体" w:eastAsia="黑体" w:hAnsi="黑体"/>
          <w:b/>
          <w:sz w:val="44"/>
          <w:szCs w:val="44"/>
        </w:rPr>
      </w:pPr>
    </w:p>
    <w:p>
      <w:pPr>
        <w:spacing w:line="400" w:lineRule="exact"/>
        <w:jc w:val="center"/>
        <w:rPr>
          <w:rFonts w:ascii="黑体" w:eastAsia="黑体" w:hAnsi="黑体"/>
          <w:b/>
          <w:sz w:val="44"/>
          <w:szCs w:val="44"/>
        </w:rPr>
      </w:pPr>
    </w:p>
    <w:p>
      <w:pPr>
        <w:spacing w:line="400" w:lineRule="exact"/>
        <w:rPr>
          <w:rFonts w:ascii="黑体" w:eastAsia="黑体" w:hAnsi="黑体"/>
          <w:b/>
          <w:sz w:val="44"/>
          <w:szCs w:val="44"/>
        </w:rPr>
      </w:pPr>
      <w:r>
        <w:rPr>
          <w:rFonts w:ascii="黑体" w:eastAsia="黑体" w:hAnsi="黑体"/>
          <w:b/>
          <w:sz w:val="44"/>
          <w:szCs w:val="44"/>
        </w:rPr>
        <w:br/>
      </w:r>
      <w:r>
        <w:rPr>
          <w:rFonts w:ascii="黑体" w:eastAsia="黑体" w:hAnsi="黑体"/>
          <w:b/>
          <w:sz w:val="44"/>
          <w:szCs w:val="4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https://d.book118.com/996154221102010100</w:t>
        </w:r>
      </w:hyperlink>
    </w:p>
    <w:p>
      <w:pPr>
        <w:spacing w:line="400" w:lineRule="exact"/>
        <w:rPr>
          <w:rFonts w:ascii="黑体" w:eastAsia="黑体" w:hAnsi="黑体"/>
          <w:b/>
          <w:sz w:val="44"/>
          <w:szCs w:val="44"/>
        </w:rPr>
      </w:pPr>
    </w:p>
    <w:sectPr>
      <w:headerReference w:type="default" r:id="rId8"/>
      <w:footerReference w:type="default" r:id="rId9"/>
      <w:type w:val="nextPage"/>
      <w:pgSz w:w="11906" w:h="16838"/>
      <w:pgMar w:top="1588" w:right="1418" w:bottom="1418" w:left="1701" w:header="851" w:footer="850" w:gutter="0"/>
      <w:pgNumType w:start="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 xml:space="preserve"> PAGE   \* MERGEFORMAT </w:instrText>
    </w:r>
    <w:r>
      <w:fldChar w:fldCharType="separate"/>
    </w:r>
    <w:r>
      <w:rPr>
        <w:lang w:val="zh-CN"/>
      </w:rPr>
      <w:t>21</w:t>
    </w:r>
    <w: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 xml:space="preserve"> PAGE   \* MERGEFORMAT </w:instrText>
    </w:r>
    <w:r>
      <w:fldChar w:fldCharType="separate"/>
    </w:r>
    <w:r>
      <w:rPr>
        <w:lang w:val="zh-CN"/>
      </w:rPr>
      <w:t>2</w:t>
    </w:r>
    <w: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Bdr>
        <w:bottom w:val="single" w:sz="6"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2"/>
    <w:multiLevelType w:val="multilevel"/>
    <w:tmpl w:val="0000000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FE45581"/>
  </w:rsids>
  <w:docVars>
    <w:docVar w:name="commondata" w:val="eyJoZGlkIjoiZDNkNjYyY2Y4YzM5ZDFlZTM3ODM0NmI3NTg2ODc3NGEifQ=="/>
  </w:docVar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等线" w:eastAsia="等线" w:hAnsi="等线" w:cs="Arial"/>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39" w:unhideWhenUsed="0" w:qFormat="1"/>
    <w:lsdException w:name="toc 3" w:semiHidden="0" w:uiPriority="39"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1"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nhideWhenUsed="0" w:qFormat="1"/>
    <w:lsdException w:name="Table Grid" w:semiHidden="0" w:uiPriority="59" w:unhideWhenUsed="0" w:qFormat="1"/>
    <w:lsdException w:name="Table Theme" w:semiHidden="0" w:uiPriority="0" w:unhideWhenUsed="0"/>
    <w:lsdException w:name="Placeholder Text" w:semiHidden="0"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等线" w:eastAsia="等线" w:hAnsi="等线" w:cs="Arial"/>
      <w:kern w:val="2"/>
      <w:sz w:val="21"/>
      <w:szCs w:val="22"/>
      <w:lang w:val="en-US" w:eastAsia="zh-CN" w:bidi="ar-SA"/>
    </w:rPr>
  </w:style>
  <w:style w:type="paragraph" w:styleId="Heading1">
    <w:name w:val="heading 1"/>
    <w:basedOn w:val="Normal"/>
    <w:next w:val="Normal"/>
    <w:link w:val="1Char"/>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qFormat/>
    <w:pPr>
      <w:keepNext/>
      <w:keepLines/>
      <w:spacing w:before="260" w:after="260" w:line="416" w:lineRule="auto"/>
      <w:outlineLvl w:val="1"/>
    </w:pPr>
    <w:rPr>
      <w:rFonts w:ascii="Cambria" w:eastAsia="宋体" w:hAnsi="Cambria" w:cs="宋体"/>
      <w:b/>
      <w:bCs/>
      <w:sz w:val="32"/>
      <w:szCs w:val="32"/>
    </w:rPr>
  </w:style>
  <w:style w:type="character" w:default="1" w:styleId="DefaultParagraphFont">
    <w:name w:val="Default Paragraph Font"/>
    <w:uiPriority w:val="1"/>
  </w:style>
  <w:style w:type="table" w:default="1" w:styleId="TableNormal">
    <w:name w:val="Normal Table"/>
    <w:uiPriority w:val="99"/>
    <w:qFormat/>
    <w:tblPr>
      <w:tblCellMar>
        <w:top w:w="0" w:type="dxa"/>
        <w:left w:w="108" w:type="dxa"/>
        <w:bottom w:w="0" w:type="dxa"/>
        <w:right w:w="108" w:type="dxa"/>
      </w:tblCellMar>
    </w:tblPr>
  </w:style>
  <w:style w:type="paragraph" w:styleId="TOC3">
    <w:name w:val="toc 3"/>
    <w:basedOn w:val="Normal"/>
    <w:next w:val="Normal"/>
    <w:autoRedefine/>
    <w:uiPriority w:val="39"/>
    <w:qFormat/>
    <w:pPr>
      <w:widowControl/>
      <w:spacing w:after="100" w:line="276" w:lineRule="auto"/>
      <w:ind w:left="440"/>
      <w:jc w:val="left"/>
    </w:pPr>
    <w:rPr>
      <w:rFonts w:ascii="Calibri" w:eastAsia="宋体" w:hAnsi="Calibri" w:cs="宋体"/>
      <w:kern w:val="0"/>
      <w:sz w:val="22"/>
    </w:rPr>
  </w:style>
  <w:style w:type="paragraph" w:styleId="BalloonText">
    <w:name w:val="Balloon Text"/>
    <w:basedOn w:val="Normal"/>
    <w:link w:val="Char1"/>
    <w:autoRedefine/>
    <w:uiPriority w:val="99"/>
    <w:qFormat/>
    <w:rPr>
      <w:sz w:val="18"/>
      <w:szCs w:val="18"/>
    </w:rPr>
  </w:style>
  <w:style w:type="paragraph" w:styleId="Footer">
    <w:name w:val="footer"/>
    <w:basedOn w:val="Normal"/>
    <w:link w:val="Char0"/>
    <w:autoRedefine/>
    <w:uiPriority w:val="99"/>
    <w:qFormat/>
    <w:pPr>
      <w:tabs>
        <w:tab w:val="center" w:pos="4153"/>
        <w:tab w:val="right" w:pos="8306"/>
      </w:tabs>
      <w:snapToGrid w:val="0"/>
      <w:jc w:val="left"/>
    </w:pPr>
    <w:rPr>
      <w:sz w:val="18"/>
      <w:szCs w:val="18"/>
    </w:rPr>
  </w:style>
  <w:style w:type="paragraph" w:styleId="Header">
    <w:name w:val="header"/>
    <w:basedOn w:val="Normal"/>
    <w:link w:val="Char"/>
    <w:autoRedefine/>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autoRedefine/>
    <w:uiPriority w:val="39"/>
    <w:qFormat/>
    <w:pPr>
      <w:widowControl/>
      <w:spacing w:after="100" w:line="276" w:lineRule="auto"/>
      <w:jc w:val="left"/>
    </w:pPr>
    <w:rPr>
      <w:rFonts w:ascii="Calibri" w:eastAsia="宋体" w:hAnsi="Calibri" w:cs="宋体"/>
      <w:kern w:val="0"/>
      <w:sz w:val="22"/>
    </w:rPr>
  </w:style>
  <w:style w:type="paragraph" w:styleId="TOC2">
    <w:name w:val="toc 2"/>
    <w:basedOn w:val="Normal"/>
    <w:next w:val="Normal"/>
    <w:autoRedefine/>
    <w:uiPriority w:val="39"/>
    <w:qFormat/>
    <w:pPr>
      <w:widowControl/>
      <w:spacing w:after="100" w:line="276" w:lineRule="auto"/>
      <w:ind w:left="220"/>
      <w:jc w:val="left"/>
    </w:pPr>
    <w:rPr>
      <w:rFonts w:ascii="Calibri" w:eastAsia="宋体" w:hAnsi="Calibri" w:cs="宋体"/>
      <w:kern w:val="0"/>
      <w:sz w:val="22"/>
    </w:rPr>
  </w:style>
  <w:style w:type="table" w:styleId="TableGrid">
    <w:name w:val="Table Grid"/>
    <w:basedOn w:val="TableNormal"/>
    <w:autoRedefine/>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autoRedefine/>
    <w:uiPriority w:val="99"/>
    <w:qFormat/>
    <w:rPr>
      <w:color w:val="0000FF"/>
      <w:u w:val="single"/>
    </w:rPr>
  </w:style>
  <w:style w:type="character" w:customStyle="1" w:styleId="Char">
    <w:name w:val="页眉 Char"/>
    <w:basedOn w:val="DefaultParagraphFont"/>
    <w:link w:val="Header"/>
    <w:autoRedefine/>
    <w:uiPriority w:val="99"/>
    <w:qFormat/>
    <w:rPr>
      <w:sz w:val="18"/>
      <w:szCs w:val="18"/>
    </w:rPr>
  </w:style>
  <w:style w:type="character" w:customStyle="1" w:styleId="Char0">
    <w:name w:val="页脚 Char"/>
    <w:basedOn w:val="DefaultParagraphFont"/>
    <w:link w:val="Footer"/>
    <w:autoRedefine/>
    <w:uiPriority w:val="99"/>
    <w:qFormat/>
    <w:rPr>
      <w:sz w:val="18"/>
      <w:szCs w:val="18"/>
    </w:rPr>
  </w:style>
  <w:style w:type="character" w:styleId="PlaceholderText">
    <w:name w:val="Placeholder Text"/>
    <w:basedOn w:val="DefaultParagraphFont"/>
    <w:autoRedefine/>
    <w:uiPriority w:val="99"/>
    <w:qFormat/>
    <w:rPr>
      <w:color w:val="808080"/>
    </w:rPr>
  </w:style>
  <w:style w:type="character" w:customStyle="1" w:styleId="Char1">
    <w:name w:val="批注框文本 Char"/>
    <w:basedOn w:val="DefaultParagraphFont"/>
    <w:link w:val="BalloonText"/>
    <w:autoRedefine/>
    <w:uiPriority w:val="99"/>
    <w:qFormat/>
    <w:rPr>
      <w:sz w:val="18"/>
      <w:szCs w:val="18"/>
    </w:rPr>
  </w:style>
  <w:style w:type="paragraph" w:styleId="ListParagraph">
    <w:name w:val="List Paragraph"/>
    <w:basedOn w:val="Normal"/>
    <w:autoRedefine/>
    <w:uiPriority w:val="34"/>
    <w:qFormat/>
    <w:pPr>
      <w:ind w:firstLine="420" w:firstLineChars="200"/>
    </w:pPr>
  </w:style>
  <w:style w:type="character" w:customStyle="1" w:styleId="1Char">
    <w:name w:val="标题 1 Char"/>
    <w:basedOn w:val="DefaultParagraphFont"/>
    <w:link w:val="Heading1"/>
    <w:autoRedefine/>
    <w:uiPriority w:val="9"/>
    <w:qFormat/>
    <w:rPr>
      <w:b/>
      <w:bCs/>
      <w:kern w:val="44"/>
      <w:sz w:val="44"/>
      <w:szCs w:val="44"/>
    </w:rPr>
  </w:style>
  <w:style w:type="character" w:customStyle="1" w:styleId="2Char">
    <w:name w:val="标题 2 Char"/>
    <w:basedOn w:val="DefaultParagraphFont"/>
    <w:link w:val="Heading2"/>
    <w:autoRedefine/>
    <w:uiPriority w:val="9"/>
    <w:qFormat/>
    <w:rPr>
      <w:rFonts w:ascii="Cambria" w:eastAsia="宋体" w:hAnsi="Cambria" w:cs="宋体"/>
      <w:b/>
      <w:bCs/>
      <w:sz w:val="32"/>
      <w:szCs w:val="32"/>
    </w:rPr>
  </w:style>
  <w:style w:type="paragraph" w:customStyle="1" w:styleId="TOCHeading">
    <w:name w:val="TOC Heading"/>
    <w:basedOn w:val="Heading1"/>
    <w:next w:val="Normal"/>
    <w:autoRedefine/>
    <w:uiPriority w:val="39"/>
    <w:qFormat/>
    <w:pPr>
      <w:widowControl/>
      <w:spacing w:before="480" w:after="0" w:line="276" w:lineRule="auto"/>
      <w:jc w:val="left"/>
      <w:outlineLvl w:val="9"/>
    </w:pPr>
    <w:rPr>
      <w:rFonts w:ascii="Cambria" w:eastAsia="宋体" w:hAnsi="Cambria" w:cs="宋体"/>
      <w:color w:val="365F91"/>
      <w:kern w:val="0"/>
      <w:sz w:val="28"/>
      <w:szCs w:val="28"/>
    </w:rPr>
  </w:style>
  <w:style w:type="paragraph" w:styleId="NoSpacing">
    <w:name w:val="No Spacing"/>
    <w:link w:val="Char2"/>
    <w:autoRedefine/>
    <w:uiPriority w:val="1"/>
    <w:qFormat/>
    <w:rPr>
      <w:rFonts w:ascii="Calibri" w:eastAsia="宋体" w:hAnsi="Calibri" w:cs="宋体"/>
      <w:kern w:val="0"/>
      <w:sz w:val="22"/>
      <w:szCs w:val="22"/>
      <w:lang w:val="en-US" w:eastAsia="zh-CN" w:bidi="ar-SA"/>
    </w:rPr>
  </w:style>
  <w:style w:type="character" w:customStyle="1" w:styleId="Char2">
    <w:name w:val="无间隔 Char"/>
    <w:basedOn w:val="DefaultParagraphFont"/>
    <w:link w:val="NoSpacing"/>
    <w:autoRedefine/>
    <w:uiPriority w:val="1"/>
    <w:qFormat/>
    <w:rPr>
      <w:rFonts w:ascii="Calibri" w:eastAsia="宋体" w:hAnsi="Calibri" w:cs="宋体"/>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d.book118.com/996154221102010100" TargetMode="Externa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4A699-0411-4CFE-8D66-DD33DCF8B5C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11040</Words>
  <Characters>16339</Characters>
  <Application>Microsoft Office Word</Application>
  <DocSecurity>0</DocSecurity>
  <Lines>0</Lines>
  <Paragraphs>1537</Paragraphs>
  <ScaleCrop>false</ScaleCrop>
  <Company/>
  <LinksUpToDate>false</LinksUpToDate>
  <CharactersWithSpaces>17311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WLZ-AN00</dc:creator>
  <cp:lastModifiedBy>zhang</cp:lastModifiedBy>
  <cp:revision>3</cp:revision>
  <dcterms:created xsi:type="dcterms:W3CDTF">2020-11-04T09:45:00Z</dcterms:created>
  <dcterms:modified xsi:type="dcterms:W3CDTF">2024-03-08T13:42:35Z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9848C9BC53424D99B37796A15B4B7BE5_12</vt:lpwstr>
  </property>
  <property fmtid="{D5CDD505-2E9C-101B-9397-08002B2CF9AE}" pid="3" name="KSOProductBuildVer">
    <vt:lpwstr>2052-12.1.0.16399</vt:lpwstr>
  </property>
</Properties>
</file>