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ind w:left="3040" w:hanging="1958" w:leftChars="515" w:hangingChars="445"/>
        <w:rPr>
          <w:rFonts w:hint="eastAsia"/>
          <w:b/>
          <w:color w:val="000000"/>
          <w:sz w:val="44"/>
          <w:szCs w:val="44"/>
          <w:highlight w:val="none"/>
        </w:rPr>
      </w:pPr>
      <w:r>
        <w:rPr>
          <w:rFonts w:hint="eastAsia"/>
          <w:b/>
          <w:color w:val="000000"/>
          <w:sz w:val="44"/>
          <w:szCs w:val="44"/>
          <w:highlight w:val="none"/>
        </w:rPr>
        <w:t>市</w:t>
      </w:r>
      <w:r>
        <w:rPr>
          <w:rFonts w:hint="eastAsia"/>
          <w:b/>
          <w:color w:val="000000"/>
          <w:sz w:val="44"/>
          <w:szCs w:val="44"/>
          <w:highlight w:val="none"/>
          <w:lang w:eastAsia="zh-CN"/>
        </w:rPr>
        <w:t>玉湖</w:t>
      </w:r>
      <w:r>
        <w:rPr>
          <w:rFonts w:hint="eastAsia"/>
          <w:b/>
          <w:color w:val="000000"/>
          <w:sz w:val="44"/>
          <w:szCs w:val="44"/>
          <w:highlight w:val="none"/>
        </w:rPr>
        <w:t>镇20</w:t>
      </w:r>
      <w:r>
        <w:rPr>
          <w:rFonts w:hint="eastAsia"/>
          <w:b/>
          <w:color w:val="000000"/>
          <w:sz w:val="44"/>
          <w:szCs w:val="44"/>
          <w:highlight w:val="none"/>
          <w:lang w:val="en-US" w:eastAsia="zh-CN"/>
        </w:rPr>
        <w:t>2</w:t>
      </w:r>
      <w:r>
        <w:rPr>
          <w:rFonts w:hint="eastAsia"/>
          <w:b/>
          <w:color w:val="000000"/>
          <w:sz w:val="44"/>
          <w:szCs w:val="44"/>
          <w:highlight w:val="none"/>
          <w:lang w:val="en-US" w:eastAsia="zh-CN"/>
        </w:rPr>
        <w:t>0</w:t>
      </w:r>
      <w:r>
        <w:rPr>
          <w:rFonts w:hint="eastAsia"/>
          <w:b/>
          <w:color w:val="000000"/>
          <w:sz w:val="44"/>
          <w:szCs w:val="44"/>
          <w:highlight w:val="none"/>
        </w:rPr>
        <w:t>年基本公共卫生</w:t>
      </w:r>
    </w:p>
    <w:p>
      <w:pPr>
        <w:pStyle w:val="NormalWeb"/>
        <w:ind w:left="3020" w:hanging="836" w:leftChars="1040" w:hangingChars="190"/>
        <w:rPr>
          <w:b/>
          <w:color w:val="000000"/>
          <w:sz w:val="44"/>
          <w:szCs w:val="44"/>
          <w:highlight w:val="none"/>
        </w:rPr>
      </w:pPr>
      <w:r>
        <w:rPr>
          <w:rFonts w:hint="eastAsia"/>
          <w:b/>
          <w:color w:val="000000"/>
          <w:sz w:val="44"/>
          <w:szCs w:val="44"/>
          <w:highlight w:val="none"/>
        </w:rPr>
        <w:t>服务项目工作实施方案</w:t>
      </w:r>
    </w:p>
    <w:p>
      <w:pPr>
        <w:pStyle w:val="NormalWeb"/>
        <w:ind w:firstLine="880" w:firstLineChars="200"/>
        <w:jc w:val="center"/>
        <w:rPr>
          <w:rFonts w:ascii="仿宋_GB2312" w:eastAsia="仿宋_GB2312"/>
          <w:b/>
          <w:color w:val="000000"/>
          <w:sz w:val="44"/>
          <w:szCs w:val="44"/>
          <w:highlight w:val="none"/>
        </w:rPr>
      </w:pP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为积极响应医疗体制改革，贯彻落实卫生部、财政部等部门的指示，规范实施国家基本公共卫生服务项目，根据市卫</w:t>
      </w:r>
      <w:r>
        <w:rPr>
          <w:rFonts w:ascii="仿宋_GB2312" w:eastAsia="仿宋_GB2312" w:hint="eastAsia"/>
          <w:color w:val="000000"/>
          <w:sz w:val="32"/>
          <w:szCs w:val="32"/>
          <w:highlight w:val="none"/>
          <w:lang w:eastAsia="zh-CN"/>
        </w:rPr>
        <w:t>健</w:t>
      </w:r>
      <w:r>
        <w:rPr>
          <w:rFonts w:ascii="仿宋_GB2312" w:eastAsia="仿宋_GB2312" w:hint="eastAsia"/>
          <w:color w:val="000000"/>
          <w:sz w:val="32"/>
          <w:szCs w:val="32"/>
          <w:highlight w:val="none"/>
        </w:rPr>
        <w:t>委印发的</w:t>
      </w:r>
      <w:r>
        <w:rPr>
          <w:rFonts w:eastAsia="仿宋_GB2312"/>
          <w:color w:val="000000"/>
          <w:sz w:val="32"/>
          <w:szCs w:val="32"/>
          <w:highlight w:val="none"/>
        </w:rPr>
        <w:t>《市20</w:t>
      </w:r>
      <w:r>
        <w:rPr>
          <w:rFonts w:eastAsia="仿宋_GB2312" w:hint="eastAsia"/>
          <w:color w:val="000000"/>
          <w:sz w:val="32"/>
          <w:szCs w:val="32"/>
          <w:highlight w:val="none"/>
          <w:lang w:val="en-US" w:eastAsia="zh-CN"/>
        </w:rPr>
        <w:t>20</w:t>
      </w:r>
      <w:r>
        <w:rPr>
          <w:rFonts w:eastAsia="仿宋_GB2312"/>
          <w:color w:val="000000"/>
          <w:sz w:val="32"/>
          <w:szCs w:val="32"/>
          <w:highlight w:val="none"/>
        </w:rPr>
        <w:t>年基本公共卫生服务项目工作意见》</w:t>
      </w:r>
      <w:r>
        <w:rPr>
          <w:rFonts w:ascii="仿宋_GB2312" w:eastAsia="仿宋_GB2312" w:hint="eastAsia"/>
          <w:color w:val="000000"/>
          <w:sz w:val="32"/>
          <w:szCs w:val="32"/>
          <w:highlight w:val="none"/>
        </w:rPr>
        <w:t>的通知，结合实际，现制定20</w:t>
      </w:r>
      <w:r>
        <w:rPr>
          <w:rFonts w:ascii="仿宋_GB2312" w:eastAsia="仿宋_GB2312" w:hint="eastAsia"/>
          <w:color w:val="000000"/>
          <w:sz w:val="32"/>
          <w:szCs w:val="32"/>
          <w:highlight w:val="none"/>
          <w:lang w:val="en-US" w:eastAsia="zh-CN"/>
        </w:rPr>
        <w:t>20</w:t>
      </w:r>
      <w:r>
        <w:rPr>
          <w:rFonts w:ascii="仿宋_GB2312" w:eastAsia="仿宋_GB2312" w:hint="eastAsia"/>
          <w:color w:val="000000"/>
          <w:sz w:val="32"/>
          <w:szCs w:val="32"/>
          <w:highlight w:val="none"/>
        </w:rPr>
        <w:t>年我中心基本公共卫生服务项目实施方案。</w:t>
      </w:r>
    </w:p>
    <w:p>
      <w:pPr>
        <w:widowControl/>
        <w:tabs>
          <w:tab w:val="left" w:pos="1275"/>
        </w:tabs>
        <w:snapToGrid w:val="0"/>
        <w:spacing w:line="360" w:lineRule="auto"/>
        <w:ind w:firstLine="672" w:firstLineChars="210"/>
        <w:jc w:val="left"/>
        <w:rPr>
          <w:rFonts w:ascii="黑体" w:eastAsia="黑体" w:hAnsi="宋体" w:cs="宋体"/>
          <w:b/>
          <w:color w:val="000000"/>
          <w:kern w:val="0"/>
          <w:sz w:val="32"/>
          <w:szCs w:val="30"/>
          <w:highlight w:val="none"/>
        </w:rPr>
      </w:pPr>
      <w:r>
        <w:rPr>
          <w:rFonts w:ascii="黑体" w:eastAsia="黑体" w:hAnsi="宋体" w:cs="黑体" w:hint="eastAsia"/>
          <w:b/>
          <w:color w:val="000000"/>
          <w:kern w:val="0"/>
          <w:sz w:val="32"/>
          <w:szCs w:val="30"/>
          <w:highlight w:val="none"/>
        </w:rPr>
        <w:t>一、</w:t>
      </w:r>
      <w:r>
        <w:rPr>
          <w:rFonts w:ascii="黑体" w:eastAsia="黑体" w:hAnsi="宋体" w:cs="宋体" w:hint="eastAsia"/>
          <w:b/>
          <w:color w:val="000000"/>
          <w:kern w:val="0"/>
          <w:sz w:val="32"/>
          <w:szCs w:val="30"/>
          <w:highlight w:val="none"/>
        </w:rPr>
        <w:t>加强组织领导，明确工作目标。</w:t>
      </w:r>
    </w:p>
    <w:p>
      <w:pPr>
        <w:widowControl/>
        <w:tabs>
          <w:tab w:val="left" w:pos="1275"/>
        </w:tabs>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基本公共卫生服务项目实施以中心分管领导、</w:t>
      </w:r>
      <w:r>
        <w:rPr>
          <w:rFonts w:ascii="仿宋_GB2312" w:eastAsia="仿宋_GB2312" w:hint="eastAsia"/>
          <w:color w:val="000000"/>
          <w:sz w:val="32"/>
          <w:szCs w:val="32"/>
          <w:highlight w:val="none"/>
          <w:lang w:eastAsia="zh-CN"/>
        </w:rPr>
        <w:t>基公办</w:t>
      </w:r>
      <w:r>
        <w:rPr>
          <w:rFonts w:ascii="仿宋_GB2312" w:eastAsia="仿宋_GB2312" w:hint="eastAsia"/>
          <w:color w:val="000000"/>
          <w:sz w:val="32"/>
          <w:szCs w:val="32"/>
          <w:highlight w:val="none"/>
        </w:rPr>
        <w:t>等牵头，中心各条线负责人分工协助，各社区站点提供支持。我中心设立</w:t>
      </w:r>
      <w:r>
        <w:rPr>
          <w:rFonts w:ascii="仿宋_GB2312" w:eastAsia="仿宋_GB2312" w:hint="eastAsia"/>
          <w:color w:val="000000"/>
          <w:sz w:val="32"/>
          <w:szCs w:val="32"/>
          <w:highlight w:val="none"/>
          <w:lang w:eastAsia="zh-CN"/>
        </w:rPr>
        <w:t>玉湖</w:t>
      </w:r>
      <w:r>
        <w:rPr>
          <w:rFonts w:ascii="仿宋_GB2312" w:eastAsia="仿宋_GB2312" w:hint="eastAsia"/>
          <w:color w:val="000000"/>
          <w:sz w:val="32"/>
          <w:szCs w:val="32"/>
          <w:highlight w:val="none"/>
        </w:rPr>
        <w:t>镇社区卫生服务中心基本公共卫生服务项目办公室，牵头人员负责日常工作，办公室下设各项目负责人。</w:t>
      </w:r>
    </w:p>
    <w:p>
      <w:pPr>
        <w:widowControl/>
        <w:snapToGrid w:val="0"/>
        <w:spacing w:line="360" w:lineRule="auto"/>
        <w:ind w:firstLine="515" w:firstLineChars="161"/>
        <w:jc w:val="left"/>
        <w:rPr>
          <w:rFonts w:ascii="黑体" w:eastAsia="黑体" w:hAnsi="宋体" w:cs="宋体" w:hint="eastAsia"/>
          <w:color w:val="000000"/>
          <w:kern w:val="0"/>
          <w:sz w:val="32"/>
          <w:szCs w:val="30"/>
          <w:highlight w:val="none"/>
        </w:rPr>
      </w:pPr>
      <w:r>
        <w:rPr>
          <w:rFonts w:ascii="黑体" w:eastAsia="黑体" w:hAnsi="宋体" w:cs="宋体" w:hint="eastAsia"/>
          <w:color w:val="000000"/>
          <w:kern w:val="0"/>
          <w:sz w:val="32"/>
          <w:szCs w:val="30"/>
          <w:highlight w:val="none"/>
        </w:rPr>
        <w:t>（一）项目办公室人员</w:t>
      </w:r>
    </w:p>
    <w:p>
      <w:pPr>
        <w:widowControl/>
        <w:snapToGrid w:val="0"/>
        <w:spacing w:line="360" w:lineRule="auto"/>
        <w:ind w:firstLine="672" w:firstLineChars="210"/>
        <w:jc w:val="left"/>
        <w:rPr>
          <w:rFonts w:ascii="仿宋" w:eastAsia="仿宋" w:hAnsi="宋体" w:cs="宋体" w:hint="eastAsia"/>
          <w:color w:val="000000"/>
          <w:kern w:val="0"/>
          <w:sz w:val="32"/>
          <w:szCs w:val="32"/>
          <w:highlight w:val="none"/>
        </w:rPr>
      </w:pPr>
      <w:r>
        <w:rPr>
          <w:rFonts w:ascii="仿宋" w:eastAsia="仿宋" w:hAnsi="宋体" w:cs="宋体" w:hint="eastAsia"/>
          <w:color w:val="000000"/>
          <w:kern w:val="0"/>
          <w:sz w:val="32"/>
          <w:szCs w:val="32"/>
          <w:highlight w:val="none"/>
        </w:rPr>
        <w:t xml:space="preserve">主  任： </w:t>
      </w:r>
    </w:p>
    <w:p>
      <w:pPr>
        <w:widowControl/>
        <w:snapToGrid w:val="0"/>
        <w:spacing w:line="360" w:lineRule="auto"/>
        <w:ind w:firstLine="672" w:firstLineChars="210"/>
        <w:jc w:val="left"/>
        <w:rPr>
          <w:rFonts w:ascii="仿宋" w:eastAsia="仿宋" w:hAnsi="宋体" w:cs="宋体" w:hint="eastAsia"/>
          <w:color w:val="000000"/>
          <w:kern w:val="0"/>
          <w:sz w:val="32"/>
          <w:szCs w:val="32"/>
          <w:highlight w:val="none"/>
        </w:rPr>
      </w:pPr>
      <w:r>
        <w:rPr>
          <w:rFonts w:ascii="仿宋" w:eastAsia="仿宋" w:hAnsi="宋体" w:cs="宋体" w:hint="eastAsia"/>
          <w:color w:val="000000"/>
          <w:kern w:val="0"/>
          <w:sz w:val="32"/>
          <w:szCs w:val="32"/>
          <w:highlight w:val="none"/>
        </w:rPr>
        <w:t xml:space="preserve">全面负责基本公共卫生服务项目工作。 </w:t>
      </w:r>
    </w:p>
    <w:p>
      <w:pPr>
        <w:widowControl/>
        <w:snapToGrid w:val="0"/>
        <w:spacing w:line="360" w:lineRule="auto"/>
        <w:ind w:firstLine="672" w:firstLineChars="210"/>
        <w:jc w:val="left"/>
        <w:rPr>
          <w:rFonts w:ascii="仿宋" w:eastAsia="仿宋" w:hAnsi="宋体" w:cs="宋体" w:hint="eastAsia"/>
          <w:color w:val="000000"/>
          <w:kern w:val="0"/>
          <w:sz w:val="32"/>
          <w:szCs w:val="32"/>
          <w:highlight w:val="none"/>
        </w:rPr>
      </w:pPr>
      <w:r>
        <w:rPr>
          <w:rFonts w:ascii="仿宋" w:eastAsia="仿宋" w:hAnsi="宋体" w:cs="宋体" w:hint="eastAsia"/>
          <w:color w:val="000000"/>
          <w:kern w:val="0"/>
          <w:sz w:val="32"/>
          <w:szCs w:val="32"/>
          <w:highlight w:val="none"/>
        </w:rPr>
        <w:t>副主任：</w:t>
      </w:r>
    </w:p>
    <w:p>
      <w:pPr>
        <w:widowControl/>
        <w:snapToGrid w:val="0"/>
        <w:spacing w:line="360" w:lineRule="auto"/>
        <w:ind w:firstLine="672" w:firstLineChars="210"/>
        <w:jc w:val="left"/>
        <w:rPr>
          <w:rFonts w:ascii="仿宋" w:eastAsia="仿宋" w:hAnsi="宋体" w:cs="宋体" w:hint="eastAsia"/>
          <w:color w:val="000000"/>
          <w:kern w:val="0"/>
          <w:sz w:val="32"/>
          <w:szCs w:val="32"/>
          <w:highlight w:val="none"/>
        </w:rPr>
      </w:pPr>
      <w:r>
        <w:rPr>
          <w:rFonts w:ascii="仿宋" w:eastAsia="仿宋" w:hAnsi="宋体" w:cs="宋体" w:hint="eastAsia"/>
          <w:color w:val="000000"/>
          <w:kern w:val="0"/>
          <w:sz w:val="32"/>
          <w:szCs w:val="32"/>
          <w:highlight w:val="none"/>
        </w:rPr>
        <w:t>负责</w:t>
      </w:r>
      <w:r>
        <w:rPr>
          <w:rFonts w:ascii="仿宋" w:eastAsia="仿宋" w:hAnsi="宋体" w:cs="宋体" w:hint="eastAsia"/>
          <w:color w:val="000000"/>
          <w:kern w:val="0"/>
          <w:sz w:val="32"/>
          <w:szCs w:val="32"/>
          <w:highlight w:val="none"/>
          <w:lang w:eastAsia="zh-CN"/>
        </w:rPr>
        <w:t>玉湖</w:t>
      </w:r>
      <w:r>
        <w:rPr>
          <w:rFonts w:ascii="仿宋" w:eastAsia="仿宋" w:hAnsi="宋体" w:cs="宋体" w:hint="eastAsia"/>
          <w:color w:val="000000"/>
          <w:kern w:val="0"/>
          <w:sz w:val="32"/>
          <w:szCs w:val="32"/>
          <w:highlight w:val="none"/>
        </w:rPr>
        <w:t>中心项目办公室的日常管理、组织协调，主要负责项目组织管理等</w:t>
      </w:r>
    </w:p>
    <w:p>
      <w:pPr>
        <w:widowControl/>
        <w:snapToGrid w:val="0"/>
        <w:spacing w:line="360" w:lineRule="auto"/>
        <w:ind w:firstLine="640" w:firstLineChars="200"/>
        <w:jc w:val="left"/>
        <w:rPr>
          <w:rFonts w:ascii="仿宋" w:eastAsia="仿宋" w:hAnsi="宋体" w:cs="宋体" w:hint="eastAsia"/>
          <w:color w:val="000000"/>
          <w:kern w:val="0"/>
          <w:sz w:val="32"/>
          <w:szCs w:val="32"/>
          <w:highlight w:val="none"/>
        </w:rPr>
        <w:sectPr>
          <w:headerReference w:type="default" r:id="rId4"/>
          <w:footerReference w:type="even" r:id="rId5"/>
          <w:footerReference w:type="default" r:id="rId6"/>
          <w:headerReference w:type="first" r:id="rId7"/>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r>
        <w:rPr>
          <w:rFonts w:ascii="仿宋" w:eastAsia="仿宋" w:hAnsi="宋体" w:cs="宋体" w:hint="eastAsia"/>
          <w:color w:val="000000"/>
          <w:kern w:val="0"/>
          <w:sz w:val="32"/>
          <w:szCs w:val="32"/>
          <w:highlight w:val="none"/>
        </w:rPr>
        <w:t>成  员：</w:t>
      </w:r>
    </w:p>
    <w:p>
      <w:pPr>
        <w:widowControl/>
        <w:snapToGrid w:val="0"/>
        <w:spacing w:line="360" w:lineRule="auto"/>
        <w:ind w:firstLine="672" w:firstLineChars="210"/>
        <w:jc w:val="left"/>
        <w:rPr>
          <w:rFonts w:ascii="仿宋" w:eastAsia="仿宋" w:hAnsi="宋体" w:cs="宋体" w:hint="eastAsia"/>
          <w:color w:val="000000"/>
          <w:kern w:val="0"/>
          <w:sz w:val="32"/>
          <w:szCs w:val="32"/>
          <w:highlight w:val="none"/>
        </w:rPr>
      </w:pPr>
      <w:r>
        <w:rPr>
          <w:rFonts w:ascii="仿宋" w:eastAsia="仿宋" w:hAnsi="宋体" w:cs="宋体" w:hint="eastAsia"/>
          <w:color w:val="000000"/>
          <w:kern w:val="0"/>
          <w:sz w:val="32"/>
          <w:szCs w:val="32"/>
          <w:highlight w:val="none"/>
        </w:rPr>
        <w:t>项目办下设各项目工作小组，项目小组负责基本公共卫生服务项目的协调管理，承担具体事务性工作。</w:t>
      </w:r>
    </w:p>
    <w:p>
      <w:pPr>
        <w:widowControl/>
        <w:snapToGrid w:val="0"/>
        <w:spacing w:line="360" w:lineRule="auto"/>
        <w:ind w:firstLine="515" w:firstLineChars="161"/>
        <w:jc w:val="left"/>
        <w:rPr>
          <w:rFonts w:ascii="黑体" w:eastAsia="黑体" w:hAnsi="宋体" w:cs="宋体" w:hint="eastAsia"/>
          <w:color w:val="000000"/>
          <w:kern w:val="0"/>
          <w:sz w:val="32"/>
          <w:szCs w:val="32"/>
          <w:highlight w:val="none"/>
        </w:rPr>
      </w:pPr>
      <w:r>
        <w:rPr>
          <w:rFonts w:ascii="黑体" w:eastAsia="黑体" w:hAnsi="宋体" w:cs="宋体" w:hint="eastAsia"/>
          <w:color w:val="000000"/>
          <w:kern w:val="0"/>
          <w:sz w:val="32"/>
          <w:szCs w:val="32"/>
          <w:highlight w:val="none"/>
        </w:rPr>
        <w:t>（二）基本公共卫生服务项目工作组</w:t>
      </w:r>
    </w:p>
    <w:p>
      <w:pPr>
        <w:widowControl/>
        <w:snapToGrid w:val="0"/>
        <w:spacing w:line="360" w:lineRule="auto"/>
        <w:ind w:firstLine="480" w:firstLineChars="150"/>
        <w:jc w:val="left"/>
        <w:rPr>
          <w:rFonts w:ascii="黑体" w:eastAsia="仿宋" w:hAnsi="宋体" w:cs="宋体" w:hint="eastAsia"/>
          <w:color w:val="000000"/>
          <w:kern w:val="0"/>
          <w:sz w:val="32"/>
          <w:szCs w:val="32"/>
          <w:highlight w:val="none"/>
        </w:rPr>
      </w:pPr>
      <w:r>
        <w:rPr>
          <w:rFonts w:ascii="楷体_GB2312" w:eastAsia="仿宋" w:hAnsi="宋体" w:cs="宋体" w:hint="eastAsia"/>
          <w:color w:val="000000"/>
          <w:kern w:val="0"/>
          <w:sz w:val="32"/>
          <w:szCs w:val="32"/>
          <w:highlight w:val="none"/>
        </w:rPr>
        <w:t>（</w:t>
      </w:r>
      <w:r>
        <w:rPr>
          <w:rFonts w:ascii="黑体" w:eastAsia="仿宋" w:hAnsi="宋体" w:cs="宋体" w:hint="eastAsia"/>
          <w:color w:val="000000"/>
          <w:kern w:val="0"/>
          <w:sz w:val="32"/>
          <w:szCs w:val="32"/>
          <w:highlight w:val="none"/>
        </w:rPr>
        <w:t>注：各项目小组成员均包括各村乡村医生）</w:t>
      </w:r>
    </w:p>
    <w:p>
      <w:pPr>
        <w:widowControl/>
        <w:snapToGrid w:val="0"/>
        <w:spacing w:line="360" w:lineRule="auto"/>
        <w:ind w:firstLine="640" w:firstLineChars="2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1、建立居民健康档案项目管理工作小组</w:t>
      </w:r>
    </w:p>
    <w:p>
      <w:pPr>
        <w:widowControl/>
        <w:snapToGrid w:val="0"/>
        <w:spacing w:line="360" w:lineRule="auto"/>
        <w:ind w:firstLine="320" w:firstLineChars="1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责任人：</w:t>
      </w:r>
    </w:p>
    <w:p>
      <w:pPr>
        <w:widowControl/>
        <w:snapToGrid w:val="0"/>
        <w:spacing w:line="360" w:lineRule="auto"/>
        <w:ind w:firstLine="640" w:firstLineChars="2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2、预防接种项目工作小组</w:t>
      </w:r>
    </w:p>
    <w:p>
      <w:pPr>
        <w:widowControl/>
        <w:snapToGrid w:val="0"/>
        <w:spacing w:line="360" w:lineRule="auto"/>
        <w:ind w:firstLine="1120" w:firstLineChars="35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责任人：</w:t>
      </w:r>
    </w:p>
    <w:p>
      <w:pPr>
        <w:widowControl/>
        <w:snapToGrid w:val="0"/>
        <w:spacing w:line="360" w:lineRule="auto"/>
        <w:ind w:firstLine="624" w:firstLineChars="195"/>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3、健康教育项目工作小组工作小组</w:t>
      </w:r>
    </w:p>
    <w:p>
      <w:pPr>
        <w:widowControl/>
        <w:snapToGrid w:val="0"/>
        <w:spacing w:line="360" w:lineRule="auto"/>
        <w:ind w:firstLine="2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2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4、0-6岁儿童健康管理项目工作小组</w:t>
      </w:r>
    </w:p>
    <w:p>
      <w:pPr>
        <w:widowControl/>
        <w:snapToGrid w:val="0"/>
        <w:spacing w:line="360" w:lineRule="auto"/>
        <w:ind w:firstLine="1120" w:firstLineChars="35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5、孕产妇健康管理项目小组</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6、老年人健康管理项目工作小组</w:t>
      </w:r>
    </w:p>
    <w:p>
      <w:pPr>
        <w:widowControl/>
        <w:snapToGrid w:val="0"/>
        <w:spacing w:line="360" w:lineRule="auto"/>
        <w:ind w:firstLine="1120" w:firstLineChars="35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7、慢性病患者健康管理项目工作小组</w:t>
      </w:r>
    </w:p>
    <w:p>
      <w:pPr>
        <w:widowControl/>
        <w:snapToGrid w:val="0"/>
        <w:spacing w:line="360" w:lineRule="auto"/>
        <w:ind w:firstLine="1120" w:firstLineChars="35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责任人：</w:t>
      </w:r>
    </w:p>
    <w:p>
      <w:pPr>
        <w:widowControl/>
        <w:snapToGrid w:val="0"/>
        <w:spacing w:line="360" w:lineRule="auto"/>
        <w:ind w:firstLine="20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8、严重精神障碍患者管理项目工作小组</w:t>
      </w:r>
    </w:p>
    <w:p>
      <w:pPr>
        <w:widowControl/>
        <w:snapToGrid w:val="0"/>
        <w:spacing w:line="360" w:lineRule="auto"/>
        <w:ind w:firstLine="1120" w:firstLineChars="350"/>
        <w:jc w:val="left"/>
        <w:rPr>
          <w:rFonts w:ascii="仿宋_GB2312" w:eastAsia="仿宋" w:hAnsi="宋体" w:cs="宋体" w:hint="eastAsia"/>
          <w:color w:val="000000"/>
          <w:kern w:val="0"/>
          <w:sz w:val="32"/>
          <w:szCs w:val="32"/>
          <w:highlight w:val="none"/>
        </w:rPr>
      </w:pPr>
      <w:r>
        <w:rPr>
          <w:rFonts w:ascii="仿宋_GB2312" w:eastAsia="仿宋" w:hAnsi="宋体" w:cs="宋体" w:hint="eastAsia"/>
          <w:color w:val="000000"/>
          <w:kern w:val="0"/>
          <w:sz w:val="32"/>
          <w:szCs w:val="32"/>
          <w:highlight w:val="none"/>
        </w:rPr>
        <w:t>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仿宋_GB2312" w:eastAsia="仿宋" w:hAnsi="宋体" w:cs="宋体" w:hint="eastAsia"/>
          <w:color w:val="000000"/>
          <w:kern w:val="0"/>
          <w:sz w:val="32"/>
          <w:szCs w:val="32"/>
          <w:highlight w:val="none"/>
        </w:rPr>
        <w:t>9、肺</w:t>
      </w:r>
      <w:r>
        <w:rPr>
          <w:rFonts w:ascii="黑体" w:eastAsia="仿宋" w:hAnsi="宋体" w:cs="宋体" w:hint="eastAsia"/>
          <w:color w:val="000000"/>
          <w:kern w:val="0"/>
          <w:sz w:val="32"/>
          <w:szCs w:val="32"/>
          <w:highlight w:val="none"/>
        </w:rPr>
        <w:t>结核患者健康管理项目工作小组</w:t>
      </w:r>
    </w:p>
    <w:p>
      <w:pPr>
        <w:widowControl/>
        <w:snapToGrid w:val="0"/>
        <w:spacing w:line="360" w:lineRule="auto"/>
        <w:ind w:firstLine="640"/>
        <w:jc w:val="left"/>
        <w:rPr>
          <w:rFonts w:ascii="黑体" w:eastAsia="仿宋" w:hAnsi="宋体" w:cs="宋体" w:hint="eastAsia"/>
          <w:color w:val="000000"/>
          <w:kern w:val="0"/>
          <w:sz w:val="32"/>
          <w:szCs w:val="32"/>
          <w:highlight w:val="none"/>
        </w:rPr>
        <w:sectPr>
          <w:headerReference w:type="default" r:id="rId8"/>
          <w:footerReference w:type="even" r:id="rId9"/>
          <w:footerReference w:type="default" r:id="rId10"/>
          <w:headerReference w:type="first" r:id="rId11"/>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type="lines" w:linePitch="312"/>
        </w:sect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仿宋_GB2312" w:eastAsia="仿宋" w:hAnsi="宋体" w:cs="宋体" w:hint="eastAsia"/>
          <w:color w:val="000000"/>
          <w:kern w:val="0"/>
          <w:sz w:val="32"/>
          <w:szCs w:val="32"/>
          <w:highlight w:val="none"/>
        </w:rPr>
        <w:t>10、</w:t>
      </w:r>
      <w:r>
        <w:rPr>
          <w:rFonts w:ascii="黑体" w:eastAsia="仿宋" w:hAnsi="宋体" w:cs="宋体" w:hint="eastAsia"/>
          <w:color w:val="000000"/>
          <w:kern w:val="0"/>
          <w:sz w:val="32"/>
          <w:szCs w:val="32"/>
          <w:highlight w:val="none"/>
        </w:rPr>
        <w:t>中医药健康管理项目工作小组</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仿宋_GB2312" w:eastAsia="仿宋" w:hAnsi="宋体" w:cs="宋体" w:hint="eastAsia"/>
          <w:color w:val="000000"/>
          <w:kern w:val="0"/>
          <w:sz w:val="32"/>
          <w:szCs w:val="32"/>
          <w:highlight w:val="none"/>
        </w:rPr>
        <w:t>11、</w:t>
      </w:r>
      <w:r>
        <w:rPr>
          <w:rFonts w:ascii="黑体" w:eastAsia="仿宋" w:hAnsi="宋体" w:cs="宋体" w:hint="eastAsia"/>
          <w:color w:val="000000"/>
          <w:kern w:val="0"/>
          <w:sz w:val="32"/>
          <w:szCs w:val="32"/>
          <w:highlight w:val="none"/>
        </w:rPr>
        <w:t>传染病及突发公共卫生事件报告和处理项目工作小组</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仿宋_GB2312" w:eastAsia="仿宋" w:hAnsi="宋体" w:cs="宋体" w:hint="eastAsia"/>
          <w:color w:val="000000"/>
          <w:kern w:val="0"/>
          <w:sz w:val="32"/>
          <w:szCs w:val="32"/>
          <w:highlight w:val="none"/>
        </w:rPr>
        <w:t>12、</w:t>
      </w:r>
      <w:r>
        <w:rPr>
          <w:rFonts w:ascii="黑体" w:eastAsia="仿宋" w:hAnsi="宋体" w:cs="宋体" w:hint="eastAsia"/>
          <w:color w:val="000000"/>
          <w:kern w:val="0"/>
          <w:sz w:val="32"/>
          <w:szCs w:val="32"/>
          <w:highlight w:val="none"/>
        </w:rPr>
        <w:t>卫生计生监督协管项目工作小组</w:t>
      </w:r>
    </w:p>
    <w:p>
      <w:pPr>
        <w:widowControl/>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numPr>
          <w:ilvl w:val="0"/>
          <w:numId w:val="1"/>
        </w:numPr>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免费提供避孕药具项目工作小组</w:t>
      </w:r>
    </w:p>
    <w:p>
      <w:pPr>
        <w:widowControl/>
        <w:snapToGrid w:val="0"/>
        <w:spacing w:line="360" w:lineRule="auto"/>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numPr>
          <w:ilvl w:val="0"/>
          <w:numId w:val="1"/>
        </w:numPr>
        <w:snapToGrid w:val="0"/>
        <w:spacing w:line="360" w:lineRule="auto"/>
        <w:ind w:firstLine="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健康素养促进行动项目工作小组</w:t>
      </w:r>
    </w:p>
    <w:p>
      <w:pPr>
        <w:widowControl/>
        <w:snapToGrid w:val="0"/>
        <w:spacing w:line="360" w:lineRule="auto"/>
        <w:ind w:left="640"/>
        <w:jc w:val="left"/>
        <w:rPr>
          <w:rFonts w:ascii="黑体" w:eastAsia="仿宋" w:hAnsi="宋体" w:cs="宋体" w:hint="eastAsia"/>
          <w:color w:val="000000"/>
          <w:kern w:val="0"/>
          <w:sz w:val="32"/>
          <w:szCs w:val="32"/>
          <w:highlight w:val="none"/>
        </w:rPr>
      </w:pPr>
      <w:r>
        <w:rPr>
          <w:rFonts w:ascii="黑体" w:eastAsia="仿宋" w:hAnsi="宋体" w:cs="宋体" w:hint="eastAsia"/>
          <w:color w:val="000000"/>
          <w:kern w:val="0"/>
          <w:sz w:val="32"/>
          <w:szCs w:val="32"/>
          <w:highlight w:val="none"/>
        </w:rPr>
        <w:t xml:space="preserve">    责任人：</w:t>
      </w:r>
    </w:p>
    <w:p>
      <w:pPr>
        <w:widowControl/>
        <w:snapToGrid w:val="0"/>
        <w:spacing w:line="360" w:lineRule="auto"/>
        <w:ind w:firstLine="637" w:firstLineChars="199"/>
        <w:jc w:val="left"/>
        <w:rPr>
          <w:rFonts w:ascii="黑体" w:eastAsia="黑体" w:hAnsi="仿宋" w:cs="仿宋_GB2312"/>
          <w:b/>
          <w:color w:val="000000"/>
          <w:sz w:val="32"/>
          <w:szCs w:val="32"/>
          <w:highlight w:val="none"/>
        </w:rPr>
      </w:pPr>
      <w:r>
        <w:rPr>
          <w:rFonts w:ascii="黑体" w:eastAsia="黑体" w:hAnsi="仿宋" w:cs="仿宋_GB2312" w:hint="eastAsia"/>
          <w:b/>
          <w:color w:val="000000"/>
          <w:sz w:val="32"/>
          <w:szCs w:val="32"/>
          <w:highlight w:val="none"/>
        </w:rPr>
        <w:t>二、主要任务</w:t>
      </w:r>
    </w:p>
    <w:p>
      <w:pPr>
        <w:widowControl/>
        <w:snapToGrid w:val="0"/>
        <w:spacing w:line="360" w:lineRule="auto"/>
        <w:ind w:firstLine="637" w:firstLineChars="199"/>
        <w:jc w:val="left"/>
        <w:rPr>
          <w:rFonts w:ascii="仿宋" w:eastAsia="仿宋" w:hAnsi="仿宋" w:cs="仿宋_GB2312"/>
          <w:b/>
          <w:color w:val="000000"/>
          <w:sz w:val="32"/>
          <w:szCs w:val="32"/>
          <w:highlight w:val="none"/>
        </w:rPr>
      </w:pPr>
      <w:r>
        <w:rPr>
          <w:rFonts w:ascii="仿宋" w:eastAsia="仿宋" w:hAnsi="仿宋" w:cs="仿宋_GB2312" w:hint="eastAsia"/>
          <w:b/>
          <w:color w:val="000000"/>
          <w:sz w:val="32"/>
          <w:szCs w:val="32"/>
          <w:highlight w:val="none"/>
        </w:rPr>
        <w:t xml:space="preserve">1.建立居民健康档案  </w:t>
      </w:r>
    </w:p>
    <w:p>
      <w:pPr>
        <w:widowControl/>
        <w:snapToGrid w:val="0"/>
        <w:spacing w:line="360" w:lineRule="auto"/>
        <w:ind w:firstLine="640" w:firstLineChars="200"/>
        <w:jc w:val="left"/>
        <w:rPr>
          <w:rFonts w:ascii="仿宋_GB2312" w:eastAsia="仿宋_GB2312"/>
          <w:color w:val="000000"/>
          <w:sz w:val="32"/>
          <w:szCs w:val="32"/>
          <w:highlight w:val="none"/>
        </w:rPr>
        <w:sectPr>
          <w:headerReference w:type="default" r:id="rId12"/>
          <w:footerReference w:type="even" r:id="rId13"/>
          <w:footerReference w:type="default" r:id="rId14"/>
          <w:headerReference w:type="first" r:id="rId15"/>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type="lines" w:linePitch="312"/>
        </w:sectPr>
      </w:pPr>
      <w:r>
        <w:rPr>
          <w:rFonts w:ascii="仿宋_GB2312" w:eastAsia="仿宋_GB2312" w:hint="eastAsia"/>
          <w:color w:val="000000"/>
          <w:sz w:val="32"/>
          <w:szCs w:val="32"/>
          <w:highlight w:val="none"/>
        </w:rPr>
        <w:t>以妇女、儿童、老年人、残疾人、慢性病人等人群为重点，在自愿基础上，为辖区常住人口建立统一、规范的居民健康档案。健康档案主要信息包括居民基本信息、主要健康问题及卫生服务记录等。健康档案要及时更新，并全部录入电脑。</w:t>
      </w:r>
      <w:r>
        <w:rPr>
          <w:rFonts w:eastAsia="仿宋_GB2312"/>
          <w:color w:val="000000"/>
          <w:sz w:val="32"/>
          <w:szCs w:val="32"/>
          <w:highlight w:val="none"/>
        </w:rPr>
        <w:t>对现有居民健康档案进行</w:t>
      </w:r>
      <w:r>
        <w:rPr>
          <w:rFonts w:eastAsia="仿宋_GB2312" w:hint="eastAsia"/>
          <w:color w:val="000000"/>
          <w:sz w:val="32"/>
          <w:szCs w:val="32"/>
          <w:highlight w:val="none"/>
        </w:rPr>
        <w:t>更新完善，</w:t>
      </w:r>
      <w:r>
        <w:rPr>
          <w:rFonts w:eastAsia="仿宋_GB2312"/>
          <w:color w:val="000000"/>
          <w:sz w:val="32"/>
          <w:szCs w:val="32"/>
          <w:highlight w:val="none"/>
        </w:rPr>
        <w:t>居民健康档案规范化电子建档率达</w:t>
      </w:r>
      <w:r>
        <w:rPr>
          <w:rFonts w:eastAsia="仿宋_GB2312" w:hint="eastAsia"/>
          <w:color w:val="000000"/>
          <w:sz w:val="32"/>
          <w:szCs w:val="32"/>
          <w:highlight w:val="none"/>
          <w:lang w:val="en-US" w:eastAsia="zh-CN"/>
        </w:rPr>
        <w:t>90</w:t>
      </w:r>
      <w:r>
        <w:rPr>
          <w:rFonts w:eastAsia="仿宋_GB2312"/>
          <w:color w:val="000000"/>
          <w:sz w:val="32"/>
          <w:szCs w:val="32"/>
          <w:highlight w:val="none"/>
        </w:rPr>
        <w:t>%以上</w:t>
      </w:r>
      <w:r>
        <w:rPr>
          <w:rFonts w:eastAsia="仿宋_GB2312" w:hint="eastAsia"/>
          <w:color w:val="000000"/>
          <w:sz w:val="32"/>
          <w:szCs w:val="32"/>
          <w:highlight w:val="none"/>
        </w:rPr>
        <w:t>，年度新建档案合格率达到95％</w:t>
      </w:r>
      <w:r>
        <w:rPr>
          <w:rFonts w:eastAsia="仿宋_GB2312"/>
          <w:color w:val="000000"/>
          <w:sz w:val="32"/>
          <w:szCs w:val="32"/>
          <w:highlight w:val="none"/>
        </w:rPr>
        <w:t>以上。</w:t>
      </w:r>
      <w:r>
        <w:rPr>
          <w:rFonts w:eastAsia="仿宋_GB2312" w:hint="eastAsia"/>
          <w:color w:val="000000"/>
          <w:kern w:val="0"/>
          <w:sz w:val="32"/>
          <w:szCs w:val="32"/>
          <w:highlight w:val="none"/>
        </w:rPr>
        <w:t>推进居民健康档案的务实应用。</w:t>
      </w:r>
      <w:r>
        <w:rPr>
          <w:rFonts w:eastAsia="仿宋_GB2312"/>
          <w:color w:val="000000"/>
          <w:sz w:val="32"/>
          <w:szCs w:val="32"/>
          <w:highlight w:val="none"/>
        </w:rPr>
        <w:t>加快</w:t>
      </w:r>
      <w:r>
        <w:rPr>
          <w:rFonts w:eastAsia="仿宋_GB2312"/>
          <w:color w:val="000000"/>
          <w:kern w:val="0"/>
          <w:sz w:val="32"/>
          <w:szCs w:val="32"/>
          <w:highlight w:val="none"/>
        </w:rPr>
        <w:t>推进居民健康档案信息公开，年内</w:t>
      </w:r>
      <w:r>
        <w:rPr>
          <w:rFonts w:eastAsia="仿宋_GB2312" w:hint="eastAsia"/>
          <w:color w:val="000000"/>
          <w:kern w:val="0"/>
          <w:sz w:val="32"/>
          <w:szCs w:val="32"/>
          <w:highlight w:val="none"/>
        </w:rPr>
        <w:t>常住人口</w:t>
      </w:r>
      <w:r>
        <w:rPr>
          <w:rFonts w:eastAsia="仿宋_GB2312"/>
          <w:color w:val="000000"/>
          <w:kern w:val="0"/>
          <w:sz w:val="32"/>
          <w:szCs w:val="32"/>
          <w:highlight w:val="none"/>
        </w:rPr>
        <w:t>居民健康</w:t>
      </w:r>
      <w:r>
        <w:rPr>
          <w:rFonts w:eastAsia="仿宋_GB2312" w:hint="eastAsia"/>
          <w:color w:val="000000"/>
          <w:kern w:val="0"/>
          <w:sz w:val="32"/>
          <w:szCs w:val="32"/>
          <w:highlight w:val="none"/>
        </w:rPr>
        <w:t>档案信息公开达到5</w:t>
      </w:r>
      <w:r>
        <w:rPr>
          <w:rFonts w:eastAsia="仿宋_GB2312" w:hint="eastAsia"/>
          <w:color w:val="000000"/>
          <w:kern w:val="0"/>
          <w:sz w:val="32"/>
          <w:szCs w:val="32"/>
          <w:highlight w:val="none"/>
          <w:lang w:val="en-US" w:eastAsia="zh-CN"/>
        </w:rPr>
        <w:t>8</w:t>
      </w:r>
      <w:r>
        <w:rPr>
          <w:rFonts w:eastAsia="仿宋_GB2312" w:hint="eastAsia"/>
          <w:color w:val="000000"/>
          <w:kern w:val="0"/>
          <w:sz w:val="32"/>
          <w:szCs w:val="32"/>
          <w:highlight w:val="none"/>
        </w:rPr>
        <w:t>％。</w:t>
      </w:r>
    </w:p>
    <w:p>
      <w:pPr>
        <w:widowControl/>
        <w:snapToGrid w:val="0"/>
        <w:spacing w:line="360" w:lineRule="auto"/>
        <w:ind w:firstLine="637" w:firstLineChars="199"/>
        <w:jc w:val="left"/>
        <w:rPr>
          <w:rFonts w:ascii="仿宋" w:eastAsia="仿宋" w:hAnsi="仿宋" w:cs="仿宋_GB2312"/>
          <w:b/>
          <w:color w:val="000000"/>
          <w:sz w:val="32"/>
          <w:szCs w:val="32"/>
          <w:highlight w:val="none"/>
        </w:rPr>
      </w:pPr>
      <w:r>
        <w:rPr>
          <w:rFonts w:ascii="仿宋" w:eastAsia="仿宋" w:hAnsi="仿宋" w:cs="仿宋_GB2312" w:hint="eastAsia"/>
          <w:b/>
          <w:color w:val="000000"/>
          <w:sz w:val="32"/>
          <w:szCs w:val="32"/>
          <w:highlight w:val="none"/>
        </w:rPr>
        <w:t>2.健康教育</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针对健康素养基本知识和技能、优生优育及辖区重点健康问题等内容，向居民提供健康教育宣传信息和健康教育咨询服务，设置健康教育宣传栏并定期更新内容，开展健康知识讲座等健康教育活动。</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每年向辖区居民发放健康教育材料，我中心不少于12种；播放健康教育音像材料不少于10种，组织面向公众健康教育咨询活动不少于24次，设置永久性健康教育宣传栏不少于13个，每个面积不少于2平方米，重点人群健康教育讲座每季度不少于1次，购置并使用DVD、电视机、照相机，并保证设备完好，使用正常。</w:t>
      </w:r>
    </w:p>
    <w:p>
      <w:pPr>
        <w:widowControl/>
        <w:snapToGrid w:val="0"/>
        <w:spacing w:line="360" w:lineRule="auto"/>
        <w:ind w:firstLine="320" w:firstLineChars="100"/>
        <w:jc w:val="left"/>
        <w:rPr>
          <w:rFonts w:ascii="仿宋" w:eastAsia="仿宋" w:hAnsi="仿宋" w:cs="仿宋_GB2312"/>
          <w:b/>
          <w:color w:val="000000"/>
          <w:sz w:val="32"/>
          <w:szCs w:val="32"/>
          <w:highlight w:val="none"/>
        </w:rPr>
      </w:pPr>
      <w:r>
        <w:rPr>
          <w:rFonts w:ascii="仿宋" w:eastAsia="仿宋" w:hAnsi="仿宋" w:cs="仿宋_GB2312" w:hint="eastAsia"/>
          <w:color w:val="000000"/>
          <w:sz w:val="32"/>
          <w:szCs w:val="32"/>
          <w:highlight w:val="none"/>
        </w:rPr>
        <w:t xml:space="preserve">  </w:t>
      </w:r>
      <w:r>
        <w:rPr>
          <w:rFonts w:ascii="仿宋" w:eastAsia="仿宋" w:hAnsi="仿宋" w:cs="仿宋_GB2312" w:hint="eastAsia"/>
          <w:b/>
          <w:color w:val="000000"/>
          <w:sz w:val="32"/>
          <w:szCs w:val="32"/>
          <w:highlight w:val="none"/>
        </w:rPr>
        <w:t>3.预防接种</w:t>
      </w:r>
    </w:p>
    <w:p>
      <w:pPr>
        <w:widowControl/>
        <w:snapToGrid w:val="0"/>
        <w:spacing w:line="360" w:lineRule="auto"/>
        <w:ind w:firstLine="640" w:firstLineChars="200"/>
        <w:jc w:val="left"/>
        <w:rPr>
          <w:rFonts w:ascii="仿宋_GB2312" w:eastAsia="仿宋_GB2312" w:hint="eastAsia"/>
          <w:color w:val="000000"/>
          <w:sz w:val="32"/>
          <w:szCs w:val="32"/>
          <w:highlight w:val="none"/>
        </w:rPr>
      </w:pPr>
      <w:r>
        <w:rPr>
          <w:rFonts w:eastAsia="仿宋_GB2312"/>
          <w:color w:val="000000"/>
          <w:sz w:val="32"/>
          <w:szCs w:val="32"/>
          <w:highlight w:val="none"/>
        </w:rPr>
        <w:t>开展适龄儿童免费接种第一类疫苗、儿童免疫规划疫苗接种率保持95%以上；疑似预防接种异常反应规范处置率100%。</w:t>
      </w:r>
    </w:p>
    <w:p>
      <w:pPr>
        <w:widowControl/>
        <w:snapToGrid w:val="0"/>
        <w:spacing w:line="360" w:lineRule="auto"/>
        <w:ind w:firstLine="640" w:firstLineChars="2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4.传染病及突发公共卫生事件报告和处理</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做好死亡病例登记与报告，保证完成目标任务数。按要求设置传染病诊室。</w:t>
      </w:r>
      <w:r>
        <w:rPr>
          <w:rFonts w:eastAsia="仿宋_GB2312"/>
          <w:color w:val="000000"/>
          <w:sz w:val="32"/>
          <w:szCs w:val="32"/>
          <w:highlight w:val="none"/>
        </w:rPr>
        <w:t>强化传染病疫情和突发公共卫生事件的风险管理、信息报告和规范处置，传染病和突发公共卫生事件报告率、及时率和规范处置率达100%，</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sectPr>
          <w:headerReference w:type="default" r:id="rId16"/>
          <w:footerReference w:type="even" r:id="rId17"/>
          <w:footerReference w:type="default" r:id="rId18"/>
          <w:headerReference w:type="first" r:id="rId19"/>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type="lines" w:linePitch="312"/>
        </w:sectPr>
      </w:pPr>
      <w:r>
        <w:rPr>
          <w:rFonts w:ascii="仿宋" w:eastAsia="仿宋" w:hAnsi="仿宋" w:cs="仿宋_GB2312" w:hint="eastAsia"/>
          <w:b/>
          <w:color w:val="000000"/>
          <w:sz w:val="32"/>
          <w:szCs w:val="32"/>
          <w:highlight w:val="none"/>
        </w:rPr>
        <w:t>5.0-6岁儿童健康管理</w:t>
      </w:r>
    </w:p>
    <w:p>
      <w:pPr>
        <w:widowControl/>
        <w:snapToGrid w:val="0"/>
        <w:spacing w:line="360" w:lineRule="auto"/>
        <w:ind w:firstLine="640" w:firstLineChars="200"/>
        <w:jc w:val="left"/>
        <w:rPr>
          <w:rFonts w:eastAsia="仿宋_GB2312"/>
          <w:color w:val="000000"/>
          <w:sz w:val="32"/>
          <w:szCs w:val="32"/>
          <w:highlight w:val="none"/>
        </w:rPr>
      </w:pPr>
      <w:r>
        <w:rPr>
          <w:rFonts w:eastAsia="仿宋_GB2312"/>
          <w:color w:val="000000"/>
          <w:sz w:val="32"/>
          <w:szCs w:val="32"/>
          <w:highlight w:val="none"/>
        </w:rPr>
        <w:t>为0-6岁儿童建立保健手册，开展规范的儿童保健服务。新生儿访视率≥</w:t>
      </w:r>
      <w:r>
        <w:rPr>
          <w:rFonts w:eastAsia="仿宋_GB2312" w:hint="eastAsia"/>
          <w:color w:val="000000"/>
          <w:sz w:val="32"/>
          <w:szCs w:val="32"/>
          <w:highlight w:val="none"/>
        </w:rPr>
        <w:t>90</w:t>
      </w:r>
      <w:r>
        <w:rPr>
          <w:rFonts w:eastAsia="仿宋_GB2312"/>
          <w:color w:val="000000"/>
          <w:sz w:val="32"/>
          <w:szCs w:val="32"/>
          <w:highlight w:val="none"/>
        </w:rPr>
        <w:t>%，儿童健康管理率≥9</w:t>
      </w:r>
      <w:r>
        <w:rPr>
          <w:rFonts w:eastAsia="仿宋_GB2312" w:hint="eastAsia"/>
          <w:color w:val="000000"/>
          <w:sz w:val="32"/>
          <w:szCs w:val="32"/>
          <w:highlight w:val="none"/>
        </w:rPr>
        <w:t>0</w:t>
      </w:r>
      <w:r>
        <w:rPr>
          <w:rFonts w:eastAsia="仿宋_GB2312"/>
          <w:color w:val="000000"/>
          <w:sz w:val="32"/>
          <w:szCs w:val="32"/>
          <w:highlight w:val="none"/>
        </w:rPr>
        <w:t>%，系统管理率≥</w:t>
      </w:r>
      <w:r>
        <w:rPr>
          <w:rFonts w:eastAsia="仿宋_GB2312" w:hint="eastAsia"/>
          <w:color w:val="000000"/>
          <w:sz w:val="32"/>
          <w:szCs w:val="32"/>
          <w:highlight w:val="none"/>
        </w:rPr>
        <w:t>85</w:t>
      </w:r>
      <w:r>
        <w:rPr>
          <w:rFonts w:eastAsia="仿宋_GB2312"/>
          <w:color w:val="000000"/>
          <w:sz w:val="32"/>
          <w:szCs w:val="32"/>
          <w:highlight w:val="none"/>
        </w:rPr>
        <w:t>%。</w:t>
      </w:r>
    </w:p>
    <w:p>
      <w:pPr>
        <w:widowControl/>
        <w:snapToGrid w:val="0"/>
        <w:spacing w:line="360" w:lineRule="auto"/>
        <w:ind w:firstLine="640" w:firstLineChars="200"/>
        <w:jc w:val="left"/>
        <w:rPr>
          <w:rFonts w:ascii="仿宋" w:eastAsia="仿宋" w:hAnsi="仿宋" w:cs="仿宋_GB2312" w:hint="eastAsia"/>
          <w:b/>
          <w:color w:val="000000"/>
          <w:sz w:val="32"/>
          <w:szCs w:val="32"/>
          <w:highlight w:val="none"/>
        </w:rPr>
      </w:pPr>
      <w:r>
        <w:rPr>
          <w:rFonts w:eastAsia="仿宋_GB2312" w:hint="eastAsia"/>
          <w:color w:val="000000"/>
          <w:sz w:val="32"/>
          <w:szCs w:val="32"/>
          <w:highlight w:val="none"/>
        </w:rPr>
        <w:t xml:space="preserve">  6.</w:t>
      </w:r>
      <w:r>
        <w:rPr>
          <w:rFonts w:ascii="仿宋" w:eastAsia="仿宋" w:hAnsi="仿宋" w:cs="仿宋_GB2312" w:hint="eastAsia"/>
          <w:b/>
          <w:color w:val="000000"/>
          <w:sz w:val="32"/>
          <w:szCs w:val="32"/>
          <w:highlight w:val="none"/>
        </w:rPr>
        <w:t>孕产妇健康管理</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早发现孕妇，为孕产妇建立保健手册，早孕建册建档率</w:t>
      </w:r>
      <w:r>
        <w:rPr>
          <w:rFonts w:ascii="仿宋_GB2312" w:eastAsia="仿宋_GB2312" w:hint="eastAsia"/>
          <w:color w:val="000000"/>
          <w:sz w:val="32"/>
          <w:szCs w:val="32"/>
          <w:highlight w:val="none"/>
        </w:rPr>
        <w:t>≥</w:t>
      </w:r>
      <w:r>
        <w:rPr>
          <w:rFonts w:ascii="仿宋_GB2312" w:eastAsia="仿宋_GB2312" w:hint="eastAsia"/>
          <w:color w:val="000000"/>
          <w:sz w:val="32"/>
          <w:szCs w:val="32"/>
          <w:highlight w:val="none"/>
        </w:rPr>
        <w:t>85%，开展至少5次孕产妇保健服务和2次产后访视。主要内容包括一般体格检查、产前检查及孕期营养、心理等健康指导，了解产后恢复情况并对产后常见问题进行指导。孕产妇系统管理率</w:t>
      </w:r>
      <w:r>
        <w:rPr>
          <w:rFonts w:ascii="仿宋_GB2312" w:eastAsia="仿宋_GB2312" w:hint="eastAsia"/>
          <w:color w:val="000000"/>
          <w:sz w:val="32"/>
          <w:szCs w:val="32"/>
          <w:highlight w:val="none"/>
        </w:rPr>
        <w:t>≥</w:t>
      </w:r>
      <w:r>
        <w:rPr>
          <w:rFonts w:ascii="仿宋_GB2312" w:eastAsia="仿宋_GB2312" w:hint="eastAsia"/>
          <w:color w:val="000000"/>
          <w:sz w:val="32"/>
          <w:szCs w:val="32"/>
          <w:highlight w:val="none"/>
        </w:rPr>
        <w:t>90%。</w:t>
      </w:r>
      <w:r>
        <w:rPr>
          <w:rFonts w:eastAsia="仿宋_GB2312"/>
          <w:color w:val="000000"/>
          <w:sz w:val="32"/>
          <w:szCs w:val="32"/>
          <w:highlight w:val="none"/>
        </w:rPr>
        <w:t>孕产妇产后访视率≥</w:t>
      </w:r>
      <w:r>
        <w:rPr>
          <w:rFonts w:eastAsia="仿宋_GB2312" w:hint="eastAsia"/>
          <w:color w:val="000000"/>
          <w:sz w:val="32"/>
          <w:szCs w:val="32"/>
          <w:highlight w:val="none"/>
        </w:rPr>
        <w:t>85</w:t>
      </w:r>
      <w:r>
        <w:rPr>
          <w:rFonts w:eastAsia="仿宋_GB2312"/>
          <w:color w:val="000000"/>
          <w:sz w:val="32"/>
          <w:szCs w:val="32"/>
          <w:highlight w:val="none"/>
        </w:rPr>
        <w:t>%，产后42天检查率≥</w:t>
      </w:r>
      <w:r>
        <w:rPr>
          <w:rFonts w:eastAsia="仿宋_GB2312" w:hint="eastAsia"/>
          <w:color w:val="000000"/>
          <w:sz w:val="32"/>
          <w:szCs w:val="32"/>
          <w:highlight w:val="none"/>
        </w:rPr>
        <w:t>85</w:t>
      </w:r>
      <w:r>
        <w:rPr>
          <w:rFonts w:eastAsia="仿宋_GB2312"/>
          <w:color w:val="000000"/>
          <w:sz w:val="32"/>
          <w:szCs w:val="32"/>
          <w:highlight w:val="none"/>
        </w:rPr>
        <w:t>%。</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7.老年人健康管理</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对辖区65岁及以上老年人进行登记管理，进行健康危险因素调查和一般体格检查，提供疾病预防、自我保健及伤害预防、自救等健康指导。</w:t>
      </w:r>
      <w:r>
        <w:rPr>
          <w:rFonts w:eastAsia="仿宋_GB2312"/>
          <w:color w:val="000000"/>
          <w:spacing w:val="-6"/>
          <w:sz w:val="32"/>
          <w:szCs w:val="32"/>
          <w:highlight w:val="none"/>
        </w:rPr>
        <w:t>65岁以上老年人健康管</w:t>
      </w:r>
      <w:r>
        <w:rPr>
          <w:rFonts w:ascii="仿宋_GB2312" w:eastAsia="仿宋_GB2312"/>
          <w:color w:val="000000"/>
          <w:sz w:val="32"/>
          <w:szCs w:val="32"/>
          <w:highlight w:val="none"/>
        </w:rPr>
        <w:t>理率达</w:t>
      </w:r>
      <w:r>
        <w:rPr>
          <w:rFonts w:ascii="仿宋_GB2312" w:eastAsia="仿宋_GB2312" w:hint="eastAsia"/>
          <w:color w:val="000000"/>
          <w:sz w:val="32"/>
          <w:szCs w:val="32"/>
          <w:highlight w:val="none"/>
        </w:rPr>
        <w:t>75</w:t>
      </w:r>
      <w:r>
        <w:rPr>
          <w:rFonts w:ascii="仿宋_GB2312" w:eastAsia="仿宋_GB2312"/>
          <w:color w:val="000000"/>
          <w:sz w:val="32"/>
          <w:szCs w:val="32"/>
          <w:highlight w:val="none"/>
        </w:rPr>
        <w:t>%以上</w:t>
      </w:r>
      <w:r>
        <w:rPr>
          <w:rFonts w:ascii="仿宋_GB2312" w:eastAsia="仿宋_GB2312" w:hint="eastAsia"/>
          <w:color w:val="000000"/>
          <w:sz w:val="32"/>
          <w:szCs w:val="32"/>
          <w:highlight w:val="none"/>
        </w:rPr>
        <w:t>，规范管理率达到95％以上</w:t>
      </w:r>
      <w:r>
        <w:rPr>
          <w:rFonts w:ascii="仿宋_GB2312" w:eastAsia="仿宋_GB2312"/>
          <w:color w:val="000000"/>
          <w:sz w:val="32"/>
          <w:szCs w:val="32"/>
          <w:highlight w:val="none"/>
        </w:rPr>
        <w:t>。</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8.慢性病患者健康管理</w:t>
      </w:r>
    </w:p>
    <w:p>
      <w:pPr>
        <w:widowControl/>
        <w:snapToGrid w:val="0"/>
        <w:spacing w:line="360" w:lineRule="auto"/>
        <w:ind w:firstLine="640" w:firstLineChars="200"/>
        <w:jc w:val="left"/>
        <w:rPr>
          <w:rFonts w:eastAsia="仿宋_GB2312"/>
          <w:color w:val="000000"/>
          <w:sz w:val="32"/>
          <w:szCs w:val="32"/>
          <w:highlight w:val="none"/>
        </w:rPr>
        <w:sectPr>
          <w:headerReference w:type="default" r:id="rId20"/>
          <w:footerReference w:type="even" r:id="rId21"/>
          <w:footerReference w:type="default" r:id="rId22"/>
          <w:headerReference w:type="first" r:id="rId23"/>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type="lines" w:linePitch="312"/>
        </w:sectPr>
      </w:pPr>
      <w:r>
        <w:rPr>
          <w:rFonts w:ascii="仿宋_GB2312" w:eastAsia="仿宋_GB2312" w:hint="eastAsia"/>
          <w:color w:val="000000"/>
          <w:sz w:val="32"/>
          <w:szCs w:val="32"/>
          <w:highlight w:val="none"/>
        </w:rPr>
        <w:t>对高血压、糖尿病等慢性病高危人群进行指导干预。对35岁以上人群实行门诊首诊测血压。对确诊高血压和糖尿病患者进行登记管理，定期进行随访，每次随访要询问病情、进行体格检查及用药、饮食、运动、心理等健康指导，并做好相关记录。</w:t>
      </w:r>
      <w:r>
        <w:rPr>
          <w:rFonts w:eastAsia="仿宋_GB2312" w:hint="eastAsia"/>
          <w:color w:val="000000"/>
          <w:sz w:val="32"/>
          <w:szCs w:val="32"/>
          <w:highlight w:val="none"/>
        </w:rPr>
        <w:t>高血压和</w:t>
      </w:r>
      <w:r>
        <w:rPr>
          <w:rFonts w:eastAsia="仿宋_GB2312" w:hint="eastAsia"/>
          <w:color w:val="000000"/>
          <w:sz w:val="32"/>
          <w:szCs w:val="32"/>
          <w:highlight w:val="none"/>
        </w:rPr>
        <w:t>Ⅱ</w:t>
      </w:r>
      <w:r>
        <w:rPr>
          <w:rFonts w:eastAsia="仿宋_GB2312" w:hint="eastAsia"/>
          <w:color w:val="000000"/>
          <w:sz w:val="32"/>
          <w:szCs w:val="32"/>
          <w:highlight w:val="none"/>
        </w:rPr>
        <w:t>型糖尿病患者管理率按照省标达40%和35％以上，规范管理率达到</w:t>
      </w:r>
      <w:r>
        <w:rPr>
          <w:rFonts w:eastAsia="仿宋_GB2312" w:hint="eastAsia"/>
          <w:color w:val="000000"/>
          <w:sz w:val="32"/>
          <w:szCs w:val="32"/>
          <w:highlight w:val="none"/>
          <w:lang w:val="en-US" w:eastAsia="zh-CN"/>
        </w:rPr>
        <w:t>65</w:t>
      </w:r>
      <w:r>
        <w:rPr>
          <w:rFonts w:eastAsia="仿宋_GB2312" w:hint="eastAsia"/>
          <w:color w:val="000000"/>
          <w:sz w:val="32"/>
          <w:szCs w:val="32"/>
          <w:highlight w:val="none"/>
        </w:rPr>
        <w:t>％</w:t>
      </w:r>
      <w:r>
        <w:rPr>
          <w:rFonts w:eastAsia="仿宋_GB2312" w:hint="eastAsia"/>
          <w:color w:val="000000"/>
          <w:sz w:val="32"/>
          <w:szCs w:val="32"/>
          <w:highlight w:val="none"/>
        </w:rPr>
        <w:t>以上。</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9.严重精神障碍患者管理</w:t>
      </w:r>
    </w:p>
    <w:p>
      <w:pPr>
        <w:widowControl/>
        <w:snapToGrid w:val="0"/>
        <w:spacing w:line="360" w:lineRule="auto"/>
        <w:ind w:firstLine="640" w:firstLineChars="200"/>
        <w:jc w:val="left"/>
        <w:rPr>
          <w:rFonts w:eastAsia="仿宋_GB2312"/>
          <w:color w:val="000000"/>
          <w:sz w:val="32"/>
          <w:szCs w:val="32"/>
          <w:highlight w:val="none"/>
        </w:rPr>
      </w:pPr>
      <w:r>
        <w:rPr>
          <w:rFonts w:ascii="仿宋_GB2312" w:eastAsia="仿宋_GB2312" w:hint="eastAsia"/>
          <w:color w:val="000000"/>
          <w:sz w:val="32"/>
          <w:szCs w:val="32"/>
          <w:highlight w:val="none"/>
        </w:rPr>
        <w:t>对辖区重性精神疾病患者进行登记管理；在专业机构指导下对在家居住的重性精神疾病患者进行治疗随访和康复指导，并做好相关记录。要求</w:t>
      </w:r>
      <w:r>
        <w:rPr>
          <w:rFonts w:eastAsia="仿宋_GB2312"/>
          <w:color w:val="000000"/>
          <w:sz w:val="32"/>
          <w:szCs w:val="32"/>
          <w:highlight w:val="none"/>
        </w:rPr>
        <w:t>患者管理率≥</w:t>
      </w:r>
      <w:r>
        <w:rPr>
          <w:rFonts w:eastAsia="仿宋_GB2312" w:hint="eastAsia"/>
          <w:color w:val="000000"/>
          <w:sz w:val="32"/>
          <w:szCs w:val="32"/>
          <w:highlight w:val="none"/>
          <w:lang w:val="en-US" w:eastAsia="zh-CN"/>
        </w:rPr>
        <w:t>99</w:t>
      </w:r>
      <w:r>
        <w:rPr>
          <w:rFonts w:eastAsia="仿宋_GB2312" w:hint="eastAsia"/>
          <w:color w:val="000000"/>
          <w:sz w:val="32"/>
          <w:szCs w:val="32"/>
          <w:highlight w:val="none"/>
        </w:rPr>
        <w:t>%</w:t>
      </w:r>
      <w:r>
        <w:rPr>
          <w:rFonts w:eastAsia="仿宋_GB2312"/>
          <w:color w:val="000000"/>
          <w:sz w:val="32"/>
          <w:szCs w:val="32"/>
          <w:highlight w:val="none"/>
        </w:rPr>
        <w:t>，规范管理率≥</w:t>
      </w:r>
      <w:r>
        <w:rPr>
          <w:rFonts w:eastAsia="仿宋_GB2312" w:hint="eastAsia"/>
          <w:color w:val="000000"/>
          <w:sz w:val="32"/>
          <w:szCs w:val="32"/>
          <w:highlight w:val="none"/>
          <w:lang w:val="en-US" w:eastAsia="zh-CN"/>
        </w:rPr>
        <w:t>99</w:t>
      </w:r>
      <w:r>
        <w:rPr>
          <w:rFonts w:eastAsia="仿宋_GB2312"/>
          <w:color w:val="000000"/>
          <w:sz w:val="32"/>
          <w:szCs w:val="32"/>
          <w:highlight w:val="none"/>
        </w:rPr>
        <w:t>%。</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10.卫生计生监督协管</w:t>
      </w:r>
    </w:p>
    <w:p>
      <w:pPr>
        <w:adjustRightInd w:val="0"/>
        <w:snapToGrid w:val="0"/>
        <w:spacing w:line="360" w:lineRule="auto"/>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发现或怀疑有食物中毒等事件，及时报告卫生监督机构并协助调查；向职业病诊断机构报告辖区内发现的可疑职业病患者及相关信息。协助卫监对供水进行巡查，协助开展饮用水水质抽检服务，发现异常情况及时报告；协助定期对学校传染病防控开展巡访，发现问题隐患及时报告；指导学校设立卫生宣传栏，协助开展学生健康教育。协助有关专业机构对校医（保健教师）开展业务培训。定期对辖区内非法行医、非法采供血开展巡访，发现相关信息及时向卫生监督机构报告。</w:t>
      </w:r>
      <w:r>
        <w:rPr>
          <w:rFonts w:eastAsia="仿宋_GB2312"/>
          <w:color w:val="000000"/>
          <w:sz w:val="32"/>
          <w:szCs w:val="32"/>
          <w:highlight w:val="none"/>
        </w:rPr>
        <w:t>卫生监督协管信息报告率达</w:t>
      </w:r>
      <w:r>
        <w:rPr>
          <w:rFonts w:eastAsia="仿宋_GB2312" w:hint="eastAsia"/>
          <w:color w:val="000000"/>
          <w:sz w:val="32"/>
          <w:szCs w:val="32"/>
          <w:highlight w:val="none"/>
          <w:lang w:val="en-US" w:eastAsia="zh-CN"/>
        </w:rPr>
        <w:t>90</w:t>
      </w:r>
      <w:r>
        <w:rPr>
          <w:rFonts w:eastAsia="仿宋_GB2312"/>
          <w:color w:val="000000"/>
          <w:sz w:val="32"/>
          <w:szCs w:val="32"/>
          <w:highlight w:val="none"/>
        </w:rPr>
        <w:t>%</w:t>
      </w:r>
      <w:r>
        <w:rPr>
          <w:rFonts w:eastAsia="仿宋_GB2312" w:hint="eastAsia"/>
          <w:color w:val="000000"/>
          <w:sz w:val="32"/>
          <w:szCs w:val="32"/>
          <w:highlight w:val="none"/>
        </w:rPr>
        <w:t>以上</w:t>
      </w:r>
      <w:r>
        <w:rPr>
          <w:rFonts w:eastAsia="仿宋_GB2312"/>
          <w:color w:val="000000"/>
          <w:sz w:val="32"/>
          <w:szCs w:val="32"/>
          <w:highlight w:val="none"/>
        </w:rPr>
        <w:t>。</w:t>
      </w:r>
    </w:p>
    <w:p>
      <w:pPr>
        <w:widowControl/>
        <w:snapToGrid w:val="0"/>
        <w:spacing w:line="360" w:lineRule="auto"/>
        <w:ind w:firstLine="960" w:firstLineChars="300"/>
        <w:jc w:val="left"/>
        <w:rPr>
          <w:rFonts w:ascii="仿宋" w:eastAsia="仿宋" w:hAnsi="仿宋" w:cs="仿宋_GB2312"/>
          <w:b/>
          <w:color w:val="000000"/>
          <w:sz w:val="32"/>
          <w:szCs w:val="32"/>
          <w:highlight w:val="none"/>
        </w:rPr>
      </w:pPr>
      <w:r>
        <w:rPr>
          <w:rFonts w:ascii="仿宋" w:eastAsia="仿宋" w:hAnsi="仿宋" w:cs="仿宋_GB2312" w:hint="eastAsia"/>
          <w:b/>
          <w:color w:val="000000"/>
          <w:sz w:val="32"/>
          <w:szCs w:val="32"/>
          <w:highlight w:val="none"/>
        </w:rPr>
        <w:t>11.中医药健康管理</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为儿童及老年人提供中医药健康管理服务，内容包括中医体质辨识和中医药保健指导。</w:t>
      </w:r>
      <w:r>
        <w:rPr>
          <w:rFonts w:eastAsia="仿宋_GB2312"/>
          <w:color w:val="000000"/>
          <w:sz w:val="32"/>
          <w:szCs w:val="32"/>
          <w:highlight w:val="none"/>
        </w:rPr>
        <w:t>中医药健康管理服务目标人群覆盖率达</w:t>
      </w:r>
      <w:r>
        <w:rPr>
          <w:rFonts w:eastAsia="仿宋_GB2312" w:hint="eastAsia"/>
          <w:color w:val="000000"/>
          <w:sz w:val="32"/>
          <w:szCs w:val="32"/>
          <w:highlight w:val="none"/>
          <w:lang w:val="en-US" w:eastAsia="zh-CN"/>
        </w:rPr>
        <w:t>65</w:t>
      </w:r>
      <w:r>
        <w:rPr>
          <w:rFonts w:eastAsia="仿宋_GB2312"/>
          <w:color w:val="000000"/>
          <w:sz w:val="32"/>
          <w:szCs w:val="32"/>
          <w:highlight w:val="none"/>
        </w:rPr>
        <w:t>%</w:t>
      </w:r>
      <w:r>
        <w:rPr>
          <w:rFonts w:eastAsia="仿宋_GB2312"/>
          <w:color w:val="000000"/>
          <w:sz w:val="32"/>
          <w:szCs w:val="32"/>
          <w:highlight w:val="none"/>
        </w:rPr>
        <w:t>以上。</w:t>
      </w:r>
    </w:p>
    <w:p>
      <w:pPr>
        <w:widowControl/>
        <w:snapToGrid w:val="0"/>
        <w:spacing w:line="360" w:lineRule="auto"/>
        <w:ind w:firstLine="640" w:firstLineChars="200"/>
        <w:jc w:val="left"/>
        <w:rPr>
          <w:rFonts w:ascii="仿宋_GB2312" w:eastAsia="仿宋_GB2312"/>
          <w:color w:val="000000"/>
          <w:sz w:val="32"/>
          <w:szCs w:val="32"/>
          <w:highlight w:val="none"/>
        </w:rPr>
        <w:sectPr>
          <w:headerReference w:type="default" r:id="rId24"/>
          <w:footerReference w:type="even" r:id="rId25"/>
          <w:footerReference w:type="default" r:id="rId26"/>
          <w:headerReference w:type="first" r:id="rId27"/>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type="lines" w:linePitch="312"/>
        </w:sectPr>
      </w:pPr>
      <w:r>
        <w:rPr>
          <w:rFonts w:ascii="仿宋_GB2312" w:eastAsia="仿宋_GB2312" w:hint="eastAsia"/>
          <w:color w:val="000000"/>
          <w:sz w:val="32"/>
          <w:szCs w:val="32"/>
          <w:highlight w:val="none"/>
        </w:rPr>
        <w:t>（一）中医体质辨识。按照老年人中医药健康管理服务记录表前33项问题采集信息，根据体质判定标准进行体质辨识，并将辨识结果告知服务对象。</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（二）中医药保健指导。根据不同体质从情志调摄、饮食调养、起居调摄、运动保健、穴位保健等方面进行相应的中医药保健指导。</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12.肺结核患者健康管理</w:t>
      </w:r>
    </w:p>
    <w:p>
      <w:pPr>
        <w:widowControl/>
        <w:snapToGrid w:val="0"/>
        <w:spacing w:line="360" w:lineRule="auto"/>
        <w:ind w:firstLine="637" w:firstLineChars="199"/>
        <w:jc w:val="left"/>
        <w:rPr>
          <w:rFonts w:eastAsia="仿宋_GB2312"/>
          <w:color w:val="000000"/>
          <w:kern w:val="0"/>
          <w:sz w:val="32"/>
          <w:szCs w:val="32"/>
          <w:highlight w:val="none"/>
        </w:rPr>
      </w:pPr>
      <w:r>
        <w:rPr>
          <w:rFonts w:eastAsia="仿宋_GB2312" w:hint="eastAsia"/>
          <w:color w:val="000000"/>
          <w:kern w:val="0"/>
          <w:sz w:val="32"/>
          <w:szCs w:val="32"/>
          <w:highlight w:val="none"/>
        </w:rPr>
        <w:t>实施</w:t>
      </w:r>
      <w:r>
        <w:rPr>
          <w:rFonts w:eastAsia="仿宋_GB2312"/>
          <w:color w:val="000000"/>
          <w:kern w:val="0"/>
          <w:sz w:val="32"/>
          <w:szCs w:val="32"/>
          <w:highlight w:val="none"/>
        </w:rPr>
        <w:t>肺结核患者</w:t>
      </w:r>
      <w:r>
        <w:rPr>
          <w:rFonts w:eastAsia="仿宋_GB2312" w:hint="eastAsia"/>
          <w:color w:val="000000"/>
          <w:kern w:val="0"/>
          <w:sz w:val="32"/>
          <w:szCs w:val="32"/>
          <w:highlight w:val="none"/>
        </w:rPr>
        <w:t>健康管理项目，做好肺结核病人的筛查及推介转诊工作，</w:t>
      </w:r>
      <w:r>
        <w:rPr>
          <w:rFonts w:eastAsia="仿宋_GB2312"/>
          <w:color w:val="000000"/>
          <w:kern w:val="0"/>
          <w:sz w:val="32"/>
          <w:szCs w:val="32"/>
          <w:highlight w:val="none"/>
        </w:rPr>
        <w:t>肺结核</w:t>
      </w:r>
      <w:r>
        <w:rPr>
          <w:rFonts w:eastAsia="仿宋_GB2312" w:hint="eastAsia"/>
          <w:color w:val="000000"/>
          <w:kern w:val="0"/>
          <w:sz w:val="32"/>
          <w:szCs w:val="32"/>
          <w:highlight w:val="none"/>
        </w:rPr>
        <w:t>患者</w:t>
      </w:r>
      <w:r>
        <w:rPr>
          <w:rFonts w:eastAsia="仿宋_GB2312"/>
          <w:color w:val="000000"/>
          <w:kern w:val="0"/>
          <w:sz w:val="32"/>
          <w:szCs w:val="32"/>
          <w:highlight w:val="none"/>
        </w:rPr>
        <w:t>管理率100%</w:t>
      </w:r>
      <w:r>
        <w:rPr>
          <w:rFonts w:eastAsia="仿宋_GB2312" w:hint="eastAsia"/>
          <w:color w:val="000000"/>
          <w:kern w:val="0"/>
          <w:sz w:val="32"/>
          <w:szCs w:val="32"/>
          <w:highlight w:val="none"/>
        </w:rPr>
        <w:t>，</w:t>
      </w:r>
      <w:r>
        <w:rPr>
          <w:rFonts w:eastAsia="仿宋_GB2312"/>
          <w:color w:val="000000"/>
          <w:kern w:val="0"/>
          <w:sz w:val="32"/>
          <w:szCs w:val="32"/>
          <w:highlight w:val="none"/>
        </w:rPr>
        <w:t>患者规则服药率95%</w:t>
      </w:r>
      <w:r>
        <w:rPr>
          <w:rFonts w:eastAsia="仿宋_GB2312" w:hint="eastAsia"/>
          <w:color w:val="000000"/>
          <w:kern w:val="0"/>
          <w:sz w:val="32"/>
          <w:szCs w:val="32"/>
          <w:highlight w:val="none"/>
        </w:rPr>
        <w:t>，</w:t>
      </w:r>
      <w:r>
        <w:rPr>
          <w:rFonts w:eastAsia="仿宋_GB2312"/>
          <w:color w:val="000000"/>
          <w:kern w:val="0"/>
          <w:sz w:val="32"/>
          <w:szCs w:val="32"/>
          <w:highlight w:val="none"/>
        </w:rPr>
        <w:t>管理肺结核患者第一次入户随访率100%</w:t>
      </w:r>
      <w:r>
        <w:rPr>
          <w:rFonts w:eastAsia="仿宋_GB2312" w:hint="eastAsia"/>
          <w:color w:val="000000"/>
          <w:kern w:val="0"/>
          <w:sz w:val="32"/>
          <w:szCs w:val="32"/>
          <w:highlight w:val="none"/>
        </w:rPr>
        <w:t>，</w:t>
      </w:r>
      <w:r>
        <w:rPr>
          <w:rFonts w:eastAsia="仿宋_GB2312"/>
          <w:color w:val="000000"/>
          <w:kern w:val="0"/>
          <w:sz w:val="32"/>
          <w:szCs w:val="32"/>
          <w:highlight w:val="none"/>
        </w:rPr>
        <w:t>管理肺结核患者随访评估率100%。</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13、免费提供避孕药具</w:t>
      </w:r>
    </w:p>
    <w:p>
      <w:pPr>
        <w:widowControl/>
        <w:snapToGrid w:val="0"/>
        <w:spacing w:line="360" w:lineRule="auto"/>
        <w:jc w:val="left"/>
        <w:rPr>
          <w:rFonts w:eastAsia="仿宋_GB2312" w:hint="eastAsia"/>
          <w:color w:val="000000"/>
          <w:kern w:val="0"/>
          <w:sz w:val="32"/>
          <w:szCs w:val="32"/>
          <w:highlight w:val="none"/>
        </w:rPr>
      </w:pPr>
      <w:r>
        <w:rPr>
          <w:rFonts w:ascii="宋体" w:hAnsi="宋体" w:hint="eastAsia"/>
          <w:color w:val="000000"/>
          <w:sz w:val="30"/>
          <w:szCs w:val="30"/>
          <w:highlight w:val="none"/>
        </w:rPr>
        <w:t xml:space="preserve">   </w:t>
      </w:r>
      <w:r>
        <w:rPr>
          <w:rFonts w:eastAsia="仿宋_GB2312" w:hint="eastAsia"/>
          <w:color w:val="000000"/>
          <w:kern w:val="0"/>
          <w:sz w:val="32"/>
          <w:szCs w:val="32"/>
          <w:highlight w:val="none"/>
        </w:rPr>
        <w:t>为辖区内居民免费提供避孕药具发放，并做好相关登记及存储。</w:t>
      </w:r>
    </w:p>
    <w:p>
      <w:pPr>
        <w:widowControl/>
        <w:snapToGrid w:val="0"/>
        <w:spacing w:line="360" w:lineRule="auto"/>
        <w:ind w:firstLine="960" w:firstLineChars="300"/>
        <w:jc w:val="left"/>
        <w:rPr>
          <w:rFonts w:ascii="仿宋" w:eastAsia="仿宋" w:hAnsi="仿宋" w:cs="仿宋_GB2312" w:hint="eastAsia"/>
          <w:b/>
          <w:color w:val="000000"/>
          <w:sz w:val="32"/>
          <w:szCs w:val="32"/>
          <w:highlight w:val="none"/>
        </w:rPr>
      </w:pPr>
      <w:r>
        <w:rPr>
          <w:rFonts w:ascii="仿宋" w:eastAsia="仿宋" w:hAnsi="仿宋" w:cs="仿宋_GB2312" w:hint="eastAsia"/>
          <w:b/>
          <w:color w:val="000000"/>
          <w:sz w:val="32"/>
          <w:szCs w:val="32"/>
          <w:highlight w:val="none"/>
        </w:rPr>
        <w:t>14、健康素养促进行动</w:t>
      </w:r>
    </w:p>
    <w:p>
      <w:pPr>
        <w:widowControl/>
        <w:snapToGrid w:val="0"/>
        <w:spacing w:line="360" w:lineRule="auto"/>
        <w:ind w:firstLine="637" w:firstLineChars="199"/>
        <w:jc w:val="left"/>
        <w:rPr>
          <w:rFonts w:eastAsia="仿宋_GB2312"/>
          <w:color w:val="000000"/>
          <w:kern w:val="0"/>
          <w:sz w:val="32"/>
          <w:szCs w:val="32"/>
          <w:highlight w:val="none"/>
        </w:rPr>
      </w:pPr>
      <w:r>
        <w:rPr>
          <w:rFonts w:eastAsia="仿宋_GB2312" w:hint="eastAsia"/>
          <w:color w:val="000000"/>
          <w:kern w:val="0"/>
          <w:sz w:val="32"/>
          <w:szCs w:val="32"/>
          <w:highlight w:val="none"/>
        </w:rPr>
        <w:t>为辖区内居民提供健康科普知识，健康促进医院和戒烟门诊建设，健康素养和烟草流行建设，12320热线咨询服务，重点疾病、重点领域和重点人群的健康教育。</w:t>
      </w:r>
    </w:p>
    <w:p>
      <w:pPr>
        <w:widowControl/>
        <w:snapToGrid w:val="0"/>
        <w:spacing w:line="360" w:lineRule="auto"/>
        <w:ind w:firstLine="637" w:firstLineChars="199"/>
        <w:jc w:val="left"/>
        <w:rPr>
          <w:rFonts w:ascii="黑体" w:eastAsia="黑体" w:hAnsi="仿宋" w:cs="仿宋_GB2312"/>
          <w:b/>
          <w:color w:val="000000"/>
          <w:sz w:val="32"/>
          <w:szCs w:val="32"/>
          <w:highlight w:val="none"/>
        </w:rPr>
      </w:pPr>
      <w:r>
        <w:rPr>
          <w:rFonts w:ascii="黑体" w:eastAsia="黑体" w:hAnsi="仿宋" w:cs="仿宋_GB2312" w:hint="eastAsia"/>
          <w:b/>
          <w:color w:val="000000"/>
          <w:sz w:val="32"/>
          <w:szCs w:val="32"/>
          <w:highlight w:val="none"/>
        </w:rPr>
        <w:t>三、工作职责和任务</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1.根据国家、省、苏州、市公共卫生服务项目任务和要求，负责制定我镇基本公共卫生服务项目相关工作意见、计划和方案等，并组织相关单位实施。</w:t>
      </w:r>
    </w:p>
    <w:p>
      <w:pPr>
        <w:ind w:firstLine="640" w:firstLineChars="200"/>
        <w:rPr>
          <w:rFonts w:ascii="仿宋_GB2312" w:eastAsia="仿宋_GB2312"/>
          <w:color w:val="000000"/>
          <w:sz w:val="32"/>
          <w:szCs w:val="32"/>
          <w:highlight w:val="none"/>
        </w:rPr>
        <w:sectPr>
          <w:headerReference w:type="default" r:id="rId28"/>
          <w:footerReference w:type="even" r:id="rId29"/>
          <w:footerReference w:type="default" r:id="rId30"/>
          <w:headerReference w:type="first" r:id="rId31"/>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7"/>
          <w:cols w:space="708"/>
          <w:titlePg w:val="0"/>
          <w:docGrid w:type="lines" w:linePitch="312"/>
        </w:sectPr>
      </w:pPr>
      <w:r>
        <w:rPr>
          <w:rFonts w:ascii="仿宋_GB2312" w:eastAsia="仿宋_GB2312" w:hint="eastAsia"/>
          <w:color w:val="000000"/>
          <w:sz w:val="32"/>
          <w:szCs w:val="32"/>
          <w:highlight w:val="none"/>
        </w:rPr>
        <w:t>2.制订基本公共卫生服务项目考核细则和资金使用管理办法，提出项目资金预算，做好项目资金的拨付审核，加强与财政部门的沟通会商，促进资金到位和规范使用。</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 xml:space="preserve"> 3.对照国家公共卫生服务规范标准和上级要求，及时组织相关专业机构、实施单位的人员进行业务学习和培训。</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4.负责对各科室、中心、社区卫生服务站实施进展情况进行定期或专题督查、指导和考评，及时解决项目实施过程中的专业技术问题。</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5.定期对项目资金使用情况进行监管和审计，发现问题及时纠正。</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6.定期或不定期召开工作例会，对项目运行状况进行分析、交流，提出通报和督查整改意见。</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7.认真研究我镇基本公共卫生服务项目实施过程中需要解决的突出问题，提出针对性的措施，确保项目规范实施。</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8.做好基本公共卫生服务项目的对外宣传和创新举措工作，协调做好上级检查、汇报工作。</w:t>
      </w:r>
    </w:p>
    <w:p>
      <w:pPr>
        <w:ind w:firstLine="640" w:firstLineChars="200"/>
        <w:rPr>
          <w:rFonts w:ascii="仿宋_GB2312" w:eastAsia="仿宋_GB2312"/>
          <w:color w:val="000000"/>
          <w:sz w:val="32"/>
          <w:szCs w:val="32"/>
          <w:highlight w:val="none"/>
        </w:rPr>
      </w:pPr>
      <w:r>
        <w:rPr>
          <w:rFonts w:ascii="仿宋_GB2312" w:eastAsia="仿宋_GB2312" w:hint="eastAsia"/>
          <w:color w:val="000000"/>
          <w:sz w:val="32"/>
          <w:szCs w:val="32"/>
          <w:highlight w:val="none"/>
        </w:rPr>
        <w:t xml:space="preserve">9.做好全镇项目数据的收集与统计上报、信息编发和项目经验总结以及领导交办其他工作任务。 </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四、建立绩效考核制度</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1、建立考核制度。按照《市基本公共卫生服务项目社区卫生服务中心考核标准》要求，组织考核工作。重点考核机构各项目小组、社区站履行公共卫生服务职能、提供公共卫生服务的数量和质量、社会满意度等情况。</w:t>
      </w:r>
    </w:p>
    <w:p>
      <w:pPr>
        <w:widowControl/>
        <w:snapToGrid w:val="0"/>
        <w:spacing w:line="360" w:lineRule="auto"/>
        <w:ind w:firstLine="640" w:firstLineChars="200"/>
        <w:jc w:val="left"/>
        <w:rPr>
          <w:rFonts w:ascii="仿宋_GB2312" w:eastAsia="仿宋_GB2312"/>
          <w:color w:val="000000"/>
          <w:sz w:val="32"/>
          <w:szCs w:val="32"/>
          <w:highlight w:val="none"/>
        </w:rPr>
        <w:sectPr>
          <w:headerReference w:type="default" r:id="rId32"/>
          <w:footerReference w:type="even" r:id="rId33"/>
          <w:footerReference w:type="default" r:id="rId34"/>
          <w:headerReference w:type="first" r:id="rId35"/>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8"/>
          <w:cols w:space="708"/>
          <w:titlePg w:val="0"/>
          <w:docGrid w:type="lines" w:linePitch="312"/>
        </w:sectPr>
      </w:pPr>
      <w:r>
        <w:rPr>
          <w:rFonts w:ascii="仿宋_GB2312" w:eastAsia="仿宋_GB2312" w:hint="eastAsia"/>
          <w:color w:val="000000"/>
          <w:sz w:val="32"/>
          <w:szCs w:val="32"/>
          <w:highlight w:val="none"/>
        </w:rPr>
        <w:t>2、进</w:t>
      </w:r>
      <w:r>
        <w:rPr>
          <w:rFonts w:eastAsia="仿宋_GB2312"/>
          <w:color w:val="000000"/>
          <w:sz w:val="32"/>
          <w:szCs w:val="32"/>
          <w:highlight w:val="none"/>
        </w:rPr>
        <w:t>一步完善基本公共卫生服务项目绩效考核方案</w:t>
      </w:r>
      <w:r>
        <w:rPr>
          <w:rFonts w:eastAsia="仿宋_GB2312" w:hint="eastAsia"/>
          <w:color w:val="000000"/>
          <w:sz w:val="32"/>
          <w:szCs w:val="32"/>
          <w:highlight w:val="none"/>
        </w:rPr>
        <w:t>。</w:t>
      </w:r>
      <w:r>
        <w:rPr>
          <w:rFonts w:eastAsia="仿宋_GB2312"/>
          <w:color w:val="000000"/>
          <w:sz w:val="32"/>
          <w:szCs w:val="32"/>
          <w:highlight w:val="none"/>
        </w:rPr>
        <w:t>明确</w:t>
      </w:r>
      <w:r>
        <w:rPr>
          <w:rFonts w:eastAsia="仿宋_GB2312" w:hint="eastAsia"/>
          <w:color w:val="000000"/>
          <w:sz w:val="32"/>
          <w:szCs w:val="32"/>
          <w:highlight w:val="none"/>
        </w:rPr>
        <w:t>14</w:t>
      </w:r>
    </w:p>
    <w:p>
      <w:pPr>
        <w:widowControl/>
        <w:snapToGrid w:val="0"/>
        <w:spacing w:line="360" w:lineRule="auto"/>
        <w:ind w:firstLine="640" w:firstLineChars="200"/>
        <w:jc w:val="left"/>
        <w:rPr>
          <w:rFonts w:ascii="仿宋_GB2312" w:eastAsia="仿宋_GB2312"/>
          <w:color w:val="000000"/>
          <w:sz w:val="32"/>
          <w:szCs w:val="32"/>
          <w:highlight w:val="none"/>
        </w:rPr>
      </w:pPr>
      <w:r>
        <w:rPr>
          <w:rFonts w:eastAsia="仿宋_GB2312"/>
          <w:color w:val="000000"/>
          <w:sz w:val="32"/>
          <w:szCs w:val="32"/>
          <w:highlight w:val="none"/>
        </w:rPr>
        <w:t>类项目的考核指标、数量和质量考核标准，明确资金分配挂钩的结果应用</w:t>
      </w:r>
      <w:r>
        <w:rPr>
          <w:rFonts w:eastAsia="仿宋_GB2312" w:hint="eastAsia"/>
          <w:color w:val="000000"/>
          <w:sz w:val="32"/>
          <w:szCs w:val="32"/>
          <w:highlight w:val="none"/>
        </w:rPr>
        <w:t>，对重点难点工作实施倾斜</w:t>
      </w:r>
      <w:r>
        <w:rPr>
          <w:rFonts w:eastAsia="仿宋_GB2312"/>
          <w:color w:val="000000"/>
          <w:sz w:val="32"/>
          <w:szCs w:val="32"/>
          <w:highlight w:val="none"/>
        </w:rPr>
        <w:t>。要严格按照国家项目考核方法和流程定期开展绩效考核，切实加大考核结果与医务人员收入的挂钩力度，充分发挥资金的引导和激励作用，确保项目任务保质保量完成</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3、考核结果的利用。考核结果要与年度考核挂钩，作为工作人员奖惩及核定绩效工资的依据。考核情况向社会公示，结合群众评价，将政府考核与社会监督结合起来。</w:t>
      </w:r>
    </w:p>
    <w:p>
      <w:pPr>
        <w:widowControl/>
        <w:snapToGrid w:val="0"/>
        <w:spacing w:line="360" w:lineRule="auto"/>
        <w:ind w:firstLine="640" w:firstLineChars="200"/>
        <w:jc w:val="left"/>
        <w:rPr>
          <w:rFonts w:ascii="黑体" w:eastAsia="黑体" w:hAnsi="仿宋" w:cs="仿宋_GB2312"/>
          <w:b/>
          <w:color w:val="000000"/>
          <w:sz w:val="32"/>
          <w:szCs w:val="32"/>
          <w:highlight w:val="none"/>
        </w:rPr>
      </w:pPr>
      <w:r>
        <w:rPr>
          <w:rFonts w:ascii="黑体" w:eastAsia="黑体" w:hAnsi="仿宋" w:cs="仿宋_GB2312" w:hint="eastAsia"/>
          <w:b/>
          <w:color w:val="000000"/>
          <w:sz w:val="32"/>
          <w:szCs w:val="32"/>
          <w:highlight w:val="none"/>
        </w:rPr>
        <w:t>五、工作要求</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1、加强组织领导。要按照分工协作、齐抓共管的原则，明确分工，落实职责，确保基本公共卫生服务工作取得实效。</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2、强化监督检查。每月组织下社区站检查督导，推动基本公共卫生服务任务的完成。</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3、参加技术培训。要积极参加国家基本公共卫生服务规范和基本医疗适宜技术培训，提高卫生技术人员综合服务能力，确保基本公共卫生服务质量。</w:t>
      </w:r>
    </w:p>
    <w:p>
      <w:pPr>
        <w:widowControl/>
        <w:snapToGrid w:val="0"/>
        <w:spacing w:line="360" w:lineRule="auto"/>
        <w:ind w:firstLine="640" w:firstLineChars="200"/>
        <w:jc w:val="left"/>
        <w:rPr>
          <w:rFonts w:ascii="仿宋_GB2312" w:eastAsia="仿宋_GB2312"/>
          <w:color w:val="000000"/>
          <w:sz w:val="32"/>
          <w:szCs w:val="32"/>
          <w:highlight w:val="none"/>
        </w:rPr>
      </w:pPr>
      <w:r>
        <w:rPr>
          <w:rFonts w:ascii="仿宋_GB2312" w:eastAsia="仿宋_GB2312" w:hint="eastAsia"/>
          <w:color w:val="000000"/>
          <w:sz w:val="32"/>
          <w:szCs w:val="32"/>
          <w:highlight w:val="none"/>
        </w:rPr>
        <w:t>4、</w:t>
      </w:r>
      <w:r>
        <w:rPr>
          <w:rFonts w:ascii="仿宋_GB2312" w:eastAsia="仿宋_GB2312"/>
          <w:color w:val="000000"/>
          <w:sz w:val="32"/>
          <w:szCs w:val="32"/>
          <w:highlight w:val="none"/>
        </w:rPr>
        <w:t>加强经费管理。要加强资金的使用和管理，严格按照项目要求，专款专用。</w:t>
      </w:r>
    </w:p>
    <w:p>
      <w:pPr>
        <w:spacing w:line="600" w:lineRule="exact"/>
        <w:rPr>
          <w:rFonts w:eastAsia="仿宋_GB2312" w:hint="eastAsia"/>
          <w:color w:val="000000"/>
          <w:sz w:val="32"/>
          <w:szCs w:val="32"/>
          <w:highlight w:val="none"/>
        </w:rPr>
      </w:pPr>
      <w:r>
        <w:rPr>
          <w:rFonts w:eastAsia="仿宋_GB2312"/>
          <w:color w:val="000000"/>
          <w:sz w:val="32"/>
          <w:szCs w:val="32"/>
          <w:highlight w:val="none"/>
        </w:rPr>
        <w:t>附件：</w:t>
      </w:r>
    </w:p>
    <w:p>
      <w:pPr>
        <w:spacing w:line="600" w:lineRule="exact"/>
        <w:ind w:firstLine="640" w:firstLineChars="200"/>
        <w:rPr>
          <w:rFonts w:eastAsia="仿宋_GB2312"/>
          <w:color w:val="000000"/>
          <w:sz w:val="32"/>
          <w:szCs w:val="32"/>
          <w:highlight w:val="none"/>
        </w:rPr>
      </w:pPr>
      <w:r>
        <w:rPr>
          <w:rFonts w:eastAsia="仿宋_GB2312"/>
          <w:color w:val="000000"/>
          <w:sz w:val="32"/>
          <w:szCs w:val="32"/>
          <w:highlight w:val="none"/>
        </w:rPr>
        <w:t>1. 市</w:t>
      </w:r>
      <w:r>
        <w:rPr>
          <w:rFonts w:eastAsia="仿宋_GB2312" w:hint="eastAsia"/>
          <w:color w:val="000000"/>
          <w:sz w:val="32"/>
          <w:szCs w:val="32"/>
          <w:highlight w:val="none"/>
          <w:lang w:eastAsia="zh-CN"/>
        </w:rPr>
        <w:t>玉湖</w:t>
      </w:r>
      <w:r>
        <w:rPr>
          <w:rFonts w:eastAsia="仿宋_GB2312" w:hint="eastAsia"/>
          <w:color w:val="000000"/>
          <w:sz w:val="32"/>
          <w:szCs w:val="32"/>
          <w:highlight w:val="none"/>
        </w:rPr>
        <w:t>镇20</w:t>
      </w:r>
      <w:r>
        <w:rPr>
          <w:rFonts w:eastAsia="仿宋_GB2312" w:hint="eastAsia"/>
          <w:color w:val="000000"/>
          <w:sz w:val="32"/>
          <w:szCs w:val="32"/>
          <w:highlight w:val="none"/>
          <w:lang w:val="en-US" w:eastAsia="zh-CN"/>
        </w:rPr>
        <w:t>20</w:t>
      </w:r>
      <w:r>
        <w:rPr>
          <w:rFonts w:eastAsia="仿宋_GB2312"/>
          <w:color w:val="000000"/>
          <w:sz w:val="32"/>
          <w:szCs w:val="32"/>
          <w:highlight w:val="none"/>
        </w:rPr>
        <w:t>年基本公共卫生服务项目工作计划表</w:t>
      </w:r>
    </w:p>
    <w:p>
      <w:pPr>
        <w:spacing w:line="600" w:lineRule="exact"/>
        <w:ind w:firstLine="640" w:firstLineChars="200"/>
        <w:rPr>
          <w:rFonts w:eastAsia="仿宋_GB2312"/>
          <w:color w:val="000000"/>
          <w:sz w:val="32"/>
          <w:szCs w:val="32"/>
          <w:highlight w:val="none"/>
        </w:rPr>
      </w:pPr>
      <w:r>
        <w:rPr>
          <w:rFonts w:eastAsia="仿宋_GB2312"/>
          <w:color w:val="000000"/>
          <w:sz w:val="32"/>
          <w:szCs w:val="32"/>
          <w:highlight w:val="none"/>
        </w:rPr>
        <w:t>2. 市</w:t>
      </w:r>
      <w:r>
        <w:rPr>
          <w:rFonts w:eastAsia="仿宋_GB2312" w:hint="eastAsia"/>
          <w:color w:val="000000"/>
          <w:sz w:val="32"/>
          <w:szCs w:val="32"/>
          <w:highlight w:val="none"/>
          <w:lang w:eastAsia="zh-CN"/>
        </w:rPr>
        <w:t>玉湖</w:t>
      </w:r>
      <w:r>
        <w:rPr>
          <w:rFonts w:eastAsia="仿宋_GB2312" w:hint="eastAsia"/>
          <w:color w:val="000000"/>
          <w:sz w:val="32"/>
          <w:szCs w:val="32"/>
          <w:highlight w:val="none"/>
        </w:rPr>
        <w:t>镇20</w:t>
      </w:r>
      <w:r>
        <w:rPr>
          <w:rFonts w:eastAsia="仿宋_GB2312" w:hint="eastAsia"/>
          <w:color w:val="000000"/>
          <w:sz w:val="32"/>
          <w:szCs w:val="32"/>
          <w:highlight w:val="none"/>
          <w:lang w:val="en-US" w:eastAsia="zh-CN"/>
        </w:rPr>
        <w:t>20</w:t>
      </w:r>
      <w:r>
        <w:rPr>
          <w:rFonts w:eastAsia="仿宋_GB2312"/>
          <w:color w:val="000000"/>
          <w:sz w:val="32"/>
          <w:szCs w:val="32"/>
          <w:highlight w:val="none"/>
        </w:rPr>
        <w:t>年基本公共卫生服务项目任务分解表</w:t>
      </w:r>
    </w:p>
    <w:p>
      <w:pPr>
        <w:spacing w:line="600" w:lineRule="exact"/>
        <w:ind w:firstLine="640" w:firstLineChars="200"/>
        <w:rPr>
          <w:rFonts w:eastAsia="仿宋_GB2312"/>
          <w:color w:val="000000"/>
          <w:sz w:val="32"/>
          <w:szCs w:val="32"/>
          <w:highlight w:val="none"/>
        </w:rPr>
        <w:sectPr>
          <w:headerReference w:type="default" r:id="rId36"/>
          <w:footerReference w:type="even" r:id="rId37"/>
          <w:footerReference w:type="default" r:id="rId38"/>
          <w:headerReference w:type="first" r:id="rId39"/>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9"/>
          <w:cols w:space="708"/>
          <w:titlePg w:val="0"/>
          <w:docGrid w:type="lines" w:linePitch="312"/>
        </w:sectPr>
      </w:pPr>
      <w:r>
        <w:rPr>
          <w:rFonts w:eastAsia="仿宋_GB2312"/>
          <w:color w:val="000000"/>
          <w:sz w:val="32"/>
          <w:szCs w:val="32"/>
          <w:highlight w:val="none"/>
        </w:rPr>
        <w:t>3. 市</w:t>
      </w:r>
      <w:r>
        <w:rPr>
          <w:rFonts w:eastAsia="仿宋_GB2312" w:hint="eastAsia"/>
          <w:color w:val="000000"/>
          <w:sz w:val="32"/>
          <w:szCs w:val="32"/>
          <w:highlight w:val="none"/>
          <w:lang w:eastAsia="zh-CN"/>
        </w:rPr>
        <w:t>玉湖</w:t>
      </w:r>
      <w:r>
        <w:rPr>
          <w:rFonts w:eastAsia="仿宋_GB2312" w:hint="eastAsia"/>
          <w:color w:val="000000"/>
          <w:sz w:val="32"/>
          <w:szCs w:val="32"/>
          <w:highlight w:val="none"/>
        </w:rPr>
        <w:t>镇20</w:t>
      </w:r>
      <w:r>
        <w:rPr>
          <w:rFonts w:eastAsia="仿宋_GB2312" w:hint="eastAsia"/>
          <w:color w:val="000000"/>
          <w:sz w:val="32"/>
          <w:szCs w:val="32"/>
          <w:highlight w:val="none"/>
          <w:lang w:val="en-US" w:eastAsia="zh-CN"/>
        </w:rPr>
        <w:t>20</w:t>
      </w:r>
      <w:r>
        <w:rPr>
          <w:rFonts w:eastAsia="仿宋_GB2312"/>
          <w:color w:val="000000"/>
          <w:sz w:val="32"/>
          <w:szCs w:val="32"/>
          <w:highlight w:val="none"/>
        </w:rPr>
        <w:t>年基本公共卫生服务项目内容、实施单位和补助标准</w:t>
      </w:r>
    </w:p>
    <w:p>
      <w:pPr>
        <w:spacing w:line="600" w:lineRule="exact"/>
        <w:ind w:firstLine="640" w:firstLineChars="200"/>
        <w:rPr>
          <w:rFonts w:eastAsia="仿宋_GB2312" w:hint="eastAsia"/>
          <w:bCs/>
          <w:color w:val="000000"/>
          <w:kern w:val="0"/>
          <w:sz w:val="32"/>
          <w:szCs w:val="32"/>
          <w:highlight w:val="none"/>
        </w:rPr>
      </w:pPr>
      <w:r>
        <w:rPr>
          <w:rFonts w:eastAsia="仿宋_GB2312" w:hint="eastAsia"/>
          <w:color w:val="000000"/>
          <w:sz w:val="32"/>
          <w:szCs w:val="32"/>
          <w:highlight w:val="none"/>
        </w:rPr>
        <w:t>4.</w:t>
      </w:r>
      <w:r>
        <w:rPr>
          <w:rFonts w:eastAsia="仿宋_GB2312" w:hint="eastAsia"/>
          <w:color w:val="000000"/>
          <w:sz w:val="32"/>
          <w:szCs w:val="32"/>
          <w:highlight w:val="none"/>
          <w:lang w:eastAsia="zh-CN"/>
        </w:rPr>
        <w:t>玉湖</w:t>
      </w:r>
      <w:r>
        <w:rPr>
          <w:rFonts w:eastAsia="仿宋_GB2312" w:hint="eastAsia"/>
          <w:color w:val="000000"/>
          <w:sz w:val="32"/>
          <w:szCs w:val="32"/>
          <w:highlight w:val="none"/>
        </w:rPr>
        <w:t>镇社区卫生服务中心基本公共卫生服务项目分工细则</w:t>
      </w:r>
    </w:p>
    <w:p>
      <w:pPr>
        <w:spacing w:line="560" w:lineRule="exact"/>
        <w:ind w:firstLine="200"/>
        <w:jc w:val="left"/>
        <w:rPr>
          <w:bCs/>
          <w:color w:val="000000"/>
          <w:kern w:val="0"/>
          <w:sz w:val="32"/>
          <w:szCs w:val="32"/>
          <w:highlight w:val="none"/>
        </w:rPr>
      </w:pPr>
      <w:r>
        <w:rPr>
          <w:rFonts w:eastAsia="仿宋_GB2312"/>
          <w:bCs/>
          <w:color w:val="000000"/>
          <w:kern w:val="0"/>
          <w:sz w:val="32"/>
          <w:szCs w:val="32"/>
          <w:highlight w:val="none"/>
        </w:rPr>
        <w:t>附件1：</w:t>
      </w:r>
      <w:r>
        <w:rPr>
          <w:bCs/>
          <w:color w:val="000000"/>
          <w:kern w:val="0"/>
          <w:sz w:val="32"/>
          <w:szCs w:val="32"/>
          <w:highlight w:val="none"/>
        </w:rPr>
        <w:t xml:space="preserve"> </w:t>
      </w:r>
    </w:p>
    <w:p>
      <w:pPr>
        <w:spacing w:line="600" w:lineRule="exact"/>
        <w:jc w:val="center"/>
        <w:rPr>
          <w:rFonts w:eastAsia="方正小标宋简体"/>
          <w:color w:val="000000"/>
          <w:sz w:val="32"/>
          <w:szCs w:val="32"/>
          <w:highlight w:val="none"/>
        </w:rPr>
      </w:pPr>
      <w:r>
        <w:rPr>
          <w:rFonts w:eastAsia="方正小标宋简体" w:hint="eastAsia"/>
          <w:bCs/>
          <w:color w:val="000000"/>
          <w:kern w:val="0"/>
          <w:sz w:val="32"/>
          <w:szCs w:val="32"/>
          <w:highlight w:val="none"/>
        </w:rPr>
        <w:t xml:space="preserve">   </w:t>
      </w:r>
      <w:r>
        <w:rPr>
          <w:rFonts w:eastAsia="方正小标宋简体"/>
          <w:bCs/>
          <w:color w:val="000000"/>
          <w:kern w:val="0"/>
          <w:sz w:val="32"/>
          <w:szCs w:val="32"/>
          <w:highlight w:val="none"/>
        </w:rPr>
        <w:t>市</w:t>
      </w:r>
      <w:r>
        <w:rPr>
          <w:rFonts w:eastAsia="方正小标宋简体" w:hint="eastAsia"/>
          <w:bCs/>
          <w:color w:val="000000"/>
          <w:kern w:val="0"/>
          <w:sz w:val="32"/>
          <w:szCs w:val="32"/>
          <w:highlight w:val="none"/>
          <w:lang w:eastAsia="zh-CN"/>
        </w:rPr>
        <w:t>玉湖</w:t>
      </w:r>
      <w:r>
        <w:rPr>
          <w:rFonts w:eastAsia="方正小标宋简体" w:hint="eastAsia"/>
          <w:bCs/>
          <w:color w:val="000000"/>
          <w:kern w:val="0"/>
          <w:sz w:val="32"/>
          <w:szCs w:val="32"/>
          <w:highlight w:val="none"/>
        </w:rPr>
        <w:t>镇20</w:t>
      </w:r>
      <w:r>
        <w:rPr>
          <w:rFonts w:eastAsia="方正小标宋简体" w:hint="eastAsia"/>
          <w:bCs/>
          <w:color w:val="000000"/>
          <w:kern w:val="0"/>
          <w:sz w:val="32"/>
          <w:szCs w:val="32"/>
          <w:highlight w:val="none"/>
          <w:lang w:val="en-US" w:eastAsia="zh-CN"/>
        </w:rPr>
        <w:t>2</w:t>
      </w:r>
      <w:r>
        <w:rPr>
          <w:rFonts w:eastAsia="方正小标宋简体" w:hint="eastAsia"/>
          <w:bCs/>
          <w:color w:val="000000"/>
          <w:kern w:val="0"/>
          <w:sz w:val="32"/>
          <w:szCs w:val="32"/>
          <w:highlight w:val="none"/>
          <w:lang w:val="en-US" w:eastAsia="zh-CN"/>
        </w:rPr>
        <w:t>0</w:t>
      </w:r>
      <w:r>
        <w:rPr>
          <w:rFonts w:eastAsia="方正小标宋简体"/>
          <w:bCs/>
          <w:color w:val="000000"/>
          <w:kern w:val="0"/>
          <w:sz w:val="32"/>
          <w:szCs w:val="32"/>
          <w:highlight w:val="none"/>
        </w:rPr>
        <w:t>年基本公共卫生服务项目工作计划表</w:t>
      </w:r>
    </w:p>
    <w:tbl>
      <w:tblPr>
        <w:tblStyle w:val="TableNormal"/>
        <w:tblW w:w="0" w:type="auto"/>
        <w:tblInd w:w="93" w:type="dxa"/>
        <w:tblLayout w:type="fixed"/>
        <w:tblCellMar>
          <w:top w:w="0" w:type="dxa"/>
          <w:left w:w="108" w:type="dxa"/>
          <w:bottom w:w="0" w:type="dxa"/>
          <w:right w:w="108" w:type="dxa"/>
        </w:tblCellMar>
        <w:tblLook w:val="0000"/>
      </w:tblPr>
      <w:tblGrid>
        <w:gridCol w:w="946"/>
        <w:gridCol w:w="8054"/>
      </w:tblGrid>
      <w:tr>
        <w:tblPrEx>
          <w:tblW w:w="0" w:type="auto"/>
          <w:tblInd w:w="93" w:type="dxa"/>
          <w:tblLayout w:type="fixed"/>
          <w:tblCellMar>
            <w:top w:w="0" w:type="dxa"/>
            <w:left w:w="108" w:type="dxa"/>
            <w:bottom w:w="0" w:type="dxa"/>
            <w:right w:w="108" w:type="dxa"/>
          </w:tblCellMar>
          <w:tblLook w:val="0000"/>
        </w:tblPrEx>
        <w:trPr>
          <w:trHeight w:val="280"/>
        </w:trPr>
        <w:tc>
          <w:tcPr>
            <w:tcW w:w="946" w:type="dxa"/>
            <w:tcBorders>
              <w:top w:val="single" w:sz="4" w:space="0" w:color="auto"/>
              <w:left w:val="single" w:sz="4" w:space="0" w:color="auto"/>
              <w:bottom w:val="single" w:sz="4" w:space="0" w:color="auto"/>
              <w:right w:val="single" w:sz="4" w:space="0" w:color="auto"/>
            </w:tcBorders>
            <w:vAlign w:val="center"/>
          </w:tcPr>
          <w:p>
            <w:pPr>
              <w:widowControl/>
              <w:jc w:val="center"/>
              <w:rPr>
                <w:rFonts w:eastAsia="黑体"/>
                <w:bCs/>
                <w:color w:val="000000"/>
                <w:kern w:val="0"/>
                <w:sz w:val="24"/>
                <w:highlight w:val="none"/>
              </w:rPr>
            </w:pPr>
            <w:r>
              <w:rPr>
                <w:rFonts w:eastAsia="黑体"/>
                <w:bCs/>
                <w:color w:val="000000"/>
                <w:kern w:val="0"/>
                <w:sz w:val="24"/>
                <w:highlight w:val="none"/>
              </w:rPr>
              <w:t>月份</w:t>
            </w:r>
          </w:p>
        </w:tc>
        <w:tc>
          <w:tcPr>
            <w:tcW w:w="8054" w:type="dxa"/>
            <w:tcBorders>
              <w:top w:val="single" w:sz="4" w:space="0" w:color="auto"/>
              <w:left w:val="nil"/>
              <w:bottom w:val="single" w:sz="4" w:space="0" w:color="auto"/>
              <w:right w:val="single" w:sz="4" w:space="0" w:color="auto"/>
            </w:tcBorders>
            <w:vAlign w:val="center"/>
          </w:tcPr>
          <w:p>
            <w:pPr>
              <w:widowControl/>
              <w:jc w:val="center"/>
              <w:rPr>
                <w:rFonts w:eastAsia="黑体"/>
                <w:bCs/>
                <w:color w:val="000000"/>
                <w:kern w:val="0"/>
                <w:sz w:val="24"/>
                <w:highlight w:val="none"/>
              </w:rPr>
            </w:pPr>
            <w:r>
              <w:rPr>
                <w:rFonts w:eastAsia="黑体"/>
                <w:bCs/>
                <w:color w:val="000000"/>
                <w:kern w:val="0"/>
                <w:sz w:val="24"/>
                <w:highlight w:val="none"/>
              </w:rPr>
              <w:t>主要工作</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1月</w:t>
            </w:r>
          </w:p>
        </w:tc>
        <w:tc>
          <w:tcPr>
            <w:tcW w:w="8054" w:type="dxa"/>
            <w:tcBorders>
              <w:top w:val="nil"/>
              <w:left w:val="nil"/>
              <w:bottom w:val="single" w:sz="4" w:space="0" w:color="auto"/>
              <w:right w:val="single" w:sz="4" w:space="0" w:color="auto"/>
            </w:tcBorders>
            <w:vAlign w:val="center"/>
          </w:tcPr>
          <w:p>
            <w:pPr>
              <w:widowControl/>
              <w:numPr>
                <w:ilvl w:val="0"/>
                <w:numId w:val="2"/>
              </w:numPr>
              <w:tabs>
                <w:tab w:val="left" w:pos="360"/>
              </w:tabs>
              <w:jc w:val="left"/>
              <w:rPr>
                <w:color w:val="000000"/>
                <w:kern w:val="0"/>
                <w:szCs w:val="21"/>
                <w:highlight w:val="none"/>
              </w:rPr>
            </w:pPr>
            <w:r>
              <w:rPr>
                <w:color w:val="000000"/>
                <w:kern w:val="0"/>
                <w:szCs w:val="21"/>
                <w:highlight w:val="none"/>
              </w:rPr>
              <w:t>总结</w:t>
            </w:r>
            <w:r>
              <w:rPr>
                <w:rFonts w:hint="eastAsia"/>
                <w:color w:val="000000"/>
                <w:kern w:val="0"/>
                <w:szCs w:val="21"/>
                <w:highlight w:val="none"/>
                <w:lang w:eastAsia="zh-CN"/>
              </w:rPr>
              <w:t>玉湖</w:t>
            </w:r>
            <w:r>
              <w:rPr>
                <w:rFonts w:hint="eastAsia"/>
                <w:color w:val="000000"/>
                <w:kern w:val="0"/>
                <w:szCs w:val="21"/>
                <w:highlight w:val="none"/>
              </w:rPr>
              <w:t>镇20</w:t>
            </w:r>
            <w:r>
              <w:rPr>
                <w:rFonts w:hint="eastAsia"/>
                <w:color w:val="000000"/>
                <w:kern w:val="0"/>
                <w:szCs w:val="21"/>
                <w:highlight w:val="none"/>
                <w:lang w:val="en-US" w:eastAsia="zh-CN"/>
              </w:rPr>
              <w:t>20</w:t>
            </w:r>
            <w:r>
              <w:rPr>
                <w:color w:val="000000"/>
                <w:kern w:val="0"/>
                <w:szCs w:val="21"/>
                <w:highlight w:val="none"/>
              </w:rPr>
              <w:t>年基本公共服务项目工作</w:t>
            </w:r>
          </w:p>
          <w:p>
            <w:pPr>
              <w:widowControl/>
              <w:numPr>
                <w:ilvl w:val="0"/>
                <w:numId w:val="2"/>
              </w:numPr>
              <w:tabs>
                <w:tab w:val="left" w:pos="360"/>
              </w:tabs>
              <w:jc w:val="left"/>
              <w:rPr>
                <w:color w:val="000000"/>
                <w:kern w:val="0"/>
                <w:szCs w:val="21"/>
                <w:highlight w:val="none"/>
              </w:rPr>
            </w:pPr>
            <w:r>
              <w:rPr>
                <w:color w:val="000000"/>
                <w:kern w:val="0"/>
                <w:szCs w:val="21"/>
                <w:highlight w:val="none"/>
              </w:rPr>
              <w:t>完成</w:t>
            </w:r>
            <w:r>
              <w:rPr>
                <w:rFonts w:hint="eastAsia"/>
                <w:color w:val="000000"/>
                <w:kern w:val="0"/>
                <w:szCs w:val="21"/>
                <w:highlight w:val="none"/>
                <w:lang w:eastAsia="zh-CN"/>
              </w:rPr>
              <w:t>玉湖</w:t>
            </w:r>
            <w:r>
              <w:rPr>
                <w:rFonts w:hint="eastAsia"/>
                <w:color w:val="000000"/>
                <w:kern w:val="0"/>
                <w:szCs w:val="21"/>
                <w:highlight w:val="none"/>
              </w:rPr>
              <w:t>镇20</w:t>
            </w:r>
            <w:r>
              <w:rPr>
                <w:rFonts w:hint="eastAsia"/>
                <w:color w:val="000000"/>
                <w:kern w:val="0"/>
                <w:szCs w:val="21"/>
                <w:highlight w:val="none"/>
                <w:lang w:val="en-US" w:eastAsia="zh-CN"/>
              </w:rPr>
              <w:t>20</w:t>
            </w:r>
            <w:r>
              <w:rPr>
                <w:color w:val="000000"/>
                <w:kern w:val="0"/>
                <w:szCs w:val="21"/>
                <w:highlight w:val="none"/>
              </w:rPr>
              <w:t>年基本公共服务项目自评报告</w:t>
            </w:r>
          </w:p>
          <w:p>
            <w:pPr>
              <w:widowControl/>
              <w:numPr>
                <w:ilvl w:val="0"/>
                <w:numId w:val="2"/>
              </w:numPr>
              <w:tabs>
                <w:tab w:val="left" w:pos="360"/>
              </w:tabs>
              <w:jc w:val="left"/>
              <w:rPr>
                <w:color w:val="000000"/>
                <w:kern w:val="0"/>
                <w:szCs w:val="21"/>
                <w:highlight w:val="none"/>
              </w:rPr>
            </w:pPr>
            <w:r>
              <w:rPr>
                <w:color w:val="000000"/>
                <w:kern w:val="0"/>
                <w:szCs w:val="21"/>
                <w:highlight w:val="none"/>
              </w:rPr>
              <w:t>启动苏州市基本公共卫生服务迎检工作</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2月</w:t>
            </w:r>
          </w:p>
        </w:tc>
        <w:tc>
          <w:tcPr>
            <w:tcW w:w="8054" w:type="dxa"/>
            <w:tcBorders>
              <w:top w:val="nil"/>
              <w:left w:val="nil"/>
              <w:bottom w:val="single" w:sz="4" w:space="0" w:color="auto"/>
              <w:right w:val="single" w:sz="4" w:space="0" w:color="auto"/>
            </w:tcBorders>
            <w:vAlign w:val="center"/>
          </w:tcPr>
          <w:p>
            <w:pPr>
              <w:widowControl/>
              <w:numPr>
                <w:ilvl w:val="0"/>
                <w:numId w:val="3"/>
              </w:numPr>
              <w:tabs>
                <w:tab w:val="left" w:pos="360"/>
              </w:tabs>
              <w:jc w:val="left"/>
              <w:rPr>
                <w:color w:val="000000"/>
                <w:kern w:val="0"/>
                <w:szCs w:val="21"/>
                <w:highlight w:val="none"/>
              </w:rPr>
            </w:pPr>
            <w:r>
              <w:rPr>
                <w:color w:val="000000"/>
                <w:kern w:val="0"/>
                <w:szCs w:val="21"/>
                <w:highlight w:val="none"/>
              </w:rPr>
              <w:t>制定1</w:t>
            </w:r>
            <w:r>
              <w:rPr>
                <w:rFonts w:hint="eastAsia"/>
                <w:color w:val="000000"/>
                <w:kern w:val="0"/>
                <w:szCs w:val="21"/>
                <w:highlight w:val="none"/>
                <w:lang w:val="en-US" w:eastAsia="zh-CN"/>
              </w:rPr>
              <w:t>4</w:t>
            </w:r>
            <w:r>
              <w:rPr>
                <w:color w:val="000000"/>
                <w:kern w:val="0"/>
                <w:szCs w:val="21"/>
                <w:highlight w:val="none"/>
              </w:rPr>
              <w:t xml:space="preserve">个项目的具体实施方案 </w:t>
            </w:r>
          </w:p>
          <w:p>
            <w:pPr>
              <w:widowControl/>
              <w:numPr>
                <w:ilvl w:val="0"/>
                <w:numId w:val="3"/>
              </w:numPr>
              <w:tabs>
                <w:tab w:val="left" w:pos="360"/>
              </w:tabs>
              <w:jc w:val="left"/>
              <w:rPr>
                <w:color w:val="000000"/>
                <w:kern w:val="0"/>
                <w:szCs w:val="21"/>
                <w:highlight w:val="none"/>
              </w:rPr>
            </w:pPr>
            <w:r>
              <w:rPr>
                <w:color w:val="000000"/>
                <w:kern w:val="0"/>
                <w:szCs w:val="21"/>
                <w:highlight w:val="none"/>
              </w:rPr>
              <w:t>制定《市</w:t>
            </w:r>
            <w:r>
              <w:rPr>
                <w:rFonts w:hint="eastAsia"/>
                <w:color w:val="000000"/>
                <w:kern w:val="0"/>
                <w:szCs w:val="21"/>
                <w:highlight w:val="none"/>
                <w:lang w:eastAsia="zh-CN"/>
              </w:rPr>
              <w:t>玉湖</w:t>
            </w:r>
            <w:r>
              <w:rPr>
                <w:rFonts w:hint="eastAsia"/>
                <w:color w:val="000000"/>
                <w:kern w:val="0"/>
                <w:szCs w:val="21"/>
                <w:highlight w:val="none"/>
              </w:rPr>
              <w:t>镇20</w:t>
            </w:r>
            <w:r>
              <w:rPr>
                <w:rFonts w:hint="eastAsia"/>
                <w:color w:val="000000"/>
                <w:kern w:val="0"/>
                <w:szCs w:val="21"/>
                <w:highlight w:val="none"/>
                <w:lang w:val="en-US" w:eastAsia="zh-CN"/>
              </w:rPr>
              <w:t>209</w:t>
            </w:r>
            <w:r>
              <w:rPr>
                <w:rFonts w:hint="eastAsia"/>
                <w:color w:val="000000"/>
                <w:kern w:val="0"/>
                <w:szCs w:val="21"/>
                <w:highlight w:val="none"/>
              </w:rPr>
              <w:t>年</w:t>
            </w:r>
            <w:r>
              <w:rPr>
                <w:color w:val="000000"/>
                <w:kern w:val="0"/>
                <w:szCs w:val="21"/>
                <w:highlight w:val="none"/>
              </w:rPr>
              <w:t>基本公共卫生服务项目</w:t>
            </w:r>
            <w:r>
              <w:rPr>
                <w:rFonts w:hint="eastAsia"/>
                <w:color w:val="000000"/>
                <w:kern w:val="0"/>
                <w:szCs w:val="21"/>
                <w:highlight w:val="none"/>
              </w:rPr>
              <w:t>工作实施方案</w:t>
            </w:r>
            <w:r>
              <w:rPr>
                <w:color w:val="000000"/>
                <w:kern w:val="0"/>
                <w:szCs w:val="21"/>
                <w:highlight w:val="none"/>
              </w:rPr>
              <w:t>》</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3月</w:t>
            </w:r>
          </w:p>
        </w:tc>
        <w:tc>
          <w:tcPr>
            <w:tcW w:w="8054" w:type="dxa"/>
            <w:tcBorders>
              <w:top w:val="nil"/>
              <w:left w:val="nil"/>
              <w:bottom w:val="single" w:sz="4" w:space="0" w:color="auto"/>
              <w:right w:val="single" w:sz="4" w:space="0" w:color="auto"/>
            </w:tcBorders>
            <w:vAlign w:val="center"/>
          </w:tcPr>
          <w:p>
            <w:pPr>
              <w:widowControl/>
              <w:numPr>
                <w:ilvl w:val="0"/>
                <w:numId w:val="4"/>
              </w:numPr>
              <w:tabs>
                <w:tab w:val="left" w:pos="382"/>
              </w:tabs>
              <w:jc w:val="left"/>
              <w:rPr>
                <w:color w:val="000000"/>
                <w:kern w:val="0"/>
                <w:szCs w:val="21"/>
                <w:highlight w:val="none"/>
              </w:rPr>
            </w:pPr>
            <w:r>
              <w:rPr>
                <w:color w:val="000000"/>
                <w:kern w:val="0"/>
                <w:szCs w:val="21"/>
                <w:highlight w:val="none"/>
              </w:rPr>
              <w:t>召开项目工作会议，组织开展项目培训</w:t>
            </w:r>
          </w:p>
          <w:p>
            <w:pPr>
              <w:widowControl/>
              <w:jc w:val="left"/>
              <w:rPr>
                <w:color w:val="000000"/>
                <w:kern w:val="0"/>
                <w:szCs w:val="21"/>
                <w:highlight w:val="none"/>
              </w:rPr>
            </w:pPr>
            <w:r>
              <w:rPr>
                <w:rFonts w:hint="eastAsia"/>
                <w:color w:val="000000"/>
                <w:kern w:val="0"/>
                <w:szCs w:val="21"/>
                <w:highlight w:val="none"/>
              </w:rPr>
              <w:t xml:space="preserve">2.  </w:t>
            </w:r>
            <w:r>
              <w:rPr>
                <w:color w:val="000000"/>
                <w:kern w:val="0"/>
                <w:szCs w:val="21"/>
                <w:highlight w:val="none"/>
              </w:rPr>
              <w:t>制定</w:t>
            </w:r>
            <w:r>
              <w:rPr>
                <w:rFonts w:hint="eastAsia"/>
                <w:color w:val="000000"/>
                <w:kern w:val="0"/>
                <w:szCs w:val="21"/>
                <w:highlight w:val="none"/>
              </w:rPr>
              <w:t>20</w:t>
            </w:r>
            <w:r>
              <w:rPr>
                <w:rFonts w:hint="eastAsia"/>
                <w:color w:val="000000"/>
                <w:kern w:val="0"/>
                <w:szCs w:val="21"/>
                <w:highlight w:val="none"/>
                <w:lang w:val="en-US" w:eastAsia="zh-CN"/>
              </w:rPr>
              <w:t>20</w:t>
            </w:r>
            <w:r>
              <w:rPr>
                <w:color w:val="000000"/>
                <w:kern w:val="0"/>
                <w:szCs w:val="21"/>
                <w:highlight w:val="none"/>
              </w:rPr>
              <w:t>年市</w:t>
            </w:r>
            <w:r>
              <w:rPr>
                <w:rFonts w:hint="eastAsia"/>
                <w:color w:val="000000"/>
                <w:kern w:val="0"/>
                <w:szCs w:val="21"/>
                <w:highlight w:val="none"/>
                <w:lang w:eastAsia="zh-CN"/>
              </w:rPr>
              <w:t>玉湖</w:t>
            </w:r>
            <w:r>
              <w:rPr>
                <w:rFonts w:hint="eastAsia"/>
                <w:color w:val="000000"/>
                <w:kern w:val="0"/>
                <w:szCs w:val="21"/>
                <w:highlight w:val="none"/>
              </w:rPr>
              <w:t>镇</w:t>
            </w:r>
            <w:r>
              <w:rPr>
                <w:color w:val="000000"/>
                <w:kern w:val="0"/>
                <w:szCs w:val="21"/>
                <w:highlight w:val="none"/>
              </w:rPr>
              <w:t>基本公共卫生服务项目绩效考核方案</w:t>
            </w:r>
          </w:p>
          <w:p>
            <w:pPr>
              <w:widowControl/>
              <w:jc w:val="left"/>
              <w:rPr>
                <w:color w:val="000000"/>
                <w:kern w:val="0"/>
                <w:szCs w:val="21"/>
                <w:highlight w:val="none"/>
              </w:rPr>
            </w:pPr>
            <w:r>
              <w:rPr>
                <w:rFonts w:hint="eastAsia"/>
                <w:color w:val="000000"/>
                <w:kern w:val="0"/>
                <w:szCs w:val="21"/>
                <w:highlight w:val="none"/>
              </w:rPr>
              <w:t xml:space="preserve">3.  </w:t>
            </w:r>
            <w:r>
              <w:rPr>
                <w:color w:val="000000"/>
                <w:kern w:val="0"/>
                <w:szCs w:val="21"/>
                <w:highlight w:val="none"/>
              </w:rPr>
              <w:t>做好苏州市基本公共卫生服务项目考核迎检各项准备</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4月</w:t>
            </w:r>
          </w:p>
        </w:tc>
        <w:tc>
          <w:tcPr>
            <w:tcW w:w="8054" w:type="dxa"/>
            <w:tcBorders>
              <w:top w:val="nil"/>
              <w:left w:val="nil"/>
              <w:bottom w:val="single" w:sz="4" w:space="0" w:color="auto"/>
              <w:right w:val="single" w:sz="4" w:space="0" w:color="auto"/>
            </w:tcBorders>
            <w:vAlign w:val="center"/>
          </w:tcPr>
          <w:p>
            <w:pPr>
              <w:widowControl/>
              <w:numPr>
                <w:ilvl w:val="0"/>
                <w:numId w:val="5"/>
              </w:numPr>
              <w:tabs>
                <w:tab w:val="left" w:pos="360"/>
              </w:tabs>
              <w:jc w:val="left"/>
              <w:rPr>
                <w:color w:val="000000"/>
                <w:kern w:val="0"/>
                <w:szCs w:val="21"/>
                <w:highlight w:val="none"/>
              </w:rPr>
            </w:pPr>
            <w:r>
              <w:rPr>
                <w:color w:val="000000"/>
                <w:kern w:val="0"/>
                <w:szCs w:val="21"/>
                <w:highlight w:val="none"/>
              </w:rPr>
              <w:t>组织开展基本公共卫生项目第1季度督导</w:t>
            </w:r>
          </w:p>
          <w:p>
            <w:pPr>
              <w:widowControl/>
              <w:numPr>
                <w:ilvl w:val="0"/>
                <w:numId w:val="5"/>
              </w:numPr>
              <w:tabs>
                <w:tab w:val="left" w:pos="360"/>
              </w:tabs>
              <w:jc w:val="left"/>
              <w:rPr>
                <w:color w:val="000000"/>
                <w:kern w:val="0"/>
                <w:szCs w:val="21"/>
                <w:highlight w:val="none"/>
              </w:rPr>
            </w:pPr>
            <w:r>
              <w:rPr>
                <w:color w:val="000000"/>
                <w:kern w:val="0"/>
                <w:szCs w:val="21"/>
                <w:highlight w:val="none"/>
              </w:rPr>
              <w:t>完成基本公共卫生服务项目市级补助资金预拨工作</w:t>
            </w:r>
          </w:p>
          <w:p>
            <w:pPr>
              <w:widowControl/>
              <w:numPr>
                <w:ilvl w:val="0"/>
                <w:numId w:val="5"/>
              </w:numPr>
              <w:tabs>
                <w:tab w:val="left" w:pos="360"/>
              </w:tabs>
              <w:jc w:val="left"/>
              <w:rPr>
                <w:color w:val="000000"/>
                <w:kern w:val="0"/>
                <w:szCs w:val="21"/>
                <w:highlight w:val="none"/>
              </w:rPr>
            </w:pPr>
            <w:r>
              <w:rPr>
                <w:color w:val="000000"/>
                <w:kern w:val="0"/>
                <w:szCs w:val="21"/>
                <w:highlight w:val="none"/>
              </w:rPr>
              <w:t>迎接江苏省基本公共卫生服务项目考核</w:t>
            </w:r>
          </w:p>
          <w:p>
            <w:pPr>
              <w:widowControl/>
              <w:numPr>
                <w:ilvl w:val="0"/>
                <w:numId w:val="5"/>
              </w:numPr>
              <w:tabs>
                <w:tab w:val="left" w:pos="360"/>
              </w:tabs>
              <w:jc w:val="left"/>
              <w:rPr>
                <w:color w:val="000000"/>
                <w:kern w:val="0"/>
                <w:szCs w:val="21"/>
                <w:highlight w:val="none"/>
              </w:rPr>
            </w:pPr>
            <w:r>
              <w:rPr>
                <w:color w:val="000000"/>
                <w:kern w:val="0"/>
                <w:szCs w:val="21"/>
                <w:highlight w:val="none"/>
              </w:rPr>
              <w:t xml:space="preserve">做好国家基本公共卫生服务项目考核迎检各项准备                                                                                                                                             </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5月</w:t>
            </w:r>
          </w:p>
        </w:tc>
        <w:tc>
          <w:tcPr>
            <w:tcW w:w="8054" w:type="dxa"/>
            <w:tcBorders>
              <w:top w:val="nil"/>
              <w:left w:val="nil"/>
              <w:bottom w:val="single" w:sz="4" w:space="0" w:color="auto"/>
              <w:right w:val="single" w:sz="4" w:space="0" w:color="auto"/>
            </w:tcBorders>
            <w:vAlign w:val="center"/>
          </w:tcPr>
          <w:p>
            <w:pPr>
              <w:widowControl/>
              <w:numPr>
                <w:ilvl w:val="0"/>
                <w:numId w:val="6"/>
              </w:numPr>
              <w:tabs>
                <w:tab w:val="left" w:pos="360"/>
              </w:tabs>
              <w:jc w:val="left"/>
              <w:rPr>
                <w:color w:val="000000"/>
                <w:kern w:val="0"/>
                <w:szCs w:val="21"/>
                <w:highlight w:val="none"/>
              </w:rPr>
            </w:pPr>
            <w:r>
              <w:rPr>
                <w:color w:val="000000"/>
                <w:kern w:val="0"/>
                <w:szCs w:val="21"/>
                <w:highlight w:val="none"/>
              </w:rPr>
              <w:t>做好国家基本公共卫生服务项目考核迎检各项准备</w:t>
            </w:r>
          </w:p>
          <w:p>
            <w:pPr>
              <w:widowControl/>
              <w:numPr>
                <w:ilvl w:val="0"/>
                <w:numId w:val="6"/>
              </w:numPr>
              <w:tabs>
                <w:tab w:val="left" w:pos="360"/>
              </w:tabs>
              <w:jc w:val="left"/>
              <w:rPr>
                <w:color w:val="000000"/>
                <w:kern w:val="0"/>
                <w:szCs w:val="21"/>
                <w:highlight w:val="none"/>
              </w:rPr>
            </w:pPr>
            <w:r>
              <w:rPr>
                <w:color w:val="000000"/>
                <w:kern w:val="0"/>
                <w:szCs w:val="21"/>
                <w:highlight w:val="none"/>
              </w:rPr>
              <w:t>开展</w:t>
            </w:r>
            <w:r>
              <w:rPr>
                <w:rFonts w:hint="eastAsia"/>
                <w:color w:val="000000"/>
                <w:kern w:val="0"/>
                <w:szCs w:val="21"/>
                <w:highlight w:val="none"/>
              </w:rPr>
              <w:t>基本公共卫生服务项目各条线培训</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6月</w:t>
            </w:r>
          </w:p>
        </w:tc>
        <w:tc>
          <w:tcPr>
            <w:tcW w:w="8054" w:type="dxa"/>
            <w:tcBorders>
              <w:top w:val="nil"/>
              <w:left w:val="nil"/>
              <w:bottom w:val="single" w:sz="4" w:space="0" w:color="auto"/>
              <w:right w:val="single" w:sz="4" w:space="0" w:color="auto"/>
            </w:tcBorders>
            <w:vAlign w:val="center"/>
          </w:tcPr>
          <w:p>
            <w:pPr>
              <w:widowControl/>
              <w:numPr>
                <w:ilvl w:val="0"/>
                <w:numId w:val="7"/>
              </w:numPr>
              <w:tabs>
                <w:tab w:val="left" w:pos="360"/>
              </w:tabs>
              <w:jc w:val="left"/>
              <w:rPr>
                <w:color w:val="000000"/>
                <w:kern w:val="0"/>
                <w:szCs w:val="21"/>
                <w:highlight w:val="none"/>
              </w:rPr>
            </w:pPr>
            <w:r>
              <w:rPr>
                <w:color w:val="000000"/>
                <w:kern w:val="0"/>
                <w:szCs w:val="21"/>
                <w:highlight w:val="none"/>
              </w:rPr>
              <w:t>组织</w:t>
            </w:r>
            <w:r>
              <w:rPr>
                <w:rFonts w:hint="eastAsia"/>
                <w:color w:val="000000"/>
                <w:kern w:val="0"/>
                <w:szCs w:val="21"/>
                <w:highlight w:val="none"/>
              </w:rPr>
              <w:t>参加</w:t>
            </w:r>
            <w:r>
              <w:rPr>
                <w:color w:val="000000"/>
                <w:kern w:val="0"/>
                <w:szCs w:val="21"/>
                <w:highlight w:val="none"/>
              </w:rPr>
              <w:t>基本公共卫生服务技能大比武</w:t>
            </w:r>
          </w:p>
          <w:p>
            <w:pPr>
              <w:widowControl/>
              <w:numPr>
                <w:ilvl w:val="0"/>
                <w:numId w:val="7"/>
              </w:numPr>
              <w:tabs>
                <w:tab w:val="left" w:pos="360"/>
              </w:tabs>
              <w:jc w:val="left"/>
              <w:rPr>
                <w:color w:val="000000"/>
                <w:kern w:val="0"/>
                <w:szCs w:val="21"/>
                <w:highlight w:val="none"/>
              </w:rPr>
            </w:pPr>
            <w:r>
              <w:rPr>
                <w:color w:val="000000"/>
                <w:kern w:val="0"/>
                <w:szCs w:val="21"/>
                <w:highlight w:val="none"/>
              </w:rPr>
              <w:t>迎接国家基本公共卫生服务项目考核</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7月</w:t>
            </w:r>
          </w:p>
        </w:tc>
        <w:tc>
          <w:tcPr>
            <w:tcW w:w="8054" w:type="dxa"/>
            <w:tcBorders>
              <w:top w:val="nil"/>
              <w:left w:val="nil"/>
              <w:bottom w:val="single" w:sz="4" w:space="0" w:color="auto"/>
              <w:right w:val="single" w:sz="4" w:space="0" w:color="auto"/>
            </w:tcBorders>
            <w:vAlign w:val="center"/>
          </w:tcPr>
          <w:p>
            <w:pPr>
              <w:widowControl/>
              <w:numPr>
                <w:ilvl w:val="0"/>
                <w:numId w:val="8"/>
              </w:numPr>
              <w:tabs>
                <w:tab w:val="left" w:pos="360"/>
              </w:tabs>
              <w:jc w:val="left"/>
              <w:rPr>
                <w:color w:val="000000"/>
                <w:kern w:val="0"/>
                <w:szCs w:val="21"/>
                <w:highlight w:val="none"/>
              </w:rPr>
            </w:pPr>
            <w:r>
              <w:rPr>
                <w:color w:val="000000"/>
                <w:kern w:val="0"/>
                <w:szCs w:val="21"/>
                <w:highlight w:val="none"/>
              </w:rPr>
              <w:t>组织开展基本公共卫生项目上半年度考核评估</w:t>
            </w:r>
          </w:p>
          <w:p>
            <w:pPr>
              <w:widowControl/>
              <w:numPr>
                <w:ilvl w:val="0"/>
                <w:numId w:val="8"/>
              </w:numPr>
              <w:tabs>
                <w:tab w:val="left" w:pos="360"/>
              </w:tabs>
              <w:jc w:val="left"/>
              <w:rPr>
                <w:color w:val="000000"/>
                <w:kern w:val="0"/>
                <w:szCs w:val="21"/>
                <w:highlight w:val="none"/>
              </w:rPr>
            </w:pPr>
            <w:r>
              <w:rPr>
                <w:color w:val="000000"/>
                <w:kern w:val="0"/>
                <w:szCs w:val="21"/>
                <w:highlight w:val="none"/>
              </w:rPr>
              <w:t>迎接</w:t>
            </w:r>
            <w:r>
              <w:rPr>
                <w:rFonts w:hint="eastAsia"/>
                <w:color w:val="000000"/>
                <w:kern w:val="0"/>
                <w:szCs w:val="21"/>
                <w:highlight w:val="none"/>
              </w:rPr>
              <w:t>市</w:t>
            </w:r>
            <w:r>
              <w:rPr>
                <w:color w:val="000000"/>
                <w:kern w:val="0"/>
                <w:szCs w:val="21"/>
                <w:highlight w:val="none"/>
              </w:rPr>
              <w:t>基本公共卫生服务项目考核</w:t>
            </w:r>
          </w:p>
          <w:p>
            <w:pPr>
              <w:widowControl/>
              <w:numPr>
                <w:ilvl w:val="0"/>
                <w:numId w:val="8"/>
              </w:numPr>
              <w:tabs>
                <w:tab w:val="left" w:pos="360"/>
              </w:tabs>
              <w:jc w:val="left"/>
              <w:rPr>
                <w:color w:val="000000"/>
                <w:kern w:val="0"/>
                <w:szCs w:val="21"/>
                <w:highlight w:val="none"/>
              </w:rPr>
            </w:pPr>
            <w:r>
              <w:rPr>
                <w:color w:val="000000"/>
                <w:kern w:val="0"/>
                <w:szCs w:val="21"/>
                <w:highlight w:val="none"/>
              </w:rPr>
              <w:t>完成上半年度基本公共卫生服务项目市级补助资金</w:t>
            </w:r>
            <w:r>
              <w:rPr>
                <w:rFonts w:hint="eastAsia"/>
                <w:color w:val="000000"/>
                <w:kern w:val="0"/>
                <w:szCs w:val="21"/>
                <w:highlight w:val="none"/>
              </w:rPr>
              <w:t>考核后</w:t>
            </w:r>
            <w:r>
              <w:rPr>
                <w:color w:val="000000"/>
                <w:kern w:val="0"/>
                <w:szCs w:val="21"/>
                <w:highlight w:val="none"/>
              </w:rPr>
              <w:t xml:space="preserve">工作                                                                                   </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8月</w:t>
            </w:r>
          </w:p>
        </w:tc>
        <w:tc>
          <w:tcPr>
            <w:tcW w:w="8054" w:type="dxa"/>
            <w:tcBorders>
              <w:top w:val="nil"/>
              <w:left w:val="nil"/>
              <w:bottom w:val="single" w:sz="4" w:space="0" w:color="auto"/>
              <w:right w:val="single" w:sz="4" w:space="0" w:color="auto"/>
            </w:tcBorders>
            <w:vAlign w:val="center"/>
          </w:tcPr>
          <w:p>
            <w:pPr>
              <w:widowControl/>
              <w:numPr>
                <w:ilvl w:val="0"/>
                <w:numId w:val="9"/>
              </w:numPr>
              <w:tabs>
                <w:tab w:val="left" w:pos="360"/>
              </w:tabs>
              <w:jc w:val="left"/>
              <w:rPr>
                <w:color w:val="000000"/>
                <w:kern w:val="0"/>
                <w:szCs w:val="21"/>
                <w:highlight w:val="none"/>
              </w:rPr>
            </w:pPr>
            <w:r>
              <w:rPr>
                <w:color w:val="000000"/>
                <w:kern w:val="0"/>
                <w:szCs w:val="21"/>
                <w:highlight w:val="none"/>
              </w:rPr>
              <w:t>召开上半年基本公共卫生服务项目工作</w:t>
            </w:r>
            <w:r>
              <w:rPr>
                <w:rFonts w:hint="eastAsia"/>
                <w:color w:val="000000"/>
                <w:kern w:val="0"/>
                <w:szCs w:val="21"/>
                <w:highlight w:val="none"/>
              </w:rPr>
              <w:t>会议</w:t>
            </w:r>
          </w:p>
          <w:p>
            <w:pPr>
              <w:widowControl/>
              <w:numPr>
                <w:ilvl w:val="0"/>
                <w:numId w:val="9"/>
              </w:numPr>
              <w:tabs>
                <w:tab w:val="left" w:pos="360"/>
              </w:tabs>
              <w:jc w:val="left"/>
              <w:rPr>
                <w:color w:val="000000"/>
                <w:kern w:val="0"/>
                <w:szCs w:val="21"/>
                <w:highlight w:val="none"/>
              </w:rPr>
            </w:pPr>
            <w:r>
              <w:rPr>
                <w:rFonts w:hint="eastAsia"/>
                <w:color w:val="000000"/>
                <w:kern w:val="0"/>
                <w:szCs w:val="21"/>
                <w:highlight w:val="none"/>
              </w:rPr>
              <w:t>完成</w:t>
            </w:r>
            <w:r>
              <w:rPr>
                <w:color w:val="000000"/>
                <w:kern w:val="0"/>
                <w:szCs w:val="21"/>
                <w:highlight w:val="none"/>
              </w:rPr>
              <w:t>开展</w:t>
            </w:r>
            <w:r>
              <w:rPr>
                <w:rFonts w:hint="eastAsia"/>
                <w:color w:val="000000"/>
                <w:kern w:val="0"/>
                <w:szCs w:val="21"/>
                <w:highlight w:val="none"/>
              </w:rPr>
              <w:t>基本公共卫生服务项目各条线培训</w:t>
            </w:r>
            <w:r>
              <w:rPr>
                <w:color w:val="000000"/>
                <w:kern w:val="0"/>
                <w:szCs w:val="21"/>
                <w:highlight w:val="none"/>
              </w:rPr>
              <w:t xml:space="preserve">                </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9月</w:t>
            </w:r>
          </w:p>
        </w:tc>
        <w:tc>
          <w:tcPr>
            <w:tcW w:w="8054" w:type="dxa"/>
            <w:tcBorders>
              <w:top w:val="nil"/>
              <w:left w:val="nil"/>
              <w:bottom w:val="single" w:sz="4" w:space="0" w:color="auto"/>
              <w:right w:val="single" w:sz="4" w:space="0" w:color="auto"/>
            </w:tcBorders>
            <w:vAlign w:val="center"/>
          </w:tcPr>
          <w:p>
            <w:pPr>
              <w:widowControl/>
              <w:numPr>
                <w:ilvl w:val="0"/>
                <w:numId w:val="10"/>
              </w:numPr>
              <w:tabs>
                <w:tab w:val="left" w:pos="360"/>
              </w:tabs>
              <w:jc w:val="left"/>
              <w:rPr>
                <w:color w:val="000000"/>
                <w:kern w:val="0"/>
                <w:szCs w:val="21"/>
                <w:highlight w:val="none"/>
              </w:rPr>
            </w:pPr>
            <w:r>
              <w:rPr>
                <w:color w:val="000000"/>
                <w:kern w:val="0"/>
                <w:szCs w:val="21"/>
                <w:highlight w:val="none"/>
              </w:rPr>
              <w:t>开展基本公共卫生服务项目培训</w:t>
            </w:r>
          </w:p>
          <w:p>
            <w:pPr>
              <w:widowControl/>
              <w:numPr>
                <w:ilvl w:val="0"/>
                <w:numId w:val="10"/>
              </w:numPr>
              <w:tabs>
                <w:tab w:val="left" w:pos="360"/>
              </w:tabs>
              <w:jc w:val="left"/>
              <w:rPr>
                <w:color w:val="000000"/>
                <w:kern w:val="0"/>
                <w:szCs w:val="21"/>
                <w:highlight w:val="none"/>
              </w:rPr>
            </w:pPr>
            <w:r>
              <w:rPr>
                <w:rFonts w:hint="eastAsia"/>
                <w:color w:val="000000"/>
                <w:kern w:val="0"/>
                <w:szCs w:val="21"/>
                <w:highlight w:val="none"/>
              </w:rPr>
              <w:t>迎接市级部门三季度督导工作</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10月</w:t>
            </w:r>
          </w:p>
        </w:tc>
        <w:tc>
          <w:tcPr>
            <w:tcW w:w="8054" w:type="dxa"/>
            <w:tcBorders>
              <w:top w:val="nil"/>
              <w:left w:val="nil"/>
              <w:bottom w:val="single" w:sz="4" w:space="0" w:color="auto"/>
              <w:right w:val="single" w:sz="4" w:space="0" w:color="auto"/>
            </w:tcBorders>
            <w:vAlign w:val="center"/>
          </w:tcPr>
          <w:p>
            <w:pPr>
              <w:widowControl/>
              <w:numPr>
                <w:ilvl w:val="0"/>
                <w:numId w:val="11"/>
              </w:numPr>
              <w:tabs>
                <w:tab w:val="left" w:pos="360"/>
              </w:tabs>
              <w:jc w:val="left"/>
              <w:rPr>
                <w:color w:val="000000"/>
                <w:kern w:val="0"/>
                <w:szCs w:val="21"/>
                <w:highlight w:val="none"/>
              </w:rPr>
            </w:pPr>
            <w:r>
              <w:rPr>
                <w:color w:val="000000"/>
                <w:kern w:val="0"/>
                <w:szCs w:val="21"/>
                <w:highlight w:val="none"/>
              </w:rPr>
              <w:t>组织开展基本公共卫生项目第3季度督导</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11月</w:t>
            </w:r>
          </w:p>
        </w:tc>
        <w:tc>
          <w:tcPr>
            <w:tcW w:w="8054" w:type="dxa"/>
            <w:tcBorders>
              <w:top w:val="nil"/>
              <w:left w:val="nil"/>
              <w:bottom w:val="single" w:sz="4" w:space="0" w:color="auto"/>
              <w:right w:val="single" w:sz="4" w:space="0" w:color="auto"/>
            </w:tcBorders>
            <w:vAlign w:val="center"/>
          </w:tcPr>
          <w:p>
            <w:pPr>
              <w:widowControl/>
              <w:numPr>
                <w:ilvl w:val="0"/>
                <w:numId w:val="12"/>
              </w:numPr>
              <w:tabs>
                <w:tab w:val="left" w:pos="360"/>
              </w:tabs>
              <w:jc w:val="left"/>
              <w:rPr>
                <w:color w:val="000000"/>
                <w:kern w:val="0"/>
                <w:szCs w:val="21"/>
                <w:highlight w:val="none"/>
              </w:rPr>
            </w:pPr>
            <w:r>
              <w:rPr>
                <w:color w:val="000000"/>
                <w:kern w:val="0"/>
                <w:szCs w:val="21"/>
                <w:highlight w:val="none"/>
              </w:rPr>
              <w:t>完成年度总结，构思明年工作打算</w:t>
            </w:r>
          </w:p>
          <w:p>
            <w:pPr>
              <w:widowControl/>
              <w:numPr>
                <w:ilvl w:val="0"/>
                <w:numId w:val="12"/>
              </w:numPr>
              <w:tabs>
                <w:tab w:val="left" w:pos="360"/>
              </w:tabs>
              <w:jc w:val="left"/>
              <w:rPr>
                <w:color w:val="000000"/>
                <w:kern w:val="0"/>
                <w:szCs w:val="21"/>
                <w:highlight w:val="none"/>
              </w:rPr>
            </w:pPr>
            <w:r>
              <w:rPr>
                <w:color w:val="000000"/>
                <w:kern w:val="0"/>
                <w:szCs w:val="21"/>
                <w:highlight w:val="none"/>
              </w:rPr>
              <w:t>组织开展基本公共卫生项目下半年度绩效考核</w:t>
            </w:r>
          </w:p>
        </w:tc>
      </w:tr>
      <w:tr>
        <w:tblPrEx>
          <w:tblW w:w="0" w:type="auto"/>
          <w:tblInd w:w="93" w:type="dxa"/>
          <w:tblLayout w:type="fixed"/>
          <w:tblCellMar>
            <w:top w:w="0" w:type="dxa"/>
            <w:left w:w="108" w:type="dxa"/>
            <w:bottom w:w="0" w:type="dxa"/>
            <w:right w:w="108" w:type="dxa"/>
          </w:tblCellMar>
          <w:tblLook w:val="0000"/>
        </w:tblPrEx>
        <w:trPr>
          <w:trHeight w:val="650"/>
        </w:trPr>
        <w:tc>
          <w:tcPr>
            <w:tcW w:w="946" w:type="dxa"/>
            <w:tcBorders>
              <w:top w:val="nil"/>
              <w:left w:val="single" w:sz="4" w:space="0" w:color="auto"/>
              <w:bottom w:val="single" w:sz="4" w:space="0" w:color="auto"/>
              <w:right w:val="single" w:sz="4" w:space="0" w:color="auto"/>
            </w:tcBorders>
            <w:vAlign w:val="center"/>
          </w:tcPr>
          <w:p>
            <w:pPr>
              <w:widowControl/>
              <w:jc w:val="center"/>
              <w:rPr>
                <w:color w:val="000000"/>
                <w:kern w:val="0"/>
                <w:szCs w:val="21"/>
                <w:highlight w:val="none"/>
              </w:rPr>
            </w:pPr>
            <w:r>
              <w:rPr>
                <w:color w:val="000000"/>
                <w:kern w:val="0"/>
                <w:szCs w:val="21"/>
                <w:highlight w:val="none"/>
              </w:rPr>
              <w:t>12月</w:t>
            </w:r>
          </w:p>
        </w:tc>
        <w:tc>
          <w:tcPr>
            <w:tcW w:w="8054" w:type="dxa"/>
            <w:tcBorders>
              <w:top w:val="nil"/>
              <w:left w:val="nil"/>
              <w:bottom w:val="single" w:sz="4" w:space="0" w:color="auto"/>
              <w:right w:val="single" w:sz="4" w:space="0" w:color="auto"/>
            </w:tcBorders>
            <w:vAlign w:val="center"/>
          </w:tcPr>
          <w:p>
            <w:pPr>
              <w:widowControl/>
              <w:jc w:val="left"/>
              <w:rPr>
                <w:color w:val="000000"/>
                <w:kern w:val="0"/>
                <w:szCs w:val="21"/>
                <w:highlight w:val="none"/>
              </w:rPr>
            </w:pPr>
            <w:r>
              <w:rPr>
                <w:color w:val="000000"/>
                <w:kern w:val="0"/>
                <w:szCs w:val="21"/>
                <w:highlight w:val="none"/>
              </w:rPr>
              <w:t>1. 做好市基本公共卫生服务项目考核迎检准备</w:t>
            </w:r>
          </w:p>
          <w:p>
            <w:pPr>
              <w:widowControl/>
              <w:jc w:val="left"/>
              <w:rPr>
                <w:color w:val="000000"/>
                <w:kern w:val="0"/>
                <w:szCs w:val="21"/>
                <w:highlight w:val="none"/>
              </w:rPr>
            </w:pPr>
            <w:r>
              <w:rPr>
                <w:rFonts w:hint="eastAsia"/>
                <w:color w:val="000000"/>
                <w:kern w:val="0"/>
                <w:szCs w:val="21"/>
                <w:highlight w:val="none"/>
              </w:rPr>
              <w:t xml:space="preserve">2. </w:t>
            </w:r>
            <w:r>
              <w:rPr>
                <w:color w:val="000000"/>
                <w:kern w:val="0"/>
                <w:szCs w:val="21"/>
                <w:highlight w:val="none"/>
              </w:rPr>
              <w:t>完成基本公共卫生服务项目</w:t>
            </w:r>
            <w:r>
              <w:rPr>
                <w:rFonts w:hint="eastAsia"/>
                <w:color w:val="000000"/>
                <w:kern w:val="0"/>
                <w:szCs w:val="21"/>
                <w:highlight w:val="none"/>
              </w:rPr>
              <w:t>考核后下发绩效奖金工作</w:t>
            </w:r>
          </w:p>
        </w:tc>
      </w:tr>
    </w:tbl>
    <w:p>
      <w:pPr>
        <w:widowControl/>
        <w:jc w:val="left"/>
        <w:rPr>
          <w:color w:val="000000"/>
          <w:highlight w:val="none"/>
        </w:rPr>
      </w:pPr>
      <w:r>
        <w:rPr>
          <w:color w:val="000000"/>
          <w:highlight w:val="none"/>
        </w:rPr>
        <w:br/>
      </w:r>
      <w:r>
        <w:rPr>
          <w:color w:val="000000"/>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https://d.book118.com/996235052053010040</w:t>
        </w:r>
      </w:hyperlink>
    </w:p>
    <w:p>
      <w:pPr>
        <w:widowControl/>
        <w:jc w:val="left"/>
        <w:rPr>
          <w:color w:val="000000"/>
          <w:highlight w:val="none"/>
        </w:rPr>
      </w:pPr>
    </w:p>
    <w:sectPr>
      <w:headerReference w:type="default" r:id="rId41"/>
      <w:footerReference w:type="even" r:id="rId42"/>
      <w:footerReference w:type="default" r:id="rId43"/>
      <w:headerReference w:type="first" r:id="rId44"/>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仿宋_GB2312">
    <w:altName w:val="仿宋"/>
    <w:panose1 w:val="02010609030101010101"/>
    <w:charset w:val="86"/>
    <w:family w:val="modern"/>
    <w:pitch w:val="default"/>
    <w:sig w:usb0="00000000" w:usb1="080E0000" w:usb2="00000000" w:usb3="00000000" w:csb0="00040000"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方正小标宋简体">
    <w:altName w:val="黑体"/>
    <w:panose1 w:val="02010601030101010101"/>
    <w:charset w:val="86"/>
    <w:family w:val="auto"/>
    <w:pitch w:val="default"/>
    <w:sig w:usb0="00000001" w:usb1="080E0000" w:usb2="00000010" w:usb3="00000000" w:csb0="00040000" w:csb1="00000000"/>
  </w:font>
  <w:font w:name="方正小标宋_GBK">
    <w:altName w:val="微软雅黑"/>
    <w:panose1 w:val="03000509000000000000"/>
    <w:charset w:val="86"/>
    <w:family w:val="auto"/>
    <w:pitch w:val="default"/>
    <w:sig w:usb0="00000000"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w:t>
    </w:r>
    <w:r>
      <w:fldChar w:fldCharType="end"/>
    </w:r>
  </w:p>
  <w:p>
    <w:pPr>
      <w:pStyle w:val="Footer"/>
      <w:tabs>
        <w:tab w:val="center" w:pos="4153"/>
        <w:tab w:val="right" w:pos="8306"/>
      </w:tabs>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64035"/>
    <w:multiLevelType w:val="singleLevel"/>
    <w:tmpl w:val="9AA64035"/>
    <w:lvl w:ilvl="0">
      <w:start w:val="13"/>
      <w:numFmt w:val="decimal"/>
      <w:suff w:val="nothing"/>
      <w:lvlText w:val="%1、"/>
      <w:lvlJc w:val="left"/>
    </w:lvl>
  </w:abstractNum>
  <w:abstractNum w:abstractNumId="1">
    <w:nsid w:val="04B12111"/>
    <w:multiLevelType w:val="multilevel"/>
    <w:tmpl w:val="04B1211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0B182C"/>
    <w:multiLevelType w:val="multilevel"/>
    <w:tmpl w:val="090B182C"/>
    <w:lvl w:ilvl="0">
      <w:start w:val="1"/>
      <w:numFmt w:val="decimal"/>
      <w:lvlText w:val="%1."/>
      <w:lvlJc w:val="left"/>
      <w:pPr>
        <w:tabs>
          <w:tab w:val="num" w:pos="382"/>
        </w:tabs>
        <w:ind w:left="38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47C5BC5"/>
    <w:multiLevelType w:val="multilevel"/>
    <w:tmpl w:val="247C5BC5"/>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CC659AE"/>
    <w:multiLevelType w:val="multilevel"/>
    <w:tmpl w:val="2CC659A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47F33DF"/>
    <w:multiLevelType w:val="multilevel"/>
    <w:tmpl w:val="347F33DF"/>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1440CAF"/>
    <w:multiLevelType w:val="multilevel"/>
    <w:tmpl w:val="41440CAF"/>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F123DDA"/>
    <w:multiLevelType w:val="multilevel"/>
    <w:tmpl w:val="4F123DD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074DEA"/>
    <w:multiLevelType w:val="multilevel"/>
    <w:tmpl w:val="67074DE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8391772"/>
    <w:multiLevelType w:val="multilevel"/>
    <w:tmpl w:val="6839177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D441A6F"/>
    <w:multiLevelType w:val="multilevel"/>
    <w:tmpl w:val="6D441A6F"/>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44B3F71"/>
    <w:multiLevelType w:val="multilevel"/>
    <w:tmpl w:val="744B3F7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lvlOverride w:ilvl="0">
      <w:startOverride w:val="1"/>
    </w:lvlOverride>
  </w:num>
  <w:num w:numId="3">
    <w:abstractNumId w:val="9"/>
    <w:lvlOverride w:ilvl="0">
      <w:startOverride w:val="1"/>
    </w:lvlOverride>
  </w:num>
  <w:num w:numId="4">
    <w:abstractNumId w:val="2"/>
    <w:lvlOverride w:ilvl="0">
      <w:startOverride w:val="1"/>
    </w:lvlOverride>
  </w:num>
  <w:num w:numId="5">
    <w:abstractNumId w:val="6"/>
    <w:lvlOverride w:ilvl="0">
      <w:startOverride w:val="1"/>
    </w:lvlOverride>
  </w:num>
  <w:num w:numId="6">
    <w:abstractNumId w:val="7"/>
    <w:lvlOverride w:ilvl="0">
      <w:startOverride w:val="1"/>
    </w:lvlOverride>
  </w:num>
  <w:num w:numId="7">
    <w:abstractNumId w:val="4"/>
    <w:lvlOverride w:ilvl="0">
      <w:startOverride w:val="1"/>
    </w:lvlOverride>
  </w:num>
  <w:num w:numId="8">
    <w:abstractNumId w:val="11"/>
    <w:lvlOverride w:ilvl="0">
      <w:startOverride w:val="1"/>
    </w:lvlOverride>
  </w:num>
  <w:num w:numId="9">
    <w:abstractNumId w:val="5"/>
    <w:lvlOverride w:ilvl="0">
      <w:startOverride w:val="1"/>
    </w:lvlOverride>
  </w:num>
  <w:num w:numId="10">
    <w:abstractNumId w:val="1"/>
    <w:lvlOverride w:ilvl="0">
      <w:startOverride w:val="1"/>
    </w:lvlOverride>
  </w:num>
  <w:num w:numId="11">
    <w:abstractNumId w:val="10"/>
    <w:lvlOverride w:ilvl="0">
      <w:startOverride w:val="1"/>
    </w:lvlOverride>
  </w:num>
  <w:num w:numId="12">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1A80"/>
    <w:rsid w:val="00113DEF"/>
    <w:rsid w:val="00116955"/>
    <w:rsid w:val="00140A75"/>
    <w:rsid w:val="00172B55"/>
    <w:rsid w:val="001C4AFC"/>
    <w:rsid w:val="002174DF"/>
    <w:rsid w:val="00287E28"/>
    <w:rsid w:val="002B66EB"/>
    <w:rsid w:val="003A3896"/>
    <w:rsid w:val="00446621"/>
    <w:rsid w:val="004805F9"/>
    <w:rsid w:val="004F3660"/>
    <w:rsid w:val="00621A80"/>
    <w:rsid w:val="00783946"/>
    <w:rsid w:val="00843ACD"/>
    <w:rsid w:val="00850CD1"/>
    <w:rsid w:val="008A1C7F"/>
    <w:rsid w:val="008D63CE"/>
    <w:rsid w:val="009C46FA"/>
    <w:rsid w:val="00A97507"/>
    <w:rsid w:val="00BB4FB1"/>
    <w:rsid w:val="00C75795"/>
    <w:rsid w:val="00D332C7"/>
    <w:rsid w:val="00E32844"/>
    <w:rsid w:val="00E71234"/>
    <w:rsid w:val="00EA60EE"/>
    <w:rsid w:val="083D23CF"/>
    <w:rsid w:val="0CCB712B"/>
    <w:rsid w:val="0EA15207"/>
    <w:rsid w:val="140877C7"/>
    <w:rsid w:val="14784FF8"/>
    <w:rsid w:val="16482C61"/>
    <w:rsid w:val="26ED28E2"/>
    <w:rsid w:val="2B5F05B3"/>
    <w:rsid w:val="2C2B43E7"/>
    <w:rsid w:val="35FC23E0"/>
    <w:rsid w:val="37D5655B"/>
    <w:rsid w:val="3D3A5F3F"/>
    <w:rsid w:val="402E20A9"/>
    <w:rsid w:val="40AC03DF"/>
    <w:rsid w:val="45D95BC0"/>
    <w:rsid w:val="4A9254C9"/>
    <w:rsid w:val="4C375385"/>
    <w:rsid w:val="537A3AD3"/>
    <w:rsid w:val="5756664D"/>
    <w:rsid w:val="5FB84C1D"/>
    <w:rsid w:val="6BDD32A7"/>
    <w:rsid w:val="6F692A10"/>
    <w:rsid w:val="70A06B22"/>
    <w:rsid w:val="7165091F"/>
    <w:rsid w:val="73BC4EA3"/>
    <w:rsid w:val="7828327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jc w:val="left"/>
    </w:pPr>
    <w:rPr>
      <w:rFonts w:ascii="宋体" w:eastAsia="宋体" w:hAnsi="宋体" w:cs="宋体"/>
      <w:kern w:val="0"/>
      <w:sz w:val="24"/>
      <w:szCs w:val="24"/>
    </w:rPr>
  </w:style>
  <w:style w:type="character" w:styleId="PageNumber">
    <w:name w:val="page number"/>
    <w:basedOn w:val="DefaultParagraphFont"/>
  </w:style>
  <w:style w:type="character" w:customStyle="1" w:styleId="font71">
    <w:name w:val="font71"/>
    <w:basedOn w:val="DefaultParagraphFont"/>
    <w:rPr>
      <w:rFonts w:ascii="宋体" w:eastAsia="宋体" w:hAnsi="宋体" w:cs="宋体" w:hint="eastAsia"/>
      <w:i w:val="0"/>
      <w:color w:val="000000"/>
      <w:sz w:val="18"/>
      <w:szCs w:val="18"/>
      <w:u w:val="none"/>
    </w:rPr>
  </w:style>
  <w:style w:type="character" w:customStyle="1" w:styleId="font01">
    <w:name w:val="font01"/>
    <w:basedOn w:val="DefaultParagraphFont"/>
    <w:rPr>
      <w:rFonts w:ascii="Times New Roman" w:hAnsi="Times New Roman" w:cs="Times New Roman" w:hint="default"/>
      <w:i w:val="0"/>
      <w:color w:val="000000"/>
      <w:sz w:val="18"/>
      <w:szCs w:val="18"/>
      <w:u w:val="none"/>
    </w:rPr>
  </w:style>
  <w:style w:type="paragraph" w:customStyle="1" w:styleId="New">
    <w:name w:val="正文 New"/>
    <w:qFormat/>
    <w:pPr>
      <w:widowControl w:val="0"/>
      <w:jc w:val="both"/>
    </w:pPr>
    <w:rPr>
      <w:rFonts w:ascii="Times New Roman" w:hAnsi="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header" Target="head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footer" Target="footer14.xml" /><Relationship Id="rId31" Type="http://schemas.openxmlformats.org/officeDocument/2006/relationships/header" Target="head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footer" Target="footer16.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footer" Target="footer18.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hyperlink" Target="https://d.book118.com/996235052053010040"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0.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157273440</TotalTime>
  <Pages>11</Pages>
  <Words>2066</Words>
  <Characters>11781</Characters>
  <Application>Microsoft Office Word</Application>
  <DocSecurity>0</DocSecurity>
  <Lines>98</Lines>
  <Paragraphs>27</Paragraphs>
  <ScaleCrop>false</ScaleCrop>
  <Company/>
  <LinksUpToDate>false</LinksUpToDate>
  <CharactersWithSpaces>13820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沐宇舒荷</cp:lastModifiedBy>
  <cp:revision>3</cp:revision>
  <cp:lastPrinted>2018-06-25T01:17:00Z</cp:lastPrinted>
  <dcterms:created xsi:type="dcterms:W3CDTF">2017-11-10T06:11:00Z</dcterms:created>
  <dcterms:modified xsi:type="dcterms:W3CDTF">2021-08-08T03:55:20Z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37E009049A664EDBA4918C408E3BA4F7</vt:lpwstr>
  </property>
  <property fmtid="{D5CDD505-2E9C-101B-9397-08002B2CF9AE}" pid="3" name="KSOProductBuildVer">
    <vt:lpwstr>2052-11.1.0.10700</vt:lpwstr>
  </property>
</Properties>
</file>