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1、[题干]梦游症的特点有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A.醒来后能够回忆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B.醒来后完全不能回忆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C.发作次数固定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D.主要原因是睡觉前精神愉快。E,每天都会发作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【解析】梦游症的典型特点是醒后完全不能回忆，而且发作次数不定，可隔几天、几十天发作一次，偶可一夜发作数次，通常是由于受惊所致。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2、[题干]维生素D缺乏佝偻病的预防剂量是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A.100IU/d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B.800IU/d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C.1200IU/d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D.4000IU/d。E,400IU/d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3、[单选题]胸骨后痛常见于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A.胸膜炎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B.心脏神经官能症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C.肺梗死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D.自发性气胸。E,反流性食管炎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4、[题干]4：3：2含钠液的成份是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A.4份5%葡萄糖，3份生理盐水，2份1.4%苏打水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B.4份5%苏打水，3份5%葡萄糖，2份生理盐水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C.4份生理盐水，3份5%葡萄糖，2份5%苏打水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D.4份生理盐水，3份5%葡萄糖，2份1.4%苏打水。E,4份5%葡萄糖，3份生理盐水，2份5%苏打水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5、[题干]结核性脑膜炎患儿反复惊厥，尿渗透压增加应首选的检查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A.血钙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B.血钠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C.血糖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D.心电图。E,脑电图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https://d.book118.com/997014113023006043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97014113023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