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2018-2023年南京机电职业技术学院高职单招（数学／语文／英语）历年常考试题库含答案解析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“瀚海阑干百丈冰，愁云惨淡万里凝”，诗句中所用的修辞格是（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《门槛》主要运用了（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B.欲扬先抑手法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下列细节描写中，描写南霁云的是（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A.怒则须髯张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B.拔刀断指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C.抽矢射贺兰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D.记忆超人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“你们真是没有良心哪，你们这样对待我，——是贼，是强盗，是鬼呀”，这句台词出自（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A.曹禺的《日出》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B.老舍的《茶馆》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C.田汉的《南归》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D.新歌剧《白毛女》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“遥岑远目，献愁供恨，玉簪螺髻”所用的修辞手法是（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A.象征、比喻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B.象征、拟人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C.双关、比喻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《战国策》是一部（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D.哲学著作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下列曲词中，概括《天净沙·秋思》全篇主题思想的是（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B.其阻力虽或大或小，而要之必无可逃避者也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C.顺逆两境又常相间以迭乘。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D.非至强之人，未有能善于其终者也。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“呕出一颗心来，——在我心里!”此诗句出自（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有“曲状元”之称的元代散曲家是（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“逝者如斯”一语出自（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A.《醉翁亭记》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B.《前赤壁赋》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C.《论语?子罕》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https://d.book118.com/997023033156006044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97023033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