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311" w:lineRule="auto"/>
      </w:pPr>
      <w:r>
        <w:pict>
          <v:shape id="_x0000_s1025" style="width:17.8pt;height:17.5pt;margin-top:39.01pt;margin-left:69.85pt;mso-position-horizontal-relative:page;mso-position-vertical-relative:page;position:absolute;z-index:251658240" coordorigin="0,0" coordsize="355,350" o:allowincell="f" path="m191,l158,l158,26l,26l,60l158,60l158,95l42,95c26,93,10,104,8,121c8,123,8,126,8,129l8,213c8,234,18,247,42,247l115,247c115,247,104,280,97,297c92,311,88,315,70,315l4,315l4,349l78,349c100,349,120,336,128,315c138,287,151,247,151,247l209,247l209,315c209,336,218,349,242,349l354,349l354,315l255,315c249,316,243,312,242,307c242,305,242,304,242,303l242,247l312,247c336,247,345,236,345,213l345,129c345,105,336,95,312,95l191,95l191,60l355,60l355,26l191,26l191,xm304,129c309,129,312,133,312,137c312,137,312,137,312,138l312,204c312,208,309,212,305,213c304,213,304,213,303,213l50,213c46,213,42,210,42,206c42,206,42,205,42,205l42,136c42,131,45,129,51,129l304,129xe" filled="t" fillcolor="white" stroked="f"/>
        </w:pict>
      </w:r>
      <w:r>
        <w:pict>
          <v:shape id="_x0000_s1026" style="width:16.95pt;height:17.1pt;margin-top:39.37pt;margin-left:100.45pt;mso-position-horizontal-relative:page;mso-position-vertical-relative:page;position:absolute;z-index:251660288" coordorigin="0,0" coordsize="339,342" o:allowincell="f" path="m,33l146,33l129,77l33,77c9,77,,91,,111l,341l33,341l33,119c34,115,38,112,42,111l101,111l101,330l135,330l135,111l202,111l202,330l236,330l236,111l294,111c299,111,303,115,304,120c304,121,304,121,304,122l304,297c304,303,300,307,295,308c294,308,293,308,292,308l262,308l262,341l304,341c326,341,338,333,338,308l338,111c338,91,328,77,304,77l168,77l185,33l337,33l337,l,l,33xe" filled="t" fillcolor="white" stroked="f"/>
        </w:pict>
      </w:r>
      <w:r>
        <w:pict>
          <v:shape id="_x0000_s1027" style="width:17.75pt;height:17.35pt;margin-top:39.12pt;margin-left:132.84pt;mso-position-horizontal-relative:page;mso-position-vertical-relative:page;position:absolute;z-index:251659264" coordorigin="0,0" coordsize="355,347" o:allowincell="f" path="m320,201l237,201l246,177l349,177l349,144l136,144l136,177l210,177l201,201l168,201c151,200,136,212,134,229c134,231,134,233,134,235l134,345l168,345l168,235l196,235l196,340l230,340l230,235l256,235l256,340l290,340l290,235l321,235l321,301c321,307,317,311,311,312c311,312,310,312,310,312l305,312l305,345l320,345c342,345,354,337,354,312l354,235c354,213,344,202,320,202l320,201xem80,177l121,177l121,144l80,144l80,38l123,38l123,4l80,4l46,4l,4l,38l46,38l46,144l,144l,177l46,177l46,312l,312l,346l46,346l80,346l125,346l125,312l80,312l80,177l80,177xem167,125l313,125c336,125,347,118,347,92l347,6l313,6l313,84c313,88,310,92,306,92l257,92l257,l223,l223,92l174,92c169,92,167,89,167,86l167,6l134,6l134,92c134,116,147,125,167,125e" filled="t" fillcolor="white" stroked="f"/>
        </w:pict>
      </w:r>
    </w:p>
    <w:p>
      <w:pPr>
        <w:pStyle w:val="BodyText"/>
        <w:spacing w:line="311" w:lineRule="auto"/>
      </w:pPr>
    </w:p>
    <w:p>
      <w:pPr>
        <w:spacing w:line="655" w:lineRule="exact"/>
        <w:ind w:firstLine="655"/>
      </w:pPr>
      <w:r>
        <w:rPr>
          <w:position w:val="-13"/>
        </w:rPr>
        <w:pict>
          <v:shape id="_x0000_i1028" style="width:32.9pt;height:32.75pt;mso-position-horizontal-relative:char;mso-position-vertical-relative:line" coordorigin="0,0" coordsize="658,655" path="m625,m625,l31,c14,,,14,,31l,623c,640,14,654,31,654l625,654c643,654,657,640,657,623l657,31c657,14,643,,625,l625,xm637,623m637,623c637,629,632,634,625,634c625,634,625,634,625,634l31,634c25,635,19,629,19,623c19,623,19,623,19,623l19,31c19,25,25,20,31,20l625,20c632,20,637,25,637,31l637,623xem601,264c591,268,580,268,569,265c562,259,534,262,534,262c520,266,516,244,516,244c532,230,523,219,523,219c509,220,497,198,497,198c498,192,598,199,598,199c602,201,601,176,601,176c606,177,613,137,613,137c625,104,612,89,612,89c618,77,557,76,557,76c536,64,427,79,427,79c408,91,385,93,364,84c330,89,352,128,352,128c368,145,380,131,380,131c396,134,442,122,442,122c450,128,558,118,558,118c597,131,561,147,561,147c541,147,421,161,421,161c418,174,380,173,380,173c360,171,342,186,340,206c340,207,340,209,340,210c355,427,321,507,321,507c315,520,320,535,331,542c360,550,349,515,349,515c363,480,375,397,375,397c384,384,382,247,382,247c373,218,426,198,426,198c436,203,449,202,458,194c457,198,485,194,485,194l485,205l474,215c465,226,467,254,467,254c457,270,437,277,419,270c409,257,401,265,401,265l396,280c387,294,401,312,401,312c409,323,461,309,461,309c470,309,474,330,474,330c463,337,476,358,476,358c480,360,476,388,476,388c474,399,433,393,433,393c423,398,415,373,415,373c409,365,397,364,389,371c388,371,388,372,387,372c375,463,404,498,404,498c430,530,476,524,476,524c549,542,581,506,581,506c593,441,604,417,604,417c596,413,606,373,606,373c601,350,575,360,575,360c579,376,558,391,558,391c554,396,517,391,517,391c506,396,504,376,504,376c514,370,520,358,519,346c516,334,516,321,519,309c520,303,559,307,559,307c595,313,600,306,600,306c602,295,625,283,625,283c627,267,600,265,600,265l601,264xm520,427c520,427,549,418,561,438c558,458,544,474,525,481c525,481,471,489,455,486c455,486,405,468,427,434c439,430,451,429,464,431c482,435,502,434,520,427l520,427xem345,568c328,580,309,557,309,557c296,566,273,540,273,540c244,544,248,511,248,511c255,471,220,504,220,504c171,563,128,559,128,559c75,548,120,515,120,515c121,505,207,488,207,488c268,469,275,459,275,459c308,406,293,330,293,330c287,304,233,249,233,249c250,246,266,245,283,247c307,247,317,199,317,199c328,171,331,140,326,111c336,81,288,71,288,71l81,67c34,69,45,128,45,128c50,128,51,172,51,172c56,235,70,237,74,242c78,247,123,251,123,251l119,261c48,299,38,309,38,309c33,353,83,324,83,324c122,315,156,293,182,263c212,252,202,282,202,282c174,322,84,361,84,361c70,364,60,377,59,392c57,430,135,380,135,380c159,378,228,317,228,317c245,313,240,337,240,337c151,419,102,423,102,423c52,422,53,457,53,457c48,486,126,453,126,453c164,441,200,422,231,398c274,376,237,430,237,430c231,448,89,487,89,487c34,551,81,596,81,596c136,629,196,570,196,570c203,563,211,557,220,552c234,552,246,575,246,575c262,572,286,591,286,591c321,586,331,604,331,604c370,615,369,592,369,592c378,572,346,568,346,568l345,568xm71,147c71,147,68,149,69,139c69,139,79,122,120,107c120,107,213,104,229,113c229,113,271,103,275,112c275,112,299,129,283,138c283,138,142,130,120,139l71,147xm222,208c222,208,192,221,183,207c183,207,172,217,169,214c165,212,106,217,93,206c93,206,74,198,120,185c120,185,240,178,253,181c253,181,285,182,278,197c278,197,249,208,248,213c248,213,229,217,222,208e" filled="t" fillcolor="white" stroked="f">
            <w10:wrap type="none"/>
          </v:shape>
        </w:pic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515" w:line="193" w:lineRule="auto"/>
        <w:ind w:left="1408"/>
        <w:outlineLvl w:val="0"/>
        <w:rPr>
          <w:rFonts w:ascii="Microsoft YaHei" w:eastAsia="Microsoft YaHei" w:hAnsi="Microsoft YaHei" w:cs="Microsoft YaHei"/>
          <w:sz w:val="120"/>
          <w:szCs w:val="120"/>
        </w:rPr>
      </w:pPr>
      <w:r>
        <w:rPr>
          <w:rFonts w:ascii="SimHei" w:eastAsia="SimHei" w:hAnsi="SimHei" w:cs="SimHei"/>
          <w:color w:val="FFFFFF"/>
          <w:spacing w:val="52"/>
          <w:sz w:val="120"/>
          <w:szCs w:val="120"/>
          <w14:textOutline w14:w="21771">
            <w14:solidFill>
              <w14:srgbClr w14:val="FFFFFF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b/>
          <w:bCs/>
          <w:color w:val="FFFFFF"/>
          <w:spacing w:val="52"/>
          <w:sz w:val="120"/>
          <w:szCs w:val="120"/>
        </w:rPr>
        <w:t>月房地产市场形势分析内参</w:t>
      </w:r>
    </w:p>
    <w:p>
      <w:pPr>
        <w:pStyle w:val="BodyText"/>
        <w:spacing w:line="309" w:lineRule="auto"/>
      </w:pPr>
    </w:p>
    <w:p>
      <w:pPr>
        <w:pStyle w:val="BodyText"/>
        <w:spacing w:line="309" w:lineRule="auto"/>
      </w:pPr>
    </w:p>
    <w:p>
      <w:pPr>
        <w:spacing w:before="274" w:line="195" w:lineRule="auto"/>
        <w:ind w:left="13326"/>
        <w:rPr>
          <w:rFonts w:ascii="Microsoft YaHei" w:eastAsia="Microsoft YaHei" w:hAnsi="Microsoft YaHei" w:cs="Microsoft YaHei"/>
          <w:sz w:val="64"/>
          <w:szCs w:val="64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5"/>
          <w:sz w:val="64"/>
          <w:szCs w:val="64"/>
        </w:rPr>
        <w:t>丁祖昱</w:t>
      </w:r>
      <w:r>
        <w:rPr>
          <w:rFonts w:ascii="Microsoft YaHei" w:eastAsia="Microsoft YaHei" w:hAnsi="Microsoft YaHei" w:cs="Microsoft YaHei"/>
          <w:b/>
          <w:bCs/>
          <w:color w:val="FFFFFF"/>
          <w:spacing w:val="178"/>
          <w:sz w:val="64"/>
          <w:szCs w:val="64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-5"/>
          <w:sz w:val="64"/>
          <w:szCs w:val="64"/>
        </w:rPr>
        <w:t>博士</w:t>
      </w:r>
    </w:p>
    <w:p>
      <w:pPr>
        <w:spacing w:before="2" w:line="193" w:lineRule="auto"/>
        <w:ind w:left="13552"/>
        <w:rPr>
          <w:rFonts w:ascii="Microsoft YaHei" w:eastAsia="Microsoft YaHei" w:hAnsi="Microsoft YaHei" w:cs="Microsoft YaHei"/>
          <w:sz w:val="40"/>
          <w:szCs w:val="40"/>
        </w:rPr>
        <w:sectPr>
          <w:footerReference w:type="default" r:id="rId4"/>
          <w:pgSz w:w="19200" w:h="10800"/>
          <w:pgMar w:top="0" w:right="0" w:bottom="1" w:left="0" w:header="0" w:footer="0" w:gutter="0"/>
          <w:cols w:space="708"/>
        </w:sectPr>
      </w:pPr>
      <w:r>
        <w:rPr>
          <w:rFonts w:ascii="Microsoft YaHei" w:eastAsia="Microsoft YaHei" w:hAnsi="Microsoft YaHei" w:cs="Microsoft YaHei"/>
          <w:b/>
          <w:bCs/>
          <w:color w:val="FFFFFF"/>
          <w:spacing w:val="-1"/>
          <w:sz w:val="40"/>
          <w:szCs w:val="40"/>
        </w:rPr>
        <w:t>克而瑞集团 董事长</w:t>
      </w:r>
    </w:p>
    <w:p>
      <w:pPr>
        <w:pStyle w:val="BodyText"/>
        <w:spacing w:before="165" w:line="4045" w:lineRule="exact"/>
        <w:ind w:firstLine="20"/>
      </w:pPr>
      <w:r>
        <w:rPr>
          <w:position w:val="-80"/>
        </w:rPr>
        <w:pict>
          <v:group id="_x0000_i1029" style="width:958pt;height:202.3pt;mso-position-horizontal-relative:char;mso-position-vertical-relative:line" coordorigin="0,0" coordsize="19160,4046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width:19160;height:3888;position:absolute;top:139" filled="f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width:18950;height:4086;left:125;position:absolute;top:-20" filled="f" stroked="f">
              <o:lock v:ext="edit" aspectratio="f"/>
              <v:textbox inset="0,0,0,0">
                <w:txbxContent>
                  <w:p>
                    <w:pPr>
                      <w:spacing w:before="19" w:line="194" w:lineRule="auto"/>
                      <w:ind w:left="10896"/>
                      <w:rPr>
                        <w:rFonts w:ascii="Microsoft YaHei" w:eastAsia="Microsoft YaHei" w:hAnsi="Microsoft YaHei" w:cs="Microsoft YaHei"/>
                        <w:sz w:val="40"/>
                        <w:szCs w:val="4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"/>
                        <w:sz w:val="40"/>
                        <w:szCs w:val="40"/>
                      </w:rPr>
                      <w:t>上海易居房地产研究院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113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"/>
                        <w:sz w:val="40"/>
                        <w:szCs w:val="40"/>
                      </w:rPr>
                      <w:t>执行院长</w:t>
                    </w:r>
                  </w:p>
                  <w:p>
                    <w:pPr>
                      <w:spacing w:before="221" w:line="195" w:lineRule="auto"/>
                      <w:ind w:left="13464"/>
                      <w:rPr>
                        <w:rFonts w:ascii="Microsoft YaHei" w:eastAsia="Microsoft YaHei" w:hAnsi="Microsoft YaHei" w:cs="Microsoft YaHei"/>
                        <w:sz w:val="40"/>
                        <w:szCs w:val="40"/>
                      </w:rPr>
                    </w:pPr>
                    <w:r>
                      <w:rPr>
                        <w:rFonts w:ascii="Arial" w:eastAsia="Arial" w:hAnsi="Arial" w:cs="Arial"/>
                        <w:color w:val="FFFFFF"/>
                        <w:spacing w:val="19"/>
                        <w:sz w:val="40"/>
                        <w:szCs w:val="40"/>
                        <w14:textOutline w14:w="7271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2</w:t>
                    </w:r>
                    <w:r>
                      <w:rPr>
                        <w:rFonts w:ascii="Arial" w:eastAsia="Arial" w:hAnsi="Arial" w:cs="Arial"/>
                        <w:color w:val="FFFFFF"/>
                        <w:spacing w:val="102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FFFFFF"/>
                        <w:spacing w:val="19"/>
                        <w:sz w:val="40"/>
                        <w:szCs w:val="40"/>
                        <w14:textOutline w14:w="7271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0</w:t>
                    </w:r>
                    <w:r>
                      <w:rPr>
                        <w:rFonts w:ascii="Arial" w:eastAsia="Arial" w:hAnsi="Arial" w:cs="Arial"/>
                        <w:color w:val="FFFFFF"/>
                        <w:spacing w:val="92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FFFFFF"/>
                        <w:spacing w:val="19"/>
                        <w:sz w:val="40"/>
                        <w:szCs w:val="40"/>
                        <w14:textOutline w14:w="7271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2</w:t>
                    </w:r>
                    <w:r>
                      <w:rPr>
                        <w:rFonts w:ascii="Arial" w:eastAsia="Arial" w:hAnsi="Arial" w:cs="Arial"/>
                        <w:color w:val="FFFFFF"/>
                        <w:spacing w:val="85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FFFFFF"/>
                        <w:spacing w:val="19"/>
                        <w:sz w:val="40"/>
                        <w:szCs w:val="40"/>
                        <w14:textOutline w14:w="7271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4</w:t>
                    </w:r>
                    <w:r>
                      <w:rPr>
                        <w:rFonts w:ascii="Arial" w:eastAsia="Arial" w:hAnsi="Arial" w:cs="Arial"/>
                        <w:color w:val="FFFFFF"/>
                        <w:spacing w:val="90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19"/>
                        <w:sz w:val="40"/>
                        <w:szCs w:val="40"/>
                      </w:rPr>
                      <w:t>年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83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FFFFFF"/>
                        <w:spacing w:val="19"/>
                        <w:sz w:val="40"/>
                        <w:szCs w:val="40"/>
                        <w14:textOutline w14:w="7271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3</w:t>
                    </w:r>
                    <w:r>
                      <w:rPr>
                        <w:rFonts w:ascii="Arial" w:eastAsia="Arial" w:hAnsi="Arial" w:cs="Arial"/>
                        <w:color w:val="FFFFFF"/>
                        <w:spacing w:val="92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19"/>
                        <w:sz w:val="40"/>
                        <w:szCs w:val="40"/>
                      </w:rPr>
                      <w:t>月</w:t>
                    </w: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3" w:line="194" w:lineRule="auto"/>
                      <w:ind w:left="20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2"/>
                        <w:sz w:val="24"/>
                        <w:szCs w:val="24"/>
                      </w:rPr>
                      <w:t>此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32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2"/>
                        <w:sz w:val="24"/>
                        <w:szCs w:val="24"/>
                      </w:rPr>
                      <w:t>报   告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32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2"/>
                        <w:sz w:val="24"/>
                        <w:szCs w:val="24"/>
                      </w:rPr>
                      <w:t>仅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32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2"/>
                        <w:sz w:val="24"/>
                        <w:szCs w:val="24"/>
                      </w:rPr>
                      <w:t xml:space="preserve">供   内   部 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3"/>
                        <w:sz w:val="24"/>
                        <w:szCs w:val="24"/>
                      </w:rPr>
                      <w:t>使   用    ，  未   经   克   而   瑞   集   团   书   面   许   可     ，  其   它   任   何   机   构   和   个   人   不   得   擅   自   传   阅   、   引   用   或   复   制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045" w:lineRule="exact"/>
        <w:sectPr>
          <w:footerReference w:type="default" r:id="rId6"/>
          <w:type w:val="nextPage"/>
          <w:pgSz w:w="19200" w:h="10800"/>
          <w:pgMar w:top="0" w:right="0" w:bottom="1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48" w:lineRule="auto"/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4058325</wp:posOffset>
            </wp:positionH>
            <wp:positionV relativeFrom="page">
              <wp:posOffset>3044278</wp:posOffset>
            </wp:positionV>
            <wp:extent cx="5524672" cy="673444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24672" cy="67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line="2550" w:lineRule="exact"/>
        <w:ind w:firstLine="3632"/>
      </w:pPr>
      <w:r>
        <w:rPr>
          <w:position w:val="-51"/>
        </w:rPr>
        <w:pict>
          <v:group id="_x0000_i1032" style="width:98.65pt;height:127.55pt;mso-position-horizontal-relative:char;mso-position-vertical-relative:line" coordorigin="0,0" coordsize="1973,2551" filled="f" stroked="f">
            <v:shape id="_x0000_s1033" type="#_x0000_t75" style="width:1973;height:2551;position:absolute" filled="f" stroked="f">
              <v:imagedata r:id="rId8" o:title=""/>
            </v:shape>
            <v:shape id="_x0000_s1034" type="#_x0000_t202" style="width:2013;height:259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474" w:line="209" w:lineRule="auto"/>
                      <w:ind w:left="637"/>
                      <w:rPr>
                        <w:rFonts w:ascii="Yu Gothic" w:eastAsia="Yu Gothic" w:hAnsi="Yu Gothic" w:cs="Yu Gothic"/>
                        <w:sz w:val="79"/>
                        <w:szCs w:val="79"/>
                      </w:rPr>
                    </w:pPr>
                    <w:r>
                      <w:rPr>
                        <w:rFonts w:ascii="Yu Gothic" w:eastAsia="Yu Gothic" w:hAnsi="Yu Gothic" w:cs="Yu Gothic"/>
                        <w:b/>
                        <w:bCs/>
                        <w:color w:val="6DECFF"/>
                        <w:sz w:val="79"/>
                        <w:szCs w:val="79"/>
                      </w:rPr>
                      <w:t>壹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550" w:lineRule="exact"/>
        <w:sectPr>
          <w:footerReference w:type="default" r:id="rId9"/>
          <w:pgSz w:w="19200" w:h="10800"/>
          <w:pgMar w:top="0" w:right="0" w:bottom="400" w:left="0" w:header="0" w:footer="0" w:gutter="0"/>
          <w:pgNumType w:start="3"/>
          <w:cols w:space="708"/>
        </w:sectPr>
      </w:pPr>
    </w:p>
    <w:p>
      <w:pPr>
        <w:spacing w:before="96" w:line="482" w:lineRule="exact"/>
        <w:jc w:val="right"/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485394</wp:posOffset>
            </wp:positionV>
            <wp:extent cx="653795" cy="42291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53795" cy="422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0"/>
        </w:rPr>
        <w:drawing>
          <wp:inline distT="0" distB="0" distL="0" distR="0">
            <wp:extent cx="1097280" cy="306324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97280" cy="306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" w:line="194" w:lineRule="auto"/>
        <w:ind w:left="1318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color w:val="10316B"/>
          <w:spacing w:val="-1"/>
          <w:sz w:val="48"/>
          <w:szCs w:val="48"/>
        </w:rPr>
        <w:t>两会定调房地产：稳主体、稳市场化解行业风险，加快构建新模式</w:t>
      </w:r>
    </w:p>
    <w:p>
      <w:pPr>
        <w:spacing w:before="16"/>
      </w:pPr>
    </w:p>
    <w:tbl>
      <w:tblPr>
        <w:tblStyle w:val="TableNormal0"/>
        <w:tblW w:w="16628" w:type="dxa"/>
        <w:tblInd w:w="75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</w:tblPr>
      <w:tblGrid>
        <w:gridCol w:w="1830"/>
        <w:gridCol w:w="14758"/>
        <w:gridCol w:w="40"/>
      </w:tblGrid>
      <w:tr>
        <w:tblPrEx>
          <w:tblW w:w="16628" w:type="dxa"/>
          <w:tblInd w:w="751" w:type="dxa"/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8" w:space="0" w:color="FFFFFF"/>
            <w:insideV w:val="single" w:sz="8" w:space="0" w:color="FFFFFF"/>
          </w:tblBorders>
          <w:tblLayout w:type="fixed"/>
        </w:tblPrEx>
        <w:trPr>
          <w:trHeight w:val="2250"/>
        </w:trPr>
        <w:tc>
          <w:tcPr>
            <w:tcW w:w="16628" w:type="dxa"/>
            <w:gridSpan w:val="3"/>
            <w:shd w:val="clear" w:color="auto" w:fill="F2F2F2"/>
            <w:vAlign w:val="top"/>
          </w:tcPr>
          <w:p>
            <w:pPr>
              <w:pStyle w:val="TableText"/>
              <w:spacing w:before="231" w:line="193" w:lineRule="auto"/>
              <w:ind w:left="1969"/>
              <w:rPr>
                <w:sz w:val="36"/>
                <w:szCs w:val="36"/>
              </w:rPr>
            </w:pPr>
            <w:r>
              <w:drawing>
                <wp:anchor distT="0" distB="0" distL="0" distR="0" simplePos="0" relativeHeight="251665408" behindDoc="0" locked="0" layoutInCell="1" allowOverlap="1">
                  <wp:simplePos x="0" y="0"/>
                  <wp:positionH relativeFrom="rightMargin">
                    <wp:posOffset>-10191708</wp:posOffset>
                  </wp:positionH>
                  <wp:positionV relativeFrom="topMargin">
                    <wp:posOffset>326311</wp:posOffset>
                  </wp:positionV>
                  <wp:extent cx="696552" cy="754100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552" cy="754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35" style="width:823.25pt;height:8.5pt;margin-top:96.59pt;margin-left:-822.31pt;mso-position-horizontal-relative:right-margin-area;mso-position-vertical-relative:top-margin-area;position:absolute;z-index:251664384" coordorigin="0,0" coordsize="16465,170" path="m,157l16306,157c16387,157,16452,92,16452,12e" filled="f" strokecolor="white" strokeweight="1.2pt">
                  <v:stroke joinstyle="miter" opacity="13107f"/>
                </v:shape>
              </w:pict>
            </w:r>
            <w:r>
              <w:rPr>
                <w:b/>
                <w:bCs/>
                <w:color w:val="E25822"/>
                <w:spacing w:val="-1"/>
                <w:sz w:val="36"/>
                <w:szCs w:val="36"/>
              </w:rPr>
              <w:t>防范化解房地产风险，一视同仁支持房企融资稳主体</w:t>
            </w:r>
          </w:p>
          <w:p>
            <w:pPr>
              <w:pStyle w:val="TableText"/>
              <w:spacing w:before="34" w:line="178" w:lineRule="auto"/>
              <w:ind w:left="19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spacing w:val="-8"/>
                <w:w w:val="99"/>
              </w:rPr>
              <w:t>“</w:t>
            </w:r>
            <w:r>
              <w:rPr>
                <w:b/>
                <w:bCs/>
                <w:i/>
                <w:iCs/>
                <w:spacing w:val="-8"/>
                <w:w w:val="99"/>
                <w:sz w:val="25"/>
                <w:szCs w:val="25"/>
              </w:rPr>
              <w:t>优化房地产政策，对不同所有制房地产企业合理融资需求要一视同仁给予支持，促进房地产市场平稳健康发展。</w:t>
            </w:r>
            <w:r>
              <w:rPr>
                <w:b/>
                <w:bCs/>
                <w:spacing w:val="60"/>
                <w:sz w:val="25"/>
                <w:szCs w:val="25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pacing w:val="-8"/>
                <w:w w:val="99"/>
              </w:rPr>
              <w:t>”</w:t>
            </w:r>
          </w:p>
          <w:p>
            <w:pPr>
              <w:pStyle w:val="TableText"/>
              <w:spacing w:before="1" w:line="187" w:lineRule="auto"/>
              <w:ind w:left="1963"/>
            </w:pPr>
            <w:r>
              <w:rPr>
                <w:rFonts w:ascii="Arial" w:eastAsia="Arial" w:hAnsi="Arial" w:cs="Arial"/>
                <w:spacing w:val="-3"/>
              </w:rPr>
              <w:t>•</w:t>
            </w:r>
            <w:r>
              <w:rPr>
                <w:rFonts w:ascii="Arial" w:eastAsia="Arial" w:hAnsi="Arial" w:cs="Arial"/>
                <w:spacing w:val="33"/>
                <w:w w:val="101"/>
              </w:rPr>
              <w:t xml:space="preserve">  </w:t>
            </w:r>
            <w:r>
              <w:rPr>
                <w:spacing w:val="-3"/>
              </w:rPr>
              <w:t>房地产政策继续宽松的主基调不会改变。今年的《政府工作报告》依然没有提及</w:t>
            </w:r>
            <w:r>
              <w:rPr>
                <w:rFonts w:ascii="Calibri" w:eastAsia="Calibri" w:hAnsi="Calibri" w:cs="Calibri"/>
                <w:spacing w:val="-3"/>
              </w:rPr>
              <w:t>“</w:t>
            </w:r>
            <w:r>
              <w:rPr>
                <w:spacing w:val="-3"/>
              </w:rPr>
              <w:t>房住不炒</w:t>
            </w:r>
            <w:r>
              <w:rPr>
                <w:rFonts w:ascii="Calibri" w:eastAsia="Calibri" w:hAnsi="Calibri" w:cs="Calibri"/>
                <w:spacing w:val="-3"/>
              </w:rPr>
              <w:t>”</w:t>
            </w:r>
            <w:r>
              <w:rPr>
                <w:rFonts w:ascii="Calibri" w:eastAsia="Calibri" w:hAnsi="Calibri" w:cs="Calibri"/>
                <w:spacing w:val="42"/>
                <w:w w:val="101"/>
              </w:rPr>
              <w:t xml:space="preserve"> </w:t>
            </w:r>
            <w:r>
              <w:rPr>
                <w:spacing w:val="-3"/>
              </w:rPr>
              <w:t>，但不代表动摇。</w:t>
            </w:r>
          </w:p>
          <w:p>
            <w:pPr>
              <w:pStyle w:val="TableText"/>
              <w:spacing w:line="186" w:lineRule="auto"/>
              <w:ind w:left="1963"/>
            </w:pPr>
            <w:r>
              <w:rPr>
                <w:rFonts w:ascii="Arial" w:eastAsia="Arial" w:hAnsi="Arial" w:cs="Arial"/>
                <w:spacing w:val="-1"/>
              </w:rPr>
              <w:t>•</w:t>
            </w:r>
            <w:r>
              <w:rPr>
                <w:rFonts w:ascii="Arial" w:eastAsia="Arial" w:hAnsi="Arial" w:cs="Arial"/>
                <w:spacing w:val="28"/>
              </w:rPr>
              <w:t xml:space="preserve">  </w:t>
            </w:r>
            <w:r>
              <w:rPr>
                <w:spacing w:val="-1"/>
              </w:rPr>
              <w:t>房地产再次被列入</w:t>
            </w:r>
            <w:r>
              <w:rPr>
                <w:rFonts w:ascii="Calibri" w:eastAsia="Calibri" w:hAnsi="Calibri" w:cs="Calibri"/>
                <w:spacing w:val="-1"/>
              </w:rPr>
              <w:t>“</w:t>
            </w:r>
            <w:r>
              <w:rPr>
                <w:rFonts w:ascii="Calibri" w:eastAsia="Calibri" w:hAnsi="Calibri" w:cs="Calibri"/>
                <w:spacing w:val="-39"/>
              </w:rPr>
              <w:t xml:space="preserve"> </w:t>
            </w:r>
            <w:r>
              <w:rPr>
                <w:spacing w:val="-1"/>
              </w:rPr>
              <w:t>防风险</w:t>
            </w:r>
            <w:r>
              <w:rPr>
                <w:rFonts w:ascii="Calibri" w:eastAsia="Calibri" w:hAnsi="Calibri" w:cs="Calibri"/>
                <w:spacing w:val="-1"/>
              </w:rPr>
              <w:t>”</w:t>
            </w:r>
            <w:r>
              <w:rPr>
                <w:spacing w:val="-1"/>
              </w:rPr>
              <w:t>任务板块，也是首要任务</w:t>
            </w:r>
            <w:r>
              <w:rPr>
                <w:spacing w:val="-2"/>
              </w:rPr>
              <w:t>，要压实企业主体责任、部门监管责任、地方属地责任。</w:t>
            </w:r>
          </w:p>
          <w:p>
            <w:pPr>
              <w:pStyle w:val="TableText"/>
              <w:spacing w:line="193" w:lineRule="auto"/>
              <w:ind w:left="1963"/>
            </w:pPr>
            <w:r>
              <w:rPr>
                <w:rFonts w:ascii="Arial" w:eastAsia="Arial" w:hAnsi="Arial" w:cs="Arial"/>
                <w:spacing w:val="-2"/>
              </w:rPr>
              <w:t>•</w:t>
            </w:r>
            <w:r>
              <w:rPr>
                <w:rFonts w:ascii="Arial" w:eastAsia="Arial" w:hAnsi="Arial" w:cs="Arial"/>
                <w:spacing w:val="31"/>
              </w:rPr>
              <w:t xml:space="preserve">  </w:t>
            </w:r>
            <w:r>
              <w:rPr>
                <w:spacing w:val="-2"/>
              </w:rPr>
              <w:t>稳主体是稳地产的重要方面，一视同仁支持房企融资以期稳住市场主体。</w:t>
            </w:r>
          </w:p>
        </w:tc>
      </w:tr>
      <w:tr>
        <w:tblPrEx>
          <w:tblW w:w="16628" w:type="dxa"/>
          <w:tblInd w:w="751" w:type="dxa"/>
          <w:tblLayout w:type="fixed"/>
        </w:tblPrEx>
        <w:trPr>
          <w:trHeight w:val="2481"/>
        </w:trPr>
        <w:tc>
          <w:tcPr>
            <w:tcW w:w="16628" w:type="dxa"/>
            <w:gridSpan w:val="3"/>
            <w:shd w:val="clear" w:color="auto" w:fill="F2F2F2"/>
            <w:vAlign w:val="top"/>
          </w:tcPr>
          <w:p>
            <w:pPr>
              <w:pStyle w:val="TableText"/>
              <w:spacing w:before="193" w:line="185" w:lineRule="auto"/>
              <w:ind w:left="1931"/>
              <w:rPr>
                <w:sz w:val="36"/>
                <w:szCs w:val="36"/>
              </w:rPr>
            </w:pPr>
            <w:r>
              <w:drawing>
                <wp:anchor distT="0" distB="0" distL="0" distR="0" simplePos="0" relativeHeight="251663360" behindDoc="0" locked="0" layoutInCell="1" allowOverlap="1">
                  <wp:simplePos x="0" y="0"/>
                  <wp:positionH relativeFrom="rightMargin">
                    <wp:posOffset>-10191708</wp:posOffset>
                  </wp:positionH>
                  <wp:positionV relativeFrom="topMargin">
                    <wp:posOffset>368189</wp:posOffset>
                  </wp:positionV>
                  <wp:extent cx="696552" cy="743627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552" cy="7436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color w:val="E25822"/>
                <w:spacing w:val="-1"/>
                <w:sz w:val="36"/>
                <w:szCs w:val="36"/>
              </w:rPr>
              <w:t>加大保障性住房建设供给，加快构建发展新模式</w:t>
            </w:r>
          </w:p>
          <w:p>
            <w:pPr>
              <w:pStyle w:val="TableText"/>
              <w:spacing w:line="179" w:lineRule="auto"/>
              <w:ind w:left="1909" w:right="349" w:hanging="13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spacing w:val="-8"/>
              </w:rPr>
              <w:t>“</w:t>
            </w:r>
            <w:r>
              <w:rPr>
                <w:b/>
                <w:bCs/>
                <w:i/>
                <w:iCs/>
                <w:spacing w:val="-8"/>
                <w:sz w:val="25"/>
                <w:szCs w:val="25"/>
              </w:rPr>
              <w:t>适应新型城镇化发展趋势和房地产市场供求关系变化，加快构建房地产发展新模式。加大保障性住房建</w:t>
            </w:r>
            <w:r>
              <w:rPr>
                <w:b/>
                <w:bCs/>
                <w:i/>
                <w:iCs/>
                <w:spacing w:val="-9"/>
                <w:sz w:val="25"/>
                <w:szCs w:val="25"/>
              </w:rPr>
              <w:t>设和供给，完善商品房相关基础</w:t>
            </w:r>
            <w:r>
              <w:rPr>
                <w:b/>
                <w:bCs/>
                <w:sz w:val="25"/>
                <w:szCs w:val="25"/>
              </w:rPr>
              <w:t xml:space="preserve"> </w:t>
            </w:r>
            <w:r>
              <w:rPr>
                <w:b/>
                <w:bCs/>
                <w:i/>
                <w:iCs/>
                <w:spacing w:val="7"/>
                <w:sz w:val="25"/>
                <w:szCs w:val="25"/>
              </w:rPr>
              <w:t>性制度。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pacing w:val="7"/>
              </w:rPr>
              <w:t>”</w:t>
            </w:r>
          </w:p>
          <w:p>
            <w:pPr>
              <w:pStyle w:val="TableText"/>
              <w:spacing w:before="2" w:line="171" w:lineRule="auto"/>
              <w:ind w:left="2199" w:right="468" w:hanging="260"/>
            </w:pPr>
            <w:r>
              <w:rPr>
                <w:rFonts w:ascii="Arial" w:eastAsia="Arial" w:hAnsi="Arial" w:cs="Arial"/>
                <w:spacing w:val="-5"/>
              </w:rPr>
              <w:t>•</w:t>
            </w:r>
            <w:r>
              <w:rPr>
                <w:rFonts w:ascii="Arial" w:eastAsia="Arial" w:hAnsi="Arial" w:cs="Arial"/>
                <w:spacing w:val="27"/>
              </w:rPr>
              <w:t xml:space="preserve">  </w:t>
            </w:r>
            <w:r>
              <w:rPr>
                <w:rFonts w:ascii="Calibri" w:eastAsia="Calibri" w:hAnsi="Calibri" w:cs="Calibri"/>
                <w:spacing w:val="-5"/>
              </w:rPr>
              <w:t>“</w:t>
            </w:r>
            <w:r>
              <w:rPr>
                <w:spacing w:val="-5"/>
              </w:rPr>
              <w:t>三大工程</w:t>
            </w:r>
            <w:r>
              <w:rPr>
                <w:rFonts w:ascii="Calibri" w:eastAsia="Calibri" w:hAnsi="Calibri" w:cs="Calibri"/>
                <w:spacing w:val="-5"/>
              </w:rPr>
              <w:t>”</w:t>
            </w:r>
            <w:r>
              <w:rPr>
                <w:spacing w:val="-5"/>
              </w:rPr>
              <w:t>是住房多元供给改革的重要内容</w:t>
            </w:r>
            <w:r>
              <w:rPr>
                <w:spacing w:val="-6"/>
              </w:rPr>
              <w:t>，也是房地产发展新模式的题中之意，对于稳投资也有重要意义。</w:t>
            </w:r>
            <w:r>
              <w:rPr>
                <w:spacing w:val="19"/>
              </w:rPr>
              <w:t xml:space="preserve">  </w:t>
            </w:r>
            <w:r>
              <w:rPr>
                <w:rFonts w:ascii="Calibri" w:eastAsia="Calibri" w:hAnsi="Calibri" w:cs="Calibri"/>
                <w:spacing w:val="-6"/>
              </w:rPr>
              <w:t>2024</w:t>
            </w:r>
            <w:r>
              <w:rPr>
                <w:spacing w:val="-6"/>
              </w:rPr>
              <w:t>年以来，</w:t>
            </w:r>
            <w:r>
              <w:rPr>
                <w:spacing w:val="57"/>
              </w:rPr>
              <w:t xml:space="preserve"> </w:t>
            </w:r>
            <w:r>
              <w:rPr>
                <w:rFonts w:ascii="Calibri" w:eastAsia="Calibri" w:hAnsi="Calibri" w:cs="Calibri"/>
                <w:spacing w:val="-6"/>
              </w:rPr>
              <w:t>PSL</w:t>
            </w:r>
            <w:r>
              <w:rPr>
                <w:spacing w:val="-6"/>
              </w:rPr>
              <w:t>资金、</w:t>
            </w:r>
            <w:r>
              <w:t xml:space="preserve"> </w:t>
            </w:r>
            <w:r>
              <w:t>地方专项债、中央预算内投资、试点扩围等一系列政策支持部署到位，未来的重点是要加紧落实，打通从目标规划到政策配套</w:t>
            </w:r>
            <w:r>
              <w:rPr>
                <w:spacing w:val="-1"/>
              </w:rPr>
              <w:t>再到项</w:t>
            </w:r>
            <w:r>
              <w:t xml:space="preserve"> </w:t>
            </w:r>
            <w:r>
              <w:rPr>
                <w:spacing w:val="-2"/>
              </w:rPr>
              <w:t>目落地的链条，形成更多实务工作量以及可复制的经验模式。</w:t>
            </w:r>
          </w:p>
          <w:p>
            <w:pPr>
              <w:spacing w:line="177" w:lineRule="exact"/>
              <w:ind w:firstLine="156"/>
            </w:pPr>
            <w:r>
              <w:rPr>
                <w:position w:val="-3"/>
              </w:rPr>
              <w:pict>
                <v:shape id="_x0000_i1036" style="width:823.65pt;height:9.45pt;mso-position-horizontal-relative:char;mso-position-vertical-relative:line" coordorigin="0,0" coordsize="16473,188" path="m,176l16295,176c16386,176,16460,103,16460,12e" filled="f" strokecolor="white" strokeweight="1.2pt">
                  <v:stroke joinstyle="miter" opacity="13107f"/>
                  <w10:wrap type="none"/>
                </v:shape>
              </w:pict>
            </w:r>
          </w:p>
        </w:tc>
      </w:tr>
      <w:tr>
        <w:tblPrEx>
          <w:tblW w:w="16628" w:type="dxa"/>
          <w:tblInd w:w="751" w:type="dxa"/>
          <w:tblLayout w:type="fixed"/>
        </w:tblPrEx>
        <w:trPr>
          <w:trHeight w:val="1777"/>
        </w:trPr>
        <w:tc>
          <w:tcPr>
            <w:tcW w:w="1830" w:type="dxa"/>
            <w:tcBorders>
              <w:right w:val="nil"/>
            </w:tcBorders>
            <w:shd w:val="clear" w:color="auto" w:fill="F2F2F2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line="1171" w:lineRule="exact"/>
              <w:ind w:firstLine="598"/>
            </w:pPr>
            <w:r>
              <w:rPr>
                <w:position w:val="-23"/>
              </w:rPr>
              <w:drawing>
                <wp:inline distT="0" distB="0" distL="0" distR="0">
                  <wp:extent cx="695293" cy="743627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293" cy="7436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58" w:type="dxa"/>
            <w:tcBorders>
              <w:left w:val="nil"/>
            </w:tcBorders>
            <w:shd w:val="clear" w:color="auto" w:fill="F2F2F2"/>
            <w:vAlign w:val="top"/>
          </w:tcPr>
          <w:p>
            <w:pPr>
              <w:pStyle w:val="TableText"/>
              <w:spacing w:before="259" w:line="193" w:lineRule="auto"/>
              <w:ind w:left="111"/>
              <w:rPr>
                <w:sz w:val="36"/>
                <w:szCs w:val="36"/>
              </w:rPr>
            </w:pPr>
            <w:r>
              <w:rPr>
                <w:b/>
                <w:bCs/>
                <w:color w:val="E25822"/>
                <w:spacing w:val="-1"/>
                <w:sz w:val="36"/>
                <w:szCs w:val="36"/>
              </w:rPr>
              <w:t>减少限制性措施，支持多样化住房需求稳市场</w:t>
            </w:r>
          </w:p>
          <w:p>
            <w:pPr>
              <w:pStyle w:val="TableText"/>
              <w:spacing w:before="32" w:line="179" w:lineRule="auto"/>
              <w:ind w:left="76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spacing w:val="-5"/>
                <w:w w:val="98"/>
              </w:rPr>
              <w:t>“</w:t>
            </w:r>
            <w:r>
              <w:rPr>
                <w:b/>
                <w:bCs/>
                <w:i/>
                <w:iCs/>
                <w:spacing w:val="-5"/>
                <w:w w:val="98"/>
                <w:sz w:val="25"/>
                <w:szCs w:val="25"/>
              </w:rPr>
              <w:t>满足居民刚性住房需求和多样化改善性住房需求。</w:t>
            </w:r>
            <w:r>
              <w:rPr>
                <w:b/>
                <w:bCs/>
                <w:spacing w:val="52"/>
                <w:sz w:val="25"/>
                <w:szCs w:val="25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pacing w:val="-5"/>
                <w:w w:val="98"/>
              </w:rPr>
              <w:t>”“</w:t>
            </w:r>
            <w:r>
              <w:rPr>
                <w:b/>
                <w:bCs/>
                <w:i/>
                <w:iCs/>
                <w:spacing w:val="-5"/>
                <w:w w:val="98"/>
                <w:sz w:val="25"/>
                <w:szCs w:val="25"/>
              </w:rPr>
              <w:t>减少限制性措施，更好满足人民群众改善生活需要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pacing w:val="-5"/>
                <w:w w:val="98"/>
              </w:rPr>
              <w:t>”</w:t>
            </w:r>
          </w:p>
          <w:p>
            <w:pPr>
              <w:pStyle w:val="TableText"/>
              <w:spacing w:before="2" w:line="190" w:lineRule="auto"/>
              <w:ind w:left="380" w:right="487" w:hanging="261"/>
            </w:pPr>
            <w:r>
              <w:rPr>
                <w:rFonts w:ascii="Arial" w:eastAsia="Arial" w:hAnsi="Arial" w:cs="Arial"/>
              </w:rPr>
              <w:t>•</w:t>
            </w:r>
            <w:r>
              <w:rPr>
                <w:rFonts w:ascii="Arial" w:eastAsia="Arial" w:hAnsi="Arial" w:cs="Arial"/>
                <w:spacing w:val="27"/>
                <w:w w:val="101"/>
              </w:rPr>
              <w:t xml:space="preserve">  </w:t>
            </w:r>
            <w:r>
              <w:t>今年一线调控趋松、二三线全面放开的总趋势不会变</w:t>
            </w:r>
            <w:r>
              <w:rPr>
                <w:spacing w:val="-1"/>
              </w:rPr>
              <w:t>，北上广深杭蓉等城市</w:t>
            </w:r>
            <w:r>
              <w:rPr>
                <w:rFonts w:ascii="Calibri" w:eastAsia="Calibri" w:hAnsi="Calibri" w:cs="Calibri"/>
                <w:spacing w:val="-1"/>
              </w:rPr>
              <w:t>“</w:t>
            </w:r>
            <w:r>
              <w:rPr>
                <w:rFonts w:ascii="Calibri" w:eastAsia="Calibri" w:hAnsi="Calibri" w:cs="Calibri"/>
                <w:spacing w:val="-32"/>
              </w:rPr>
              <w:t xml:space="preserve"> </w:t>
            </w:r>
            <w:r>
              <w:rPr>
                <w:spacing w:val="-1"/>
              </w:rPr>
              <w:t>四限</w:t>
            </w:r>
            <w:r>
              <w:rPr>
                <w:rFonts w:ascii="Calibri" w:eastAsia="Calibri" w:hAnsi="Calibri" w:cs="Calibri"/>
                <w:spacing w:val="-1"/>
              </w:rPr>
              <w:t>”</w:t>
            </w:r>
            <w:r>
              <w:rPr>
                <w:spacing w:val="-1"/>
              </w:rPr>
              <w:t>均有再松绑空间，另一方面，信贷、财税等方面政</w:t>
            </w:r>
            <w:r>
              <w:t xml:space="preserve"> </w:t>
            </w:r>
            <w:r>
              <w:rPr>
                <w:spacing w:val="-3"/>
              </w:rPr>
              <w:t>策有望进一步发力，支持居民购房。</w:t>
            </w:r>
          </w:p>
        </w:tc>
        <w:tc>
          <w:tcPr>
            <w:tcW w:w="40" w:type="dxa"/>
            <w:tcBorders>
              <w:top w:val="nil"/>
              <w:left w:val="single" w:sz="2" w:space="0" w:color="FFFFFF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24" w:lineRule="exact"/>
        <w:sectPr>
          <w:footerReference w:type="default" r:id="rId15"/>
          <w:pgSz w:w="19200" w:h="10800"/>
          <w:pgMar w:top="263" w:right="643" w:bottom="220" w:left="0" w:header="0" w:footer="0" w:gutter="0"/>
          <w:pgNumType w:start="4"/>
          <w:cols w:space="708"/>
        </w:sectPr>
      </w:pPr>
    </w:p>
    <w:tbl>
      <w:tblPr>
        <w:tblStyle w:val="TableNormal1"/>
        <w:tblW w:w="16597" w:type="dxa"/>
        <w:tblInd w:w="75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</w:tblPr>
      <w:tblGrid>
        <w:gridCol w:w="1830"/>
        <w:gridCol w:w="14767"/>
      </w:tblGrid>
      <w:tr>
        <w:tblPrEx>
          <w:tblW w:w="16597" w:type="dxa"/>
          <w:tblInd w:w="756" w:type="dxa"/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8" w:space="0" w:color="FFFFFF"/>
            <w:insideV w:val="single" w:sz="8" w:space="0" w:color="FFFFFF"/>
          </w:tblBorders>
          <w:tblLayout w:type="fixed"/>
        </w:tblPrEx>
        <w:trPr>
          <w:trHeight w:val="2029"/>
        </w:trPr>
        <w:tc>
          <w:tcPr>
            <w:tcW w:w="1830" w:type="dxa"/>
            <w:tcBorders>
              <w:right w:val="nil"/>
            </w:tcBorders>
            <w:shd w:val="clear" w:color="auto" w:fill="F2F2F2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1188" w:lineRule="exact"/>
              <w:ind w:firstLine="598"/>
            </w:pPr>
            <w:r>
              <w:rPr>
                <w:position w:val="-23"/>
              </w:rPr>
              <w:drawing>
                <wp:inline distT="0" distB="0" distL="0" distR="0">
                  <wp:extent cx="695293" cy="754100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293" cy="754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7" w:type="dxa"/>
            <w:tcBorders>
              <w:left w:val="nil"/>
            </w:tcBorders>
            <w:shd w:val="clear" w:color="auto" w:fill="F2F2F2"/>
            <w:vAlign w:val="top"/>
          </w:tcPr>
          <w:p>
            <w:pPr>
              <w:pStyle w:val="TableText"/>
              <w:spacing w:before="204" w:line="193" w:lineRule="auto"/>
              <w:ind w:left="111"/>
              <w:rPr>
                <w:sz w:val="36"/>
                <w:szCs w:val="36"/>
              </w:rPr>
            </w:pPr>
            <w:r>
              <w:rPr>
                <w:b/>
                <w:bCs/>
                <w:color w:val="E25822"/>
                <w:spacing w:val="-1"/>
                <w:sz w:val="36"/>
                <w:szCs w:val="36"/>
              </w:rPr>
              <w:t>积极推进新型城镇化，支撑中长期住房需求</w:t>
            </w:r>
          </w:p>
          <w:p>
            <w:pPr>
              <w:pStyle w:val="TableText"/>
              <w:spacing w:before="34" w:line="179" w:lineRule="auto"/>
              <w:ind w:left="75" w:right="293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spacing w:val="-7"/>
              </w:rPr>
              <w:t>“</w:t>
            </w:r>
            <w:r>
              <w:rPr>
                <w:b/>
                <w:bCs/>
                <w:i/>
                <w:iCs/>
                <w:spacing w:val="-7"/>
                <w:sz w:val="25"/>
                <w:szCs w:val="25"/>
              </w:rPr>
              <w:t>积极推进新型城镇化。深化户籍制度改革，完善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pacing w:val="-7"/>
              </w:rPr>
              <w:t>“</w:t>
            </w:r>
            <w:r>
              <w:rPr>
                <w:b/>
                <w:bCs/>
                <w:i/>
                <w:iCs/>
                <w:spacing w:val="-7"/>
                <w:sz w:val="25"/>
                <w:szCs w:val="25"/>
              </w:rPr>
              <w:t>人地钱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pacing w:val="-7"/>
              </w:rPr>
              <w:t>”</w:t>
            </w:r>
            <w:r>
              <w:rPr>
                <w:b/>
                <w:bCs/>
                <w:i/>
                <w:iCs/>
                <w:spacing w:val="-7"/>
                <w:sz w:val="25"/>
                <w:szCs w:val="25"/>
              </w:rPr>
              <w:t>挂钩政策，让有意愿的进城农民工在城镇落户，稳步实施城市更新行动，推进</w:t>
            </w:r>
            <w:r>
              <w:rPr>
                <w:b/>
                <w:bCs/>
                <w:sz w:val="25"/>
                <w:szCs w:val="25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pacing w:val="-3"/>
                <w:w w:val="97"/>
              </w:rPr>
              <w:t>“</w:t>
            </w:r>
            <w:r>
              <w:rPr>
                <w:b/>
                <w:bCs/>
                <w:i/>
                <w:iCs/>
                <w:spacing w:val="-3"/>
                <w:w w:val="97"/>
                <w:sz w:val="25"/>
                <w:szCs w:val="25"/>
              </w:rPr>
              <w:t>平急两用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pacing w:val="-3"/>
                <w:w w:val="97"/>
              </w:rPr>
              <w:t>”</w:t>
            </w:r>
            <w:r>
              <w:rPr>
                <w:b/>
                <w:bCs/>
                <w:i/>
                <w:iCs/>
                <w:spacing w:val="-3"/>
                <w:w w:val="97"/>
                <w:sz w:val="25"/>
                <w:szCs w:val="25"/>
              </w:rPr>
              <w:t>公共基础设施建设和城中村改造。</w:t>
            </w:r>
            <w:r>
              <w:rPr>
                <w:b/>
                <w:bCs/>
                <w:spacing w:val="45"/>
                <w:w w:val="101"/>
                <w:sz w:val="25"/>
                <w:szCs w:val="25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pacing w:val="-3"/>
                <w:w w:val="97"/>
              </w:rPr>
              <w:t>”</w:t>
            </w:r>
          </w:p>
          <w:p>
            <w:pPr>
              <w:pStyle w:val="TableText"/>
              <w:spacing w:before="1" w:line="187" w:lineRule="auto"/>
              <w:ind w:left="381" w:right="459" w:hanging="263"/>
            </w:pPr>
            <w:r>
              <w:rPr>
                <w:rFonts w:ascii="Arial" w:eastAsia="Arial" w:hAnsi="Arial" w:cs="Arial"/>
              </w:rPr>
              <w:t>•</w:t>
            </w:r>
            <w:r>
              <w:rPr>
                <w:rFonts w:ascii="Arial" w:eastAsia="Arial" w:hAnsi="Arial" w:cs="Arial"/>
                <w:spacing w:val="29"/>
              </w:rPr>
              <w:t xml:space="preserve">  </w:t>
            </w:r>
            <w:r>
              <w:t>新型城镇化仍将为住房需求提供重要支撑，深化户籍制度改革，帮助新市民落户安家，推进</w:t>
            </w:r>
            <w:r>
              <w:rPr>
                <w:spacing w:val="-1"/>
              </w:rPr>
              <w:t>以县城为重要载体的城镇化建设，都有助</w:t>
            </w:r>
            <w:r>
              <w:t xml:space="preserve"> </w:t>
            </w:r>
            <w:r>
              <w:rPr>
                <w:spacing w:val="-6"/>
              </w:rPr>
              <w:t>于拉动购房需求。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footerReference w:type="default" r:id="rId17"/>
          <w:type w:val="nextPage"/>
          <w:pgSz w:w="19200" w:h="10800"/>
          <w:pgMar w:top="263" w:right="643" w:bottom="220" w:left="0" w:header="0" w:footer="0" w:gutter="0"/>
          <w:pgNumType w:start="5"/>
          <w:cols w:space="708"/>
          <w:titlePg w:val="0"/>
        </w:sectPr>
      </w:pPr>
    </w:p>
    <w:p>
      <w:pPr>
        <w:spacing w:before="96" w:line="482" w:lineRule="exact"/>
        <w:ind w:left="16828"/>
      </w:pP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485394</wp:posOffset>
            </wp:positionV>
            <wp:extent cx="653795" cy="42291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53795" cy="422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0"/>
        </w:rPr>
        <w:drawing>
          <wp:inline distT="0" distB="0" distL="0" distR="0">
            <wp:extent cx="1097280" cy="306324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97280" cy="306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" w:line="194" w:lineRule="auto"/>
        <w:ind w:left="1309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color w:val="10316B"/>
          <w:spacing w:val="-1"/>
          <w:sz w:val="48"/>
          <w:szCs w:val="48"/>
        </w:rPr>
        <w:t>地方获更大调控自主权，北上广深等齐聚放松限购</w:t>
      </w:r>
    </w:p>
    <w:p>
      <w:pPr>
        <w:spacing w:before="177"/>
      </w:pPr>
    </w:p>
    <w:p>
      <w:pPr>
        <w:sectPr>
          <w:footerReference w:type="default" r:id="rId18"/>
          <w:pgSz w:w="19200" w:h="10800"/>
          <w:pgMar w:top="263" w:right="0" w:bottom="400" w:left="0" w:header="0" w:footer="0" w:gutter="0"/>
          <w:pgNumType w:start="6"/>
          <w:cols w:num="1" w:space="708" w:equalWidth="0">
            <w:col w:w="19200" w:space="0"/>
          </w:cols>
        </w:sectPr>
      </w:pPr>
    </w:p>
    <w:p>
      <w:pPr>
        <w:pStyle w:val="BodyText"/>
        <w:spacing w:line="323" w:lineRule="auto"/>
      </w:pPr>
    </w:p>
    <w:p>
      <w:pPr>
        <w:pStyle w:val="BodyText"/>
        <w:spacing w:line="323" w:lineRule="auto"/>
      </w:pPr>
    </w:p>
    <w:p>
      <w:pPr>
        <w:spacing w:before="58" w:line="185" w:lineRule="auto"/>
        <w:ind w:right="21"/>
        <w:jc w:val="right"/>
        <w:rPr>
          <w:rFonts w:ascii="Calibri" w:eastAsia="Calibri" w:hAnsi="Calibri" w:cs="Calibri"/>
          <w:sz w:val="19"/>
          <w:szCs w:val="19"/>
        </w:rPr>
      </w:pPr>
      <w:r>
        <w:rPr>
          <w:rFonts w:ascii="Calibri" w:eastAsia="Calibri" w:hAnsi="Calibri" w:cs="Calibri"/>
          <w:spacing w:val="-1"/>
          <w:sz w:val="19"/>
          <w:szCs w:val="19"/>
        </w:rPr>
        <w:t>160</w:t>
      </w:r>
    </w:p>
    <w:p>
      <w:pPr>
        <w:pStyle w:val="BodyText"/>
        <w:spacing w:line="440" w:lineRule="auto"/>
      </w:pPr>
    </w:p>
    <w:p>
      <w:pPr>
        <w:spacing w:before="58" w:line="185" w:lineRule="auto"/>
        <w:ind w:right="21"/>
        <w:jc w:val="right"/>
        <w:rPr>
          <w:rFonts w:ascii="Calibri" w:eastAsia="Calibri" w:hAnsi="Calibri" w:cs="Calibri"/>
          <w:sz w:val="19"/>
          <w:szCs w:val="19"/>
        </w:rPr>
      </w:pPr>
      <w:r>
        <w:rPr>
          <w:rFonts w:ascii="Calibri" w:eastAsia="Calibri" w:hAnsi="Calibri" w:cs="Calibri"/>
          <w:spacing w:val="-1"/>
          <w:sz w:val="19"/>
          <w:szCs w:val="19"/>
        </w:rPr>
        <w:t>140</w:t>
      </w:r>
    </w:p>
    <w:p>
      <w:pPr>
        <w:pStyle w:val="BodyText"/>
        <w:spacing w:line="440" w:lineRule="auto"/>
      </w:pPr>
    </w:p>
    <w:p>
      <w:pPr>
        <w:spacing w:before="58" w:line="185" w:lineRule="auto"/>
        <w:ind w:right="21"/>
        <w:jc w:val="right"/>
        <w:rPr>
          <w:rFonts w:ascii="Calibri" w:eastAsia="Calibri" w:hAnsi="Calibri" w:cs="Calibri"/>
          <w:sz w:val="19"/>
          <w:szCs w:val="19"/>
        </w:rPr>
      </w:pPr>
      <w:r>
        <w:rPr>
          <w:rFonts w:ascii="Calibri" w:eastAsia="Calibri" w:hAnsi="Calibri" w:cs="Calibri"/>
          <w:spacing w:val="-1"/>
          <w:sz w:val="19"/>
          <w:szCs w:val="19"/>
        </w:rPr>
        <w:t>120</w:t>
      </w:r>
    </w:p>
    <w:p>
      <w:pPr>
        <w:pStyle w:val="BodyText"/>
        <w:spacing w:line="440" w:lineRule="auto"/>
      </w:pPr>
    </w:p>
    <w:p>
      <w:pPr>
        <w:spacing w:before="58" w:line="185" w:lineRule="auto"/>
        <w:ind w:right="21"/>
        <w:jc w:val="right"/>
        <w:rPr>
          <w:rFonts w:ascii="Calibri" w:eastAsia="Calibri" w:hAnsi="Calibri" w:cs="Calibri"/>
          <w:sz w:val="19"/>
          <w:szCs w:val="19"/>
        </w:rPr>
      </w:pPr>
      <w:r>
        <w:rPr>
          <w:rFonts w:ascii="Calibri" w:eastAsia="Calibri" w:hAnsi="Calibri" w:cs="Calibri"/>
          <w:spacing w:val="-1"/>
          <w:sz w:val="19"/>
          <w:szCs w:val="19"/>
        </w:rPr>
        <w:t>100</w:t>
      </w:r>
    </w:p>
    <w:p>
      <w:pPr>
        <w:pStyle w:val="BodyText"/>
        <w:spacing w:line="440" w:lineRule="auto"/>
      </w:pPr>
    </w:p>
    <w:p>
      <w:pPr>
        <w:spacing w:before="59" w:line="185" w:lineRule="auto"/>
        <w:ind w:right="23"/>
        <w:jc w:val="right"/>
        <w:rPr>
          <w:rFonts w:ascii="Calibri" w:eastAsia="Calibri" w:hAnsi="Calibri" w:cs="Calibri"/>
          <w:sz w:val="19"/>
          <w:szCs w:val="19"/>
        </w:rPr>
      </w:pPr>
      <w:r>
        <w:rPr>
          <w:rFonts w:ascii="Calibri" w:eastAsia="Calibri" w:hAnsi="Calibri" w:cs="Calibri"/>
          <w:sz w:val="19"/>
          <w:szCs w:val="19"/>
        </w:rPr>
        <w:t>80</w:t>
      </w:r>
    </w:p>
    <w:p>
      <w:pPr>
        <w:pStyle w:val="BodyText"/>
        <w:spacing w:line="440" w:lineRule="auto"/>
      </w:pPr>
    </w:p>
    <w:p>
      <w:pPr>
        <w:spacing w:before="58" w:line="185" w:lineRule="auto"/>
        <w:ind w:right="22"/>
        <w:jc w:val="right"/>
        <w:rPr>
          <w:rFonts w:ascii="Calibri" w:eastAsia="Calibri" w:hAnsi="Calibri" w:cs="Calibri"/>
          <w:sz w:val="19"/>
          <w:szCs w:val="19"/>
        </w:rPr>
      </w:pPr>
      <w:r>
        <w:rPr>
          <w:rFonts w:ascii="Calibri" w:eastAsia="Calibri" w:hAnsi="Calibri" w:cs="Calibri"/>
          <w:spacing w:val="-1"/>
          <w:sz w:val="19"/>
          <w:szCs w:val="19"/>
        </w:rPr>
        <w:t>60</w:t>
      </w:r>
    </w:p>
    <w:p>
      <w:pPr>
        <w:pStyle w:val="BodyText"/>
        <w:spacing w:line="440" w:lineRule="auto"/>
      </w:pPr>
    </w:p>
    <w:p>
      <w:pPr>
        <w:spacing w:before="59" w:line="185" w:lineRule="auto"/>
        <w:ind w:right="23"/>
        <w:jc w:val="right"/>
        <w:rPr>
          <w:rFonts w:ascii="Calibri" w:eastAsia="Calibri" w:hAnsi="Calibri" w:cs="Calibri"/>
          <w:sz w:val="19"/>
          <w:szCs w:val="19"/>
        </w:rPr>
      </w:pPr>
      <w:r>
        <w:rPr>
          <w:rFonts w:ascii="Calibri" w:eastAsia="Calibri" w:hAnsi="Calibri" w:cs="Calibri"/>
          <w:spacing w:val="2"/>
          <w:sz w:val="19"/>
          <w:szCs w:val="19"/>
        </w:rPr>
        <w:t>40</w:t>
      </w:r>
    </w:p>
    <w:p>
      <w:pPr>
        <w:pStyle w:val="BodyText"/>
        <w:spacing w:line="440" w:lineRule="auto"/>
      </w:pPr>
    </w:p>
    <w:p>
      <w:pPr>
        <w:spacing w:before="58" w:line="185" w:lineRule="auto"/>
        <w:ind w:right="22"/>
        <w:jc w:val="right"/>
        <w:rPr>
          <w:rFonts w:ascii="Calibri" w:eastAsia="Calibri" w:hAnsi="Calibri" w:cs="Calibri"/>
          <w:sz w:val="19"/>
          <w:szCs w:val="19"/>
        </w:rPr>
      </w:pPr>
      <w:r>
        <w:rPr>
          <w:rFonts w:ascii="Calibri" w:eastAsia="Calibri" w:hAnsi="Calibri" w:cs="Calibri"/>
          <w:spacing w:val="-1"/>
          <w:sz w:val="19"/>
          <w:szCs w:val="19"/>
        </w:rPr>
        <w:t>20</w:t>
      </w:r>
    </w:p>
    <w:p>
      <w:pPr>
        <w:pStyle w:val="BodyText"/>
        <w:spacing w:line="440" w:lineRule="auto"/>
      </w:pPr>
    </w:p>
    <w:p>
      <w:pPr>
        <w:spacing w:before="58" w:line="185" w:lineRule="auto"/>
        <w:ind w:right="20"/>
        <w:jc w:val="right"/>
        <w:rPr>
          <w:rFonts w:ascii="Calibri" w:eastAsia="Calibri" w:hAnsi="Calibri" w:cs="Calibri"/>
          <w:sz w:val="19"/>
          <w:szCs w:val="19"/>
        </w:rPr>
      </w:pPr>
      <w:r>
        <w:rPr>
          <w:rFonts w:ascii="Calibri" w:eastAsia="Calibri" w:hAnsi="Calibri" w:cs="Calibri"/>
          <w:sz w:val="19"/>
          <w:szCs w:val="19"/>
        </w:rPr>
        <w:t>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01" w:line="194" w:lineRule="auto"/>
        <w:ind w:left="1416"/>
        <w:rPr>
          <w:rFonts w:ascii="Microsoft YaHei" w:eastAsia="Microsoft YaHei" w:hAnsi="Microsoft YaHei" w:cs="Microsoft YaHei"/>
          <w:sz w:val="22"/>
          <w:szCs w:val="22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column">
              <wp:posOffset>1301969</wp:posOffset>
            </wp:positionH>
            <wp:positionV relativeFrom="paragraph">
              <wp:posOffset>256394</wp:posOffset>
            </wp:positionV>
            <wp:extent cx="2597225" cy="23935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97225" cy="2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E25822"/>
          <w:spacing w:val="-1"/>
          <w:sz w:val="22"/>
          <w:szCs w:val="22"/>
        </w:rPr>
        <w:t>2023年1月-2024年2月地方房地产政策松绑频次</w:t>
      </w:r>
    </w:p>
    <w:p>
      <w:pPr>
        <w:pStyle w:val="BodyText"/>
        <w:spacing w:line="265" w:lineRule="auto"/>
      </w:pPr>
    </w:p>
    <w:p>
      <w:pPr>
        <w:pStyle w:val="BodyText"/>
        <w:spacing w:line="5506" w:lineRule="exact"/>
      </w:pPr>
      <w:r>
        <w:rPr>
          <w:position w:val="-110"/>
        </w:rPr>
        <w:pict>
          <v:group id="_x0000_i1037" style="width:368.65pt;height:275.3pt;mso-position-horizontal-relative:char;mso-position-vertical-relative:line" coordorigin="0,0" coordsize="7372,5505" filled="f" stroked="f">
            <v:shape id="_x0000_s1038" type="#_x0000_t75" style="width:7082;height:4620;left:175;position:absolute;top:820" filled="f" stroked="f">
              <v:imagedata r:id="rId20" o:title=""/>
            </v:shape>
            <v:shape id="_x0000_s1039" type="#_x0000_t202" style="width:7412;height:3807;left:-20;position:absolute;top:1718" filled="f" stroked="f">
              <o:lock v:ext="edit" aspectratio="f"/>
              <v:textbox inset="0,0,0,0">
                <w:txbxContent>
                  <w:p>
                    <w:pPr>
                      <w:spacing w:before="19" w:line="185" w:lineRule="auto"/>
                      <w:ind w:left="4309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1"/>
                        <w:sz w:val="19"/>
                        <w:szCs w:val="19"/>
                      </w:rPr>
                      <w:t>101</w:t>
                    </w: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8" w:line="185" w:lineRule="auto"/>
                      <w:ind w:left="5396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1"/>
                        <w:sz w:val="19"/>
                        <w:szCs w:val="19"/>
                      </w:rPr>
                      <w:t>72</w:t>
                    </w:r>
                  </w:p>
                  <w:p>
                    <w:pPr>
                      <w:spacing w:before="93" w:line="116" w:lineRule="exact"/>
                      <w:ind w:left="4875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1"/>
                        <w:position w:val="-3"/>
                        <w:sz w:val="19"/>
                        <w:szCs w:val="19"/>
                      </w:rPr>
                      <w:t>64</w:t>
                    </w:r>
                  </w:p>
                  <w:p>
                    <w:pPr>
                      <w:spacing w:line="170" w:lineRule="auto"/>
                      <w:ind w:left="6962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1"/>
                        <w:sz w:val="19"/>
                        <w:szCs w:val="19"/>
                      </w:rPr>
                      <w:t>61</w:t>
                    </w:r>
                  </w:p>
                  <w:p>
                    <w:pPr>
                      <w:spacing w:before="229" w:line="116" w:lineRule="exact"/>
                      <w:ind w:left="3825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2"/>
                        <w:position w:val="-3"/>
                        <w:sz w:val="19"/>
                        <w:szCs w:val="19"/>
                      </w:rPr>
                      <w:t>49</w:t>
                    </w:r>
                  </w:p>
                  <w:p>
                    <w:pPr>
                      <w:spacing w:line="170" w:lineRule="auto"/>
                      <w:ind w:left="5913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2"/>
                        <w:sz w:val="19"/>
                        <w:szCs w:val="19"/>
                      </w:rPr>
                      <w:t>46</w:t>
                    </w:r>
                  </w:p>
                  <w:p>
                    <w:pPr>
                      <w:spacing w:before="93" w:line="136" w:lineRule="exact"/>
                      <w:ind w:left="3309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1"/>
                        <w:position w:val="-2"/>
                        <w:sz w:val="19"/>
                        <w:szCs w:val="19"/>
                      </w:rPr>
                      <w:t>38</w:t>
                    </w:r>
                  </w:p>
                  <w:p>
                    <w:pPr>
                      <w:spacing w:before="1" w:line="184" w:lineRule="auto"/>
                      <w:ind w:left="1743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1"/>
                        <w:sz w:val="19"/>
                        <w:szCs w:val="19"/>
                      </w:rPr>
                      <w:t>34</w:t>
                    </w:r>
                  </w:p>
                  <w:p>
                    <w:pPr>
                      <w:spacing w:before="93" w:line="116" w:lineRule="exact"/>
                      <w:ind w:left="2788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1"/>
                        <w:position w:val="-3"/>
                        <w:sz w:val="19"/>
                        <w:szCs w:val="19"/>
                      </w:rPr>
                      <w:t>26</w:t>
                    </w:r>
                  </w:p>
                  <w:p>
                    <w:pPr>
                      <w:spacing w:line="170" w:lineRule="auto"/>
                      <w:ind w:left="2266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1"/>
                        <w:sz w:val="19"/>
                        <w:szCs w:val="19"/>
                      </w:rPr>
                      <w:t>23</w:t>
                    </w:r>
                  </w:p>
                  <w:p>
                    <w:pPr>
                      <w:spacing w:line="28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70" w:lineRule="exact"/>
                      <w:ind w:firstLine="20"/>
                    </w:pPr>
                    <w:r>
                      <w:rPr>
                        <w:position w:val="-1"/>
                      </w:rPr>
                      <w:drawing>
                        <wp:inline distT="0" distB="0" distL="0" distR="0">
                          <wp:extent cx="4681727" cy="44196"/>
                          <wp:effectExtent l="0" t="0" r="0" b="0"/>
                          <wp:docPr id="22" name="IM 2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IM 2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681727" cy="4419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40" style="width:68;height:5440;position:absolute" coordorigin="0,0" coordsize="68,5440" path="m62,5440l62,4m,4761l62,4761m,4082l62,4082m,3403l62,3403m,2723l62,2723m,2042l62,2042m,1363l62,1363m,683l62,683m,4l62,4e" filled="f" strokecolor="#898989" strokeweight="0.48pt"/>
            <v:shape id="_x0000_s1041" type="#_x0000_t202" style="width:237;height:170;left:6395;position:absolute;top:3485" filled="f" stroked="f">
              <o:lock v:ext="edit" aspectratio="f"/>
              <v:textbox inset="0,0,0,0">
                <w:txbxContent>
                  <w:p>
                    <w:pPr>
                      <w:spacing w:before="19" w:line="185" w:lineRule="auto"/>
                      <w:ind w:left="20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2"/>
                        <w:sz w:val="19"/>
                        <w:szCs w:val="19"/>
                      </w:rPr>
                      <w:t>49</w:t>
                    </w:r>
                  </w:p>
                </w:txbxContent>
              </v:textbox>
            </v:shape>
            <v:shape id="_x0000_s1042" type="#_x0000_t202" style="width:232;height:170;left:1181;position:absolute;top:3927" filled="f" stroked="f">
              <o:lock v:ext="edit" aspectratio="f"/>
              <v:textbox inset="0,0,0,0">
                <w:txbxContent>
                  <w:p>
                    <w:pPr>
                      <w:spacing w:before="19" w:line="185" w:lineRule="auto"/>
                      <w:ind w:left="20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1"/>
                        <w:sz w:val="19"/>
                        <w:szCs w:val="19"/>
                      </w:rPr>
                      <w:t>36</w:t>
                    </w:r>
                  </w:p>
                </w:txbxContent>
              </v:textbox>
            </v:shape>
            <v:shape id="_x0000_s1043" type="#_x0000_t202" style="width:232;height:170;left:138;position:absolute;top:3825" filled="f" stroked="f">
              <o:lock v:ext="edit" aspectratio="f"/>
              <v:textbox inset="0,0,0,0">
                <w:txbxContent>
                  <w:p>
                    <w:pPr>
                      <w:spacing w:before="19" w:line="185" w:lineRule="auto"/>
                      <w:ind w:left="20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1"/>
                        <w:sz w:val="19"/>
                        <w:szCs w:val="19"/>
                      </w:rPr>
                      <w:t>39</w:t>
                    </w:r>
                  </w:p>
                </w:txbxContent>
              </v:textbox>
            </v:shape>
            <v:shape id="_x0000_s1044" type="#_x0000_t202" style="width:231;height:170;left:661;position:absolute;top:4301" filled="f" stroked="f">
              <o:lock v:ext="edit" aspectratio="f"/>
              <v:textbox inset="0,0,0,0">
                <w:txbxContent>
                  <w:p>
                    <w:pPr>
                      <w:spacing w:before="19" w:line="185" w:lineRule="auto"/>
                      <w:ind w:left="20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1"/>
                        <w:sz w:val="19"/>
                        <w:szCs w:val="19"/>
                      </w:rPr>
                      <w:t>25</w:t>
                    </w:r>
                  </w:p>
                </w:txbxContent>
              </v:textbox>
            </v:shape>
            <w10:wrap type="none"/>
          </v:group>
        </w:pict>
      </w:r>
    </w:p>
    <w:tbl>
      <w:tblPr>
        <w:tblStyle w:val="TableNormal2"/>
        <w:tblW w:w="6997" w:type="dxa"/>
        <w:tblInd w:w="24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67"/>
        <w:gridCol w:w="522"/>
        <w:gridCol w:w="522"/>
        <w:gridCol w:w="521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  <w:gridCol w:w="367"/>
      </w:tblGrid>
      <w:tr>
        <w:tblPrEx>
          <w:tblW w:w="6997" w:type="dxa"/>
          <w:tblInd w:w="24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993"/>
        </w:trPr>
        <w:tc>
          <w:tcPr>
            <w:tcW w:w="367" w:type="dxa"/>
            <w:textDirection w:val="btLr"/>
            <w:vAlign w:val="top"/>
          </w:tcPr>
          <w:p>
            <w:pPr>
              <w:pStyle w:val="TableText"/>
              <w:spacing w:line="201" w:lineRule="auto"/>
              <w:jc w:val="right"/>
              <w:rPr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2023</w:t>
            </w:r>
            <w:r>
              <w:rPr>
                <w:spacing w:val="4"/>
                <w:sz w:val="19"/>
                <w:szCs w:val="19"/>
              </w:rPr>
              <w:t>年</w:t>
            </w: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1</w:t>
            </w:r>
            <w:r>
              <w:rPr>
                <w:spacing w:val="4"/>
                <w:sz w:val="19"/>
                <w:szCs w:val="19"/>
              </w:rPr>
              <w:t>月</w:t>
            </w:r>
          </w:p>
        </w:tc>
        <w:tc>
          <w:tcPr>
            <w:tcW w:w="522" w:type="dxa"/>
            <w:textDirection w:val="btLr"/>
            <w:vAlign w:val="top"/>
          </w:tcPr>
          <w:p>
            <w:pPr>
              <w:pStyle w:val="TableText"/>
              <w:spacing w:before="154" w:line="201" w:lineRule="auto"/>
              <w:jc w:val="right"/>
              <w:rPr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2023</w:t>
            </w:r>
            <w:r>
              <w:rPr>
                <w:spacing w:val="4"/>
                <w:sz w:val="19"/>
                <w:szCs w:val="19"/>
              </w:rPr>
              <w:t>年</w:t>
            </w: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2</w:t>
            </w:r>
            <w:r>
              <w:rPr>
                <w:spacing w:val="4"/>
                <w:sz w:val="19"/>
                <w:szCs w:val="19"/>
              </w:rPr>
              <w:t>月</w:t>
            </w:r>
          </w:p>
        </w:tc>
        <w:tc>
          <w:tcPr>
            <w:tcW w:w="522" w:type="dxa"/>
            <w:textDirection w:val="btLr"/>
            <w:vAlign w:val="top"/>
          </w:tcPr>
          <w:p>
            <w:pPr>
              <w:pStyle w:val="TableText"/>
              <w:spacing w:before="154" w:line="201" w:lineRule="auto"/>
              <w:jc w:val="right"/>
              <w:rPr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2023</w:t>
            </w:r>
            <w:r>
              <w:rPr>
                <w:spacing w:val="4"/>
                <w:sz w:val="19"/>
                <w:szCs w:val="19"/>
              </w:rPr>
              <w:t>年</w:t>
            </w: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3</w:t>
            </w:r>
            <w:r>
              <w:rPr>
                <w:spacing w:val="4"/>
                <w:sz w:val="19"/>
                <w:szCs w:val="19"/>
              </w:rPr>
              <w:t>月</w:t>
            </w:r>
          </w:p>
        </w:tc>
        <w:tc>
          <w:tcPr>
            <w:tcW w:w="521" w:type="dxa"/>
            <w:textDirection w:val="btLr"/>
            <w:vAlign w:val="top"/>
          </w:tcPr>
          <w:p>
            <w:pPr>
              <w:pStyle w:val="TableText"/>
              <w:spacing w:before="154" w:line="201" w:lineRule="auto"/>
              <w:jc w:val="right"/>
              <w:rPr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2023</w:t>
            </w:r>
            <w:r>
              <w:rPr>
                <w:spacing w:val="4"/>
                <w:sz w:val="19"/>
                <w:szCs w:val="19"/>
              </w:rPr>
              <w:t>年</w:t>
            </w: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4</w:t>
            </w:r>
            <w:r>
              <w:rPr>
                <w:spacing w:val="4"/>
                <w:sz w:val="19"/>
                <w:szCs w:val="19"/>
              </w:rPr>
              <w:t>月</w:t>
            </w:r>
          </w:p>
        </w:tc>
        <w:tc>
          <w:tcPr>
            <w:tcW w:w="522" w:type="dxa"/>
            <w:textDirection w:val="btLr"/>
            <w:vAlign w:val="top"/>
          </w:tcPr>
          <w:p>
            <w:pPr>
              <w:pStyle w:val="TableText"/>
              <w:spacing w:before="154" w:line="201" w:lineRule="auto"/>
              <w:jc w:val="right"/>
              <w:rPr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2023</w:t>
            </w:r>
            <w:r>
              <w:rPr>
                <w:spacing w:val="4"/>
                <w:sz w:val="19"/>
                <w:szCs w:val="19"/>
              </w:rPr>
              <w:t>年</w:t>
            </w: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5</w:t>
            </w:r>
            <w:r>
              <w:rPr>
                <w:spacing w:val="4"/>
                <w:sz w:val="19"/>
                <w:szCs w:val="19"/>
              </w:rPr>
              <w:t>月</w:t>
            </w:r>
          </w:p>
        </w:tc>
        <w:tc>
          <w:tcPr>
            <w:tcW w:w="522" w:type="dxa"/>
            <w:textDirection w:val="btLr"/>
            <w:vAlign w:val="top"/>
          </w:tcPr>
          <w:p>
            <w:pPr>
              <w:pStyle w:val="TableText"/>
              <w:spacing w:before="154" w:line="201" w:lineRule="auto"/>
              <w:jc w:val="right"/>
              <w:rPr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2023</w:t>
            </w:r>
            <w:r>
              <w:rPr>
                <w:spacing w:val="4"/>
                <w:sz w:val="19"/>
                <w:szCs w:val="19"/>
              </w:rPr>
              <w:t>年</w:t>
            </w: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6</w:t>
            </w:r>
            <w:r>
              <w:rPr>
                <w:spacing w:val="4"/>
                <w:sz w:val="19"/>
                <w:szCs w:val="19"/>
              </w:rPr>
              <w:t>月</w:t>
            </w:r>
          </w:p>
        </w:tc>
        <w:tc>
          <w:tcPr>
            <w:tcW w:w="522" w:type="dxa"/>
            <w:textDirection w:val="btLr"/>
            <w:vAlign w:val="top"/>
          </w:tcPr>
          <w:p>
            <w:pPr>
              <w:pStyle w:val="TableText"/>
              <w:spacing w:before="154" w:line="201" w:lineRule="auto"/>
              <w:jc w:val="right"/>
              <w:rPr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2023</w:t>
            </w:r>
            <w:r>
              <w:rPr>
                <w:spacing w:val="4"/>
                <w:sz w:val="19"/>
                <w:szCs w:val="19"/>
              </w:rPr>
              <w:t>年</w:t>
            </w: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7</w:t>
            </w:r>
            <w:r>
              <w:rPr>
                <w:spacing w:val="4"/>
                <w:sz w:val="19"/>
                <w:szCs w:val="19"/>
              </w:rPr>
              <w:t>月</w:t>
            </w:r>
          </w:p>
        </w:tc>
        <w:tc>
          <w:tcPr>
            <w:tcW w:w="522" w:type="dxa"/>
            <w:textDirection w:val="btLr"/>
            <w:vAlign w:val="top"/>
          </w:tcPr>
          <w:p>
            <w:pPr>
              <w:pStyle w:val="TableText"/>
              <w:spacing w:before="154" w:line="201" w:lineRule="auto"/>
              <w:jc w:val="right"/>
              <w:rPr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2023</w:t>
            </w:r>
            <w:r>
              <w:rPr>
                <w:spacing w:val="4"/>
                <w:sz w:val="19"/>
                <w:szCs w:val="19"/>
              </w:rPr>
              <w:t>年</w:t>
            </w: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8</w:t>
            </w:r>
            <w:r>
              <w:rPr>
                <w:spacing w:val="4"/>
                <w:sz w:val="19"/>
                <w:szCs w:val="19"/>
              </w:rPr>
              <w:t>月</w:t>
            </w:r>
          </w:p>
        </w:tc>
        <w:tc>
          <w:tcPr>
            <w:tcW w:w="522" w:type="dxa"/>
            <w:textDirection w:val="btLr"/>
            <w:vAlign w:val="top"/>
          </w:tcPr>
          <w:p>
            <w:pPr>
              <w:pStyle w:val="TableText"/>
              <w:spacing w:before="154" w:line="201" w:lineRule="auto"/>
              <w:jc w:val="right"/>
              <w:rPr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2023</w:t>
            </w:r>
            <w:r>
              <w:rPr>
                <w:spacing w:val="4"/>
                <w:sz w:val="19"/>
                <w:szCs w:val="19"/>
              </w:rPr>
              <w:t>年</w:t>
            </w: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9</w:t>
            </w:r>
            <w:r>
              <w:rPr>
                <w:spacing w:val="4"/>
                <w:sz w:val="19"/>
                <w:szCs w:val="19"/>
              </w:rPr>
              <w:t>月</w:t>
            </w:r>
          </w:p>
        </w:tc>
        <w:tc>
          <w:tcPr>
            <w:tcW w:w="522" w:type="dxa"/>
            <w:textDirection w:val="btLr"/>
            <w:vAlign w:val="top"/>
          </w:tcPr>
          <w:p>
            <w:pPr>
              <w:pStyle w:val="TableText"/>
              <w:spacing w:before="154" w:line="201" w:lineRule="auto"/>
              <w:rPr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2023</w:t>
            </w:r>
            <w:r>
              <w:rPr>
                <w:spacing w:val="4"/>
                <w:sz w:val="19"/>
                <w:szCs w:val="19"/>
              </w:rPr>
              <w:t>年</w:t>
            </w: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10</w:t>
            </w:r>
            <w:r>
              <w:rPr>
                <w:spacing w:val="4"/>
                <w:sz w:val="19"/>
                <w:szCs w:val="19"/>
              </w:rPr>
              <w:t>月</w:t>
            </w:r>
          </w:p>
        </w:tc>
        <w:tc>
          <w:tcPr>
            <w:tcW w:w="522" w:type="dxa"/>
            <w:textDirection w:val="btLr"/>
            <w:vAlign w:val="top"/>
          </w:tcPr>
          <w:p>
            <w:pPr>
              <w:pStyle w:val="TableText"/>
              <w:spacing w:before="154" w:line="201" w:lineRule="auto"/>
              <w:rPr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2023</w:t>
            </w:r>
            <w:r>
              <w:rPr>
                <w:spacing w:val="4"/>
                <w:sz w:val="19"/>
                <w:szCs w:val="19"/>
              </w:rPr>
              <w:t>年</w:t>
            </w: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11</w:t>
            </w:r>
            <w:r>
              <w:rPr>
                <w:spacing w:val="4"/>
                <w:sz w:val="19"/>
                <w:szCs w:val="19"/>
              </w:rPr>
              <w:t>月</w:t>
            </w:r>
          </w:p>
        </w:tc>
        <w:tc>
          <w:tcPr>
            <w:tcW w:w="522" w:type="dxa"/>
            <w:textDirection w:val="btLr"/>
            <w:vAlign w:val="top"/>
          </w:tcPr>
          <w:p>
            <w:pPr>
              <w:pStyle w:val="TableText"/>
              <w:spacing w:before="154" w:line="201" w:lineRule="auto"/>
              <w:rPr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2023</w:t>
            </w:r>
            <w:r>
              <w:rPr>
                <w:spacing w:val="4"/>
                <w:sz w:val="19"/>
                <w:szCs w:val="19"/>
              </w:rPr>
              <w:t>年</w:t>
            </w: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12</w:t>
            </w:r>
            <w:r>
              <w:rPr>
                <w:spacing w:val="4"/>
                <w:sz w:val="19"/>
                <w:szCs w:val="19"/>
              </w:rPr>
              <w:t>月</w:t>
            </w:r>
          </w:p>
        </w:tc>
        <w:tc>
          <w:tcPr>
            <w:tcW w:w="522" w:type="dxa"/>
            <w:textDirection w:val="btLr"/>
            <w:vAlign w:val="top"/>
          </w:tcPr>
          <w:p>
            <w:pPr>
              <w:pStyle w:val="TableText"/>
              <w:spacing w:before="154" w:line="201" w:lineRule="auto"/>
              <w:jc w:val="right"/>
              <w:rPr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2024</w:t>
            </w:r>
            <w:r>
              <w:rPr>
                <w:spacing w:val="4"/>
                <w:sz w:val="19"/>
                <w:szCs w:val="19"/>
              </w:rPr>
              <w:t>年</w:t>
            </w: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1</w:t>
            </w:r>
            <w:r>
              <w:rPr>
                <w:spacing w:val="4"/>
                <w:sz w:val="19"/>
                <w:szCs w:val="19"/>
              </w:rPr>
              <w:t>月</w:t>
            </w:r>
          </w:p>
        </w:tc>
        <w:tc>
          <w:tcPr>
            <w:tcW w:w="367" w:type="dxa"/>
            <w:textDirection w:val="btLr"/>
            <w:vAlign w:val="top"/>
          </w:tcPr>
          <w:p>
            <w:pPr>
              <w:pStyle w:val="TableText"/>
              <w:spacing w:before="155" w:line="212" w:lineRule="exact"/>
              <w:jc w:val="right"/>
              <w:rPr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2024</w:t>
            </w:r>
            <w:r>
              <w:rPr>
                <w:spacing w:val="4"/>
                <w:sz w:val="19"/>
                <w:szCs w:val="19"/>
              </w:rPr>
              <w:t>年</w:t>
            </w: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2</w:t>
            </w:r>
            <w:r>
              <w:rPr>
                <w:spacing w:val="4"/>
                <w:sz w:val="19"/>
                <w:szCs w:val="19"/>
              </w:rPr>
              <w:t>月</w:t>
            </w:r>
          </w:p>
        </w:tc>
      </w:tr>
    </w:tbl>
    <w:p>
      <w:pPr>
        <w:sectPr>
          <w:footerReference w:type="default" r:id="rId22"/>
          <w:type w:val="continuous"/>
          <w:pgSz w:w="19200" w:h="10800"/>
          <w:pgMar w:top="263" w:right="0" w:bottom="400" w:left="0" w:header="0" w:footer="0" w:gutter="0"/>
          <w:pgNumType w:start="7"/>
          <w:cols w:num="3" w:space="708" w:equalWidth="0">
            <w:col w:w="750" w:space="100"/>
            <w:col w:w="7638" w:space="100"/>
            <w:col w:w="10613" w:space="0"/>
          </w:cols>
        </w:sectPr>
      </w:pPr>
    </w:p>
    <w:p>
      <w:pPr>
        <w:spacing w:before="231" w:line="201" w:lineRule="auto"/>
        <w:ind w:left="249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1"/>
          <w:sz w:val="19"/>
          <w:szCs w:val="19"/>
        </w:rPr>
        <w:drawing>
          <wp:inline distT="0" distB="0" distL="0" distR="0">
            <wp:extent cx="70104" cy="70104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0104" cy="70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省市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 xml:space="preserve">   </w:t>
      </w:r>
      <w:r>
        <w:rPr>
          <w:position w:val="1"/>
          <w:sz w:val="19"/>
          <w:szCs w:val="19"/>
        </w:rPr>
        <w:drawing>
          <wp:inline distT="0" distB="0" distL="0" distR="0">
            <wp:extent cx="70104" cy="70104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0104" cy="70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放松政策频次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95" w:line="8260" w:lineRule="exact"/>
      </w:pPr>
      <w:r>
        <w:rPr>
          <w:position w:val="-165"/>
        </w:rPr>
        <w:pict>
          <v:group id="_x0000_i1045" style="width:530.65pt;height:413pt;mso-position-horizontal-relative:char;mso-position-vertical-relative:line" coordorigin="0,0" coordsize="10613,8260" filled="f" stroked="f">
            <v:shape id="_x0000_s1046" type="#_x0000_t75" style="width:9837;height:4073;left:49;position:absolute" filled="f" stroked="f">
              <v:imagedata r:id="rId25" o:title=""/>
            </v:shape>
            <v:shape id="_x0000_s1047" type="#_x0000_t202" style="width:10653;height:8060;left:-20;position:absolute;top:219" filled="f" stroked="f">
              <o:lock v:ext="edit" aspectratio="f"/>
              <v:textbox inset="0,0,0,0">
                <w:txbxContent>
                  <w:p>
                    <w:pPr>
                      <w:spacing w:before="18" w:line="194" w:lineRule="auto"/>
                      <w:ind w:left="830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Arial" w:eastAsia="Arial" w:hAnsi="Arial" w:cs="Arial"/>
                        <w:color w:val="00A5E7"/>
                        <w:sz w:val="36"/>
                        <w:szCs w:val="36"/>
                      </w:rPr>
                      <w:t xml:space="preserve">• 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00A5E7"/>
                        <w:sz w:val="36"/>
                        <w:szCs w:val="36"/>
                      </w:rPr>
                      <w:t>深圳落户即可购房、调降非户籍社保要求</w:t>
                    </w:r>
                  </w:p>
                  <w:p>
                    <w:pPr>
                      <w:spacing w:before="103" w:line="432" w:lineRule="exact"/>
                      <w:ind w:left="824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position w:val="13"/>
                        <w:sz w:val="24"/>
                        <w:szCs w:val="24"/>
                      </w:rPr>
                      <w:t>2月7日，深圳发布新政，深圳户籍人口购房，取消需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position w:val="13"/>
                        <w:sz w:val="24"/>
                        <w:szCs w:val="24"/>
                      </w:rPr>
                      <w:t>要落户满3年的限制。非</w:t>
                    </w:r>
                  </w:p>
                  <w:p>
                    <w:pPr>
                      <w:spacing w:line="193" w:lineRule="auto"/>
                      <w:ind w:left="813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2"/>
                        <w:sz w:val="24"/>
                        <w:szCs w:val="24"/>
                      </w:rPr>
                      <w:t>户籍购房社保年限由5年降为3年。</w:t>
                    </w:r>
                  </w:p>
                  <w:p>
                    <w:pPr>
                      <w:tabs>
                        <w:tab w:val="left" w:pos="824"/>
                      </w:tabs>
                      <w:spacing w:before="253" w:line="194" w:lineRule="auto"/>
                      <w:ind w:left="20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Arial" w:eastAsia="Arial" w:hAnsi="Arial" w:cs="Arial"/>
                        <w:color w:val="00A5E7"/>
                        <w:sz w:val="36"/>
                        <w:szCs w:val="36"/>
                      </w:rPr>
                      <w:tab/>
                    </w:r>
                    <w:r>
                      <w:rPr>
                        <w:rFonts w:ascii="Arial" w:eastAsia="Arial" w:hAnsi="Arial" w:cs="Arial"/>
                        <w:color w:val="00A5E7"/>
                        <w:sz w:val="36"/>
                        <w:szCs w:val="36"/>
                      </w:rPr>
                      <w:t xml:space="preserve">• 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00A5E7"/>
                        <w:sz w:val="36"/>
                        <w:szCs w:val="36"/>
                      </w:rPr>
                      <w:t xml:space="preserve">北京放宽通州“双限购”  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00A5E7"/>
                        <w:spacing w:val="-1"/>
                        <w:sz w:val="36"/>
                        <w:szCs w:val="36"/>
                      </w:rPr>
                      <w:t xml:space="preserve">                                               </w:t>
                    </w:r>
                  </w:p>
                  <w:p>
                    <w:pPr>
                      <w:spacing w:line="101" w:lineRule="exact"/>
                    </w:pPr>
                  </w:p>
                  <w:tbl>
                    <w:tblPr>
                      <w:tblStyle w:val="TableNormal3"/>
                      <w:tblW w:w="8787" w:type="dxa"/>
                      <w:tblInd w:w="49" w:type="dxa"/>
                      <w:tblBorders>
                        <w:top w:val="single" w:sz="8" w:space="0" w:color="FFFFFF"/>
                        <w:left w:val="single" w:sz="8" w:space="0" w:color="FFFFFF"/>
                        <w:bottom w:val="single" w:sz="8" w:space="0" w:color="FFFFFF"/>
                        <w:right w:val="single" w:sz="8" w:space="0" w:color="FFFFFF"/>
                      </w:tblBorders>
                      <w:tblLayout w:type="fixed"/>
                    </w:tblPr>
                    <w:tblGrid>
                      <w:gridCol w:w="8787"/>
                    </w:tblGrid>
                    <w:tr>
                      <w:tblPrEx>
                        <w:tblW w:w="8787" w:type="dxa"/>
                        <w:tblInd w:w="49" w:type="dxa"/>
                        <w:tblBorders>
                          <w:top w:val="single" w:sz="8" w:space="0" w:color="FFFFFF"/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blBorders>
                        <w:tblLayout w:type="fixed"/>
                      </w:tblPrEx>
                      <w:trPr>
                        <w:trHeight w:val="1643"/>
                      </w:trPr>
                      <w:tc>
                        <w:tcPr>
                          <w:tcW w:w="8787" w:type="dxa"/>
                          <w:vAlign w:val="top"/>
                        </w:tcPr>
                        <w:p>
                          <w:pPr>
                            <w:spacing w:line="420" w:lineRule="exact"/>
                            <w:ind w:right="30"/>
                            <w:jc w:val="right"/>
                            <w:rPr>
                              <w:rFonts w:ascii="Microsoft YaHei" w:eastAsia="Microsoft YaHei" w:hAnsi="Microsoft YaHei" w:cs="Microsoft Ya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position w:val="13"/>
                              <w:sz w:val="24"/>
                              <w:szCs w:val="24"/>
                            </w:rPr>
                            <w:t>2月6日北京官宣，在通州区落户或就业的家庭，如需购买通州区商品住房，</w:t>
                          </w:r>
                        </w:p>
                        <w:p>
                          <w:pPr>
                            <w:spacing w:line="189" w:lineRule="auto"/>
                            <w:ind w:left="749"/>
                            <w:rPr>
                              <w:rFonts w:ascii="Microsoft YaHei" w:eastAsia="Microsoft YaHei" w:hAnsi="Microsoft YaHei" w:cs="Microsoft Ya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2"/>
                              <w:sz w:val="24"/>
                              <w:szCs w:val="24"/>
                            </w:rPr>
                            <w:t>符合北京市限购条件即可，取消了在通州落户或纳税、社保满三年的限制。</w:t>
                          </w:r>
                        </w:p>
                        <w:p>
                          <w:pPr>
                            <w:spacing w:before="298" w:line="194" w:lineRule="auto"/>
                            <w:jc w:val="right"/>
                            <w:rPr>
                              <w:rFonts w:ascii="Microsoft YaHei" w:eastAsia="Microsoft YaHei" w:hAnsi="Microsoft YaHei" w:cs="Microsoft YaHei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A5E7"/>
                              <w:spacing w:val="-1"/>
                              <w:sz w:val="36"/>
                              <w:szCs w:val="36"/>
                            </w:rPr>
                            <w:t xml:space="preserve">•  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color w:val="00A5E7"/>
                              <w:spacing w:val="-1"/>
                              <w:sz w:val="36"/>
                              <w:szCs w:val="36"/>
                            </w:rPr>
                            <w:t>上海放宽单身限购、青浦奉贤调降限购社保要求</w:t>
                          </w:r>
                        </w:p>
                      </w:tc>
                    </w:tr>
                  </w:tbl>
                  <w:p>
                    <w:pPr>
                      <w:spacing w:before="1" w:line="184" w:lineRule="auto"/>
                      <w:ind w:left="857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24"/>
                        <w:szCs w:val="24"/>
                      </w:rPr>
                      <w:t>1月13日上海青浦区、奉贤区相继宣布，非户籍购房要求由社保满5年降为社保</w:t>
                    </w: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55" w:line="194" w:lineRule="auto"/>
                      <w:ind w:left="802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Arial" w:eastAsia="Arial" w:hAnsi="Arial" w:cs="Arial"/>
                        <w:color w:val="00A5E7"/>
                        <w:spacing w:val="-3"/>
                        <w:sz w:val="36"/>
                        <w:szCs w:val="36"/>
                      </w:rPr>
                      <w:t>•</w:t>
                    </w:r>
                    <w:r>
                      <w:rPr>
                        <w:rFonts w:ascii="Arial" w:eastAsia="Arial" w:hAnsi="Arial" w:cs="Arial"/>
                        <w:color w:val="00A5E7"/>
                        <w:spacing w:val="10"/>
                        <w:sz w:val="36"/>
                        <w:szCs w:val="36"/>
                      </w:rPr>
                      <w:t xml:space="preserve"> 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00A5E7"/>
                        <w:spacing w:val="-3"/>
                        <w:sz w:val="36"/>
                        <w:szCs w:val="36"/>
                      </w:rPr>
                      <w:t>苏州全面放开限购</w:t>
                    </w:r>
                  </w:p>
                  <w:p>
                    <w:pPr>
                      <w:spacing w:before="92" w:line="193" w:lineRule="auto"/>
                      <w:ind w:left="832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2"/>
                        <w:sz w:val="24"/>
                        <w:szCs w:val="24"/>
                      </w:rPr>
                      <w:t>1月30日苏州宣布，购买新房、二手房不再审查套数，也不看购房资格。</w:t>
                    </w:r>
                  </w:p>
                </w:txbxContent>
              </v:textbox>
            </v:shape>
            <v:shape id="_x0000_s1048" type="#_x0000_t202" style="width:9470;height:2772;left:11;position:absolute;top:4308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3"/>
                      <w:tblW w:w="9409" w:type="dxa"/>
                      <w:tblInd w:w="30" w:type="dxa"/>
                      <w:tblBorders>
                        <w:top w:val="single" w:sz="8" w:space="0" w:color="FFFFFF"/>
                        <w:left w:val="single" w:sz="8" w:space="0" w:color="FFFFFF"/>
                        <w:bottom w:val="single" w:sz="8" w:space="0" w:color="FFFFFF"/>
                        <w:right w:val="single" w:sz="8" w:space="0" w:color="FFFFFF"/>
                      </w:tblBorders>
                      <w:tblLayout w:type="fixed"/>
                    </w:tblPr>
                    <w:tblGrid>
                      <w:gridCol w:w="9409"/>
                    </w:tblGrid>
                    <w:tr>
                      <w:tblPrEx>
                        <w:tblW w:w="9409" w:type="dxa"/>
                        <w:tblInd w:w="30" w:type="dxa"/>
                        <w:tblBorders>
                          <w:top w:val="single" w:sz="8" w:space="0" w:color="FFFFFF"/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blBorders>
                        <w:tblLayout w:type="fixed"/>
                      </w:tblPrEx>
                      <w:trPr>
                        <w:trHeight w:val="2691"/>
                      </w:trPr>
                      <w:tc>
                        <w:tcPr>
                          <w:tcW w:w="9409" w:type="dxa"/>
                          <w:vAlign w:val="top"/>
                        </w:tcPr>
                        <w:p>
                          <w:pPr>
                            <w:spacing w:before="209" w:line="159" w:lineRule="auto"/>
                            <w:ind w:left="766"/>
                            <w:rPr>
                              <w:rFonts w:ascii="Microsoft YaHei" w:eastAsia="Microsoft YaHei" w:hAnsi="Microsoft YaHei" w:cs="Microsoft Ya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9"/>
                              <w:sz w:val="24"/>
                              <w:szCs w:val="24"/>
                            </w:rPr>
                            <w:t>满3年， 不再要求已婚。</w:t>
                          </w:r>
                        </w:p>
                        <w:p>
                          <w:pPr>
                            <w:spacing w:before="159" w:line="432" w:lineRule="exact"/>
                            <w:ind w:left="785"/>
                            <w:rPr>
                              <w:rFonts w:ascii="Microsoft YaHei" w:eastAsia="Microsoft YaHei" w:hAnsi="Microsoft YaHei" w:cs="Microsoft Ya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"/>
                              <w:position w:val="14"/>
                              <w:sz w:val="24"/>
                              <w:szCs w:val="24"/>
                            </w:rPr>
                            <w:t>1月30日上海发布新政，社保或个税满5年的非户籍居民（不再要求已婚）可在</w:t>
                          </w:r>
                        </w:p>
                        <w:p>
                          <w:pPr>
                            <w:spacing w:before="1" w:line="193" w:lineRule="auto"/>
                            <w:ind w:left="766"/>
                            <w:rPr>
                              <w:rFonts w:ascii="Microsoft YaHei" w:eastAsia="Microsoft YaHei" w:hAnsi="Microsoft YaHei" w:cs="Microsoft Ya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3"/>
                              <w:sz w:val="24"/>
                              <w:szCs w:val="24"/>
                            </w:rPr>
                            <w:t>外环外区域限购1套住房。</w:t>
                          </w:r>
                        </w:p>
                        <w:p>
                          <w:pPr>
                            <w:spacing w:before="186" w:line="193" w:lineRule="auto"/>
                            <w:ind w:left="731"/>
                            <w:rPr>
                              <w:rFonts w:ascii="Microsoft YaHei" w:eastAsia="Microsoft YaHei" w:hAnsi="Microsoft YaHei" w:cs="Microsoft YaHei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A5E7"/>
                              <w:spacing w:val="7"/>
                              <w:sz w:val="36"/>
                              <w:szCs w:val="36"/>
                            </w:rPr>
                            <w:t xml:space="preserve">•  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color w:val="00A5E7"/>
                              <w:spacing w:val="7"/>
                              <w:sz w:val="36"/>
                              <w:szCs w:val="36"/>
                            </w:rPr>
                            <w:t>广州放开大户型限购、支持“租/卖一买一”</w:t>
                          </w:r>
                        </w:p>
                        <w:p>
                          <w:pPr>
                            <w:spacing w:before="98" w:line="194" w:lineRule="auto"/>
                            <w:ind w:left="832"/>
                            <w:rPr>
                              <w:rFonts w:ascii="Microsoft YaHei" w:eastAsia="Microsoft YaHei" w:hAnsi="Microsoft YaHei" w:cs="Microsoft Ya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"/>
                              <w:sz w:val="24"/>
                              <w:szCs w:val="24"/>
                            </w:rPr>
                            <w:t>1月27日广州发文，120平方米以上住房，不再纳入限购范围。购房者将自有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049" type="#_x0000_t202" style="width:6002;height:296;left:846;position:absolute;top:6949" filled="f" stroked="f">
              <o:lock v:ext="edit" aspectratio="f"/>
              <v:textbox inset="0,0,0,0">
                <w:txbxContent>
                  <w:p>
                    <w:pPr>
                      <w:spacing w:before="19" w:line="193" w:lineRule="auto"/>
                      <w:ind w:left="20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2"/>
                        <w:sz w:val="24"/>
                        <w:szCs w:val="24"/>
                      </w:rPr>
                      <w:t>住房用作租赁住房或登记挂牌的，购房时核减相应套数。</w:t>
                    </w:r>
                  </w:p>
                </w:txbxContent>
              </v:textbox>
            </v:shape>
            <v:rect id="_x0000_s1050" style="width:25;height:1806;position:absolute;top:60" filled="t" fillcolor="white" stroked="f">
              <v:fill opacity="13107f"/>
            </v:rect>
            <w10:wrap type="none"/>
          </v:group>
        </w:pict>
      </w:r>
    </w:p>
    <w:p>
      <w:pPr>
        <w:spacing w:line="8260" w:lineRule="exact"/>
        <w:sectPr>
          <w:footerReference w:type="default" r:id="rId26"/>
          <w:type w:val="nextPage"/>
          <w:pgSz w:w="19200" w:h="10800"/>
          <w:pgMar w:top="263" w:right="0" w:bottom="400" w:left="0" w:header="0" w:footer="0" w:gutter="0"/>
          <w:pgNumType w:start="8"/>
          <w:cols w:num="3" w:space="708" w:equalWidth="0">
            <w:col w:w="750" w:space="100"/>
            <w:col w:w="7638" w:space="100"/>
            <w:col w:w="10613" w:space="0"/>
          </w:cols>
          <w:titlePg w:val="0"/>
        </w:sectPr>
      </w:pPr>
    </w:p>
    <w:p>
      <w:pPr>
        <w:spacing w:line="482" w:lineRule="exact"/>
        <w:ind w:firstLine="16828"/>
      </w:pPr>
      <w:r>
        <w:pict>
          <v:shape id="_x0000_s1051" style="width:29.3pt;height:29.3pt;margin-top:321.6pt;margin-left:513.48pt;mso-position-horizontal-relative:page;mso-position-vertical-relative:page;position:absolute;z-index:251670528" coordorigin="0,0" coordsize="585,585" o:allowincell="f" path="m157,315c145,315,135,325,135,337l135,427c135,440,145,450,157,450c170,450,180,440,180,427l180,337c180,325,170,315,157,315l157,315xm292,90c280,90,270,100,270,112l270,427c270,440,280,450,292,450c305,450,315,440,315,427l315,112c315,100,305,90,292,90m495,l90,c40,,,40,,90l,495c,545,40,585,90,585l495,585c545,585,585,545,585,495l585,90c585,40,545,,495,m540,495c540,520,520,540,495,540l90,540c65,540,45,520,45,495l45,90c45,65,65,44,90,44l495,44c520,44,540,65,540,90l540,495xm427,225c415,225,405,235,405,247l405,427c405,440,415,450,427,450c440,450,450,440,450,427l450,247c450,235,440,225,427,225l427,225xe" filled="t" fillcolor="white" stroked="f"/>
        </w:pict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485394</wp:posOffset>
            </wp:positionV>
            <wp:extent cx="653795" cy="42291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53795" cy="422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drawing>
          <wp:inline distT="0" distB="0" distL="0" distR="0">
            <wp:extent cx="1097280" cy="306324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97280" cy="306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4" w:line="193" w:lineRule="auto"/>
        <w:ind w:left="1329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color w:val="10316B"/>
          <w:spacing w:val="-1"/>
          <w:sz w:val="48"/>
          <w:szCs w:val="48"/>
        </w:rPr>
        <w:t>融资协调机制加速落地，276城已推送6千个项目、已审批贷款2千亿元</w:t>
      </w:r>
    </w:p>
    <w:p>
      <w:pPr>
        <w:pStyle w:val="BodyText"/>
        <w:spacing w:line="383" w:lineRule="auto"/>
      </w:pPr>
    </w:p>
    <w:p>
      <w:pPr>
        <w:spacing w:before="95" w:line="195" w:lineRule="auto"/>
        <w:ind w:left="12908"/>
        <w:rPr>
          <w:rFonts w:ascii="Microsoft YaHei" w:eastAsia="Microsoft YaHei" w:hAnsi="Microsoft YaHei" w:cs="Microsoft YaHei"/>
          <w:sz w:val="22"/>
          <w:szCs w:val="22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8202264</wp:posOffset>
            </wp:positionH>
            <wp:positionV relativeFrom="paragraph">
              <wp:posOffset>188693</wp:posOffset>
            </wp:positionV>
            <wp:extent cx="1384360" cy="23935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84360" cy="2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E25822"/>
          <w:sz w:val="22"/>
          <w:szCs w:val="22"/>
        </w:rPr>
        <w:t>金融机构公布推进情况</w:t>
      </w:r>
    </w:p>
    <w:p>
      <w:pPr>
        <w:spacing w:line="94" w:lineRule="exact"/>
      </w:pPr>
    </w:p>
    <w:p>
      <w:pPr>
        <w:spacing w:line="94" w:lineRule="exact"/>
        <w:sectPr>
          <w:footerReference w:type="default" r:id="rId28"/>
          <w:pgSz w:w="19200" w:h="10800"/>
          <w:pgMar w:top="360" w:right="205" w:bottom="400" w:left="0" w:header="0" w:footer="0" w:gutter="0"/>
          <w:pgNumType w:start="9"/>
          <w:cols w:num="1" w:space="708" w:equalWidth="0">
            <w:col w:w="18995" w:space="0"/>
          </w:cols>
        </w:sectPr>
      </w:pPr>
    </w:p>
    <w:p>
      <w:pPr>
        <w:spacing w:before="125"/>
      </w:pPr>
    </w:p>
    <w:tbl>
      <w:tblPr>
        <w:tblStyle w:val="TableNormal4"/>
        <w:tblW w:w="7384" w:type="dxa"/>
        <w:tblInd w:w="104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300"/>
        <w:gridCol w:w="4084"/>
      </w:tblGrid>
      <w:tr>
        <w:tblPrEx>
          <w:tblW w:w="7384" w:type="dxa"/>
          <w:tblInd w:w="104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057"/>
        </w:trPr>
        <w:tc>
          <w:tcPr>
            <w:tcW w:w="3300" w:type="dxa"/>
            <w:vAlign w:val="top"/>
          </w:tcPr>
          <w:p>
            <w:pPr>
              <w:pStyle w:val="TableText"/>
              <w:spacing w:before="113" w:line="200" w:lineRule="auto"/>
              <w:ind w:right="32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城市房地产融资协调机制部署</w:t>
            </w:r>
            <w:r>
              <w:rPr>
                <w:spacing w:val="1"/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t xml:space="preserve">会上要求加快协调机制落地，  </w:t>
            </w:r>
            <w:r>
              <w:rPr>
                <w:spacing w:val="8"/>
                <w:sz w:val="22"/>
                <w:szCs w:val="22"/>
              </w:rPr>
              <w:t>并提及第一批项目“白名单”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预计将于1月底落地并争取贷款</w:t>
            </w:r>
          </w:p>
          <w:p>
            <w:pPr>
              <w:pStyle w:val="TableText"/>
              <w:spacing w:before="141" w:line="267" w:lineRule="exact"/>
              <w:ind w:left="554" w:right="630" w:hanging="516"/>
            </w:pPr>
            <w:r>
              <w:rPr>
                <w:b/>
                <w:bCs/>
                <w:color w:val="10316B"/>
                <w:spacing w:val="-1"/>
                <w:position w:val="1"/>
              </w:rPr>
              <w:t>召开融资协调机制部署会</w:t>
            </w:r>
            <w:r>
              <w:rPr>
                <w:b/>
                <w:bCs/>
                <w:color w:val="10316B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10316B"/>
                <w:spacing w:val="-7"/>
                <w:position w:val="-1"/>
              </w:rPr>
              <w:t>1</w:t>
            </w:r>
            <w:r>
              <w:rPr>
                <w:b/>
                <w:bCs/>
                <w:color w:val="10316B"/>
                <w:spacing w:val="-7"/>
                <w:position w:val="-1"/>
              </w:rPr>
              <w:t>月</w:t>
            </w:r>
            <w:r>
              <w:rPr>
                <w:rFonts w:ascii="Calibri" w:eastAsia="Calibri" w:hAnsi="Calibri" w:cs="Calibri"/>
                <w:b/>
                <w:bCs/>
                <w:color w:val="10316B"/>
                <w:spacing w:val="-7"/>
                <w:position w:val="-1"/>
              </w:rPr>
              <w:t>26</w:t>
            </w:r>
            <w:r>
              <w:rPr>
                <w:rFonts w:ascii="Calibri" w:eastAsia="Calibri" w:hAnsi="Calibri" w:cs="Calibri"/>
                <w:b/>
                <w:bCs/>
                <w:color w:val="10316B"/>
                <w:spacing w:val="-23"/>
                <w:position w:val="-1"/>
              </w:rPr>
              <w:t xml:space="preserve"> </w:t>
            </w:r>
            <w:r>
              <w:rPr>
                <w:b/>
                <w:bCs/>
                <w:color w:val="10316B"/>
                <w:spacing w:val="-7"/>
                <w:position w:val="-1"/>
              </w:rPr>
              <w:t>日 住建部</w:t>
            </w:r>
          </w:p>
        </w:tc>
        <w:tc>
          <w:tcPr>
            <w:tcW w:w="4084" w:type="dxa"/>
            <w:vAlign w:val="top"/>
          </w:tcPr>
          <w:p>
            <w:pPr>
              <w:pStyle w:val="TableText"/>
              <w:spacing w:line="173" w:lineRule="auto"/>
              <w:ind w:left="322" w:firstLine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全国</w:t>
            </w:r>
            <w:r>
              <w:rPr>
                <w:b/>
                <w:bCs/>
                <w:sz w:val="22"/>
                <w:szCs w:val="22"/>
              </w:rPr>
              <w:t>29个省份214个城市</w:t>
            </w:r>
            <w:r>
              <w:rPr>
                <w:sz w:val="22"/>
                <w:szCs w:val="22"/>
              </w:rPr>
              <w:t xml:space="preserve">已建立房地产 </w:t>
            </w:r>
            <w:r>
              <w:rPr>
                <w:sz w:val="22"/>
                <w:szCs w:val="22"/>
              </w:rPr>
              <w:t>融资协调机制，分批提出可给予融资支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持的项目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“</w:t>
            </w:r>
            <w:r>
              <w:rPr>
                <w:rFonts w:ascii="Calibri" w:eastAsia="Calibri" w:hAnsi="Calibri" w:cs="Calibri"/>
                <w:spacing w:val="-2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白名单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”</w:t>
            </w:r>
            <w:r>
              <w:rPr>
                <w:spacing w:val="-1"/>
                <w:sz w:val="22"/>
                <w:szCs w:val="22"/>
              </w:rPr>
              <w:t>推送给商业银行共涉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</w:rPr>
              <w:t>及</w:t>
            </w:r>
            <w:r>
              <w:rPr>
                <w:b/>
                <w:bCs/>
                <w:sz w:val="22"/>
                <w:szCs w:val="22"/>
              </w:rPr>
              <w:t>5349个项目</w:t>
            </w:r>
            <w:r>
              <w:rPr>
                <w:sz w:val="22"/>
                <w:szCs w:val="22"/>
              </w:rPr>
              <w:t>；已有</w:t>
            </w:r>
            <w:r>
              <w:rPr>
                <w:b/>
                <w:bCs/>
                <w:sz w:val="22"/>
                <w:szCs w:val="22"/>
              </w:rPr>
              <w:t xml:space="preserve">57个城市162个   </w:t>
            </w:r>
            <w:r>
              <w:rPr>
                <w:sz w:val="22"/>
                <w:szCs w:val="22"/>
              </w:rPr>
              <w:t>项目获得银行融资共</w:t>
            </w:r>
            <w:r>
              <w:rPr>
                <w:b/>
                <w:bCs/>
                <w:sz w:val="22"/>
                <w:szCs w:val="22"/>
              </w:rPr>
              <w:t>294.3亿元</w:t>
            </w:r>
            <w:r>
              <w:rPr>
                <w:sz w:val="22"/>
                <w:szCs w:val="22"/>
              </w:rPr>
              <w:t>。</w:t>
            </w:r>
          </w:p>
          <w:p>
            <w:pPr>
              <w:pStyle w:val="TableText"/>
              <w:spacing w:before="147" w:line="157" w:lineRule="auto"/>
              <w:ind w:left="1350" w:right="492" w:hanging="634"/>
            </w:pPr>
            <w:r>
              <w:rPr>
                <w:b/>
                <w:bCs/>
                <w:color w:val="10316B"/>
                <w:spacing w:val="-1"/>
              </w:rPr>
              <w:t>公布融资协调机制最新进展</w:t>
            </w:r>
            <w:r>
              <w:rPr>
                <w:b/>
                <w:bCs/>
                <w:color w:val="10316B"/>
                <w:spacing w:val="6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10316B"/>
                <w:spacing w:val="-5"/>
              </w:rPr>
              <w:t>2</w:t>
            </w:r>
            <w:r>
              <w:rPr>
                <w:b/>
                <w:bCs/>
                <w:color w:val="10316B"/>
                <w:spacing w:val="-5"/>
              </w:rPr>
              <w:t>月</w:t>
            </w:r>
            <w:r>
              <w:rPr>
                <w:rFonts w:ascii="Calibri" w:eastAsia="Calibri" w:hAnsi="Calibri" w:cs="Calibri"/>
                <w:b/>
                <w:bCs/>
                <w:color w:val="10316B"/>
                <w:spacing w:val="-5"/>
              </w:rPr>
              <w:t>20</w:t>
            </w:r>
            <w:r>
              <w:rPr>
                <w:rFonts w:ascii="Calibri" w:eastAsia="Calibri" w:hAnsi="Calibri" w:cs="Calibri"/>
                <w:b/>
                <w:bCs/>
                <w:color w:val="10316B"/>
                <w:spacing w:val="-25"/>
              </w:rPr>
              <w:t xml:space="preserve"> </w:t>
            </w:r>
            <w:r>
              <w:rPr>
                <w:b/>
                <w:bCs/>
                <w:color w:val="10316B"/>
                <w:spacing w:val="-5"/>
              </w:rPr>
              <w:t>日</w:t>
            </w:r>
            <w:r>
              <w:rPr>
                <w:b/>
                <w:bCs/>
                <w:color w:val="10316B"/>
                <w:spacing w:val="-14"/>
              </w:rPr>
              <w:t xml:space="preserve"> </w:t>
            </w:r>
            <w:r>
              <w:rPr>
                <w:b/>
                <w:bCs/>
                <w:color w:val="10316B"/>
                <w:spacing w:val="-5"/>
              </w:rPr>
              <w:t>住建部</w:t>
            </w:r>
          </w:p>
        </w:tc>
      </w:tr>
    </w:tbl>
    <w:p>
      <w:pPr>
        <w:spacing w:before="125" w:line="1275" w:lineRule="exact"/>
        <w:ind w:firstLine="573"/>
      </w:pPr>
      <w:r>
        <w:rPr>
          <w:position w:val="-25"/>
        </w:rPr>
        <w:drawing>
          <wp:inline distT="0" distB="0" distL="0" distR="0">
            <wp:extent cx="5091862" cy="809370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091862" cy="80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8" w:lineRule="exact"/>
      </w:pPr>
    </w:p>
    <w:tbl>
      <w:tblPr>
        <w:tblStyle w:val="TableNormal4"/>
        <w:tblW w:w="6590" w:type="dxa"/>
        <w:tblInd w:w="65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240"/>
        <w:gridCol w:w="3350"/>
      </w:tblGrid>
      <w:tr>
        <w:tblPrEx>
          <w:tblW w:w="6590" w:type="dxa"/>
          <w:tblInd w:w="65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66"/>
        </w:trPr>
        <w:tc>
          <w:tcPr>
            <w:tcW w:w="3240" w:type="dxa"/>
            <w:vAlign w:val="top"/>
          </w:tcPr>
          <w:p>
            <w:pPr>
              <w:pStyle w:val="TableText"/>
              <w:spacing w:line="181" w:lineRule="auto"/>
              <w:ind w:left="142" w:right="368" w:hanging="77"/>
            </w:pPr>
            <w:r>
              <w:rPr>
                <w:rFonts w:ascii="Calibri" w:eastAsia="Calibri" w:hAnsi="Calibri" w:cs="Calibri"/>
                <w:b/>
                <w:bCs/>
                <w:color w:val="10316B"/>
                <w:spacing w:val="-4"/>
              </w:rPr>
              <w:t>1</w:t>
            </w:r>
            <w:r>
              <w:rPr>
                <w:b/>
                <w:bCs/>
                <w:color w:val="10316B"/>
                <w:spacing w:val="-4"/>
              </w:rPr>
              <w:t>月</w:t>
            </w:r>
            <w:r>
              <w:rPr>
                <w:rFonts w:ascii="Calibri" w:eastAsia="Calibri" w:hAnsi="Calibri" w:cs="Calibri"/>
                <w:b/>
                <w:bCs/>
                <w:color w:val="10316B"/>
                <w:spacing w:val="-4"/>
              </w:rPr>
              <w:t>12</w:t>
            </w:r>
            <w:r>
              <w:rPr>
                <w:rFonts w:ascii="Calibri" w:eastAsia="Calibri" w:hAnsi="Calibri" w:cs="Calibri"/>
                <w:b/>
                <w:bCs/>
                <w:color w:val="10316B"/>
                <w:spacing w:val="-21"/>
              </w:rPr>
              <w:t xml:space="preserve"> </w:t>
            </w:r>
            <w:r>
              <w:rPr>
                <w:b/>
                <w:bCs/>
                <w:color w:val="10316B"/>
                <w:spacing w:val="-4"/>
              </w:rPr>
              <w:t>日</w:t>
            </w:r>
            <w:r>
              <w:rPr>
                <w:b/>
                <w:bCs/>
                <w:color w:val="10316B"/>
                <w:spacing w:val="-13"/>
              </w:rPr>
              <w:t xml:space="preserve"> </w:t>
            </w:r>
            <w:r>
              <w:rPr>
                <w:b/>
                <w:bCs/>
                <w:color w:val="10316B"/>
                <w:spacing w:val="-4"/>
              </w:rPr>
              <w:t>住建部、金监总局</w:t>
            </w:r>
            <w:r>
              <w:rPr>
                <w:b/>
                <w:bCs/>
                <w:color w:val="10316B"/>
              </w:rPr>
              <w:t xml:space="preserve"> </w:t>
            </w:r>
            <w:r>
              <w:rPr>
                <w:b/>
                <w:bCs/>
                <w:color w:val="10316B"/>
                <w:spacing w:val="-1"/>
              </w:rPr>
              <w:t>建立房地产融资协调机制</w:t>
            </w:r>
          </w:p>
          <w:p>
            <w:pPr>
              <w:pStyle w:val="TableText"/>
              <w:spacing w:before="209" w:line="194" w:lineRule="auto"/>
              <w:ind w:left="1" w:right="367" w:hanging="1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地级以上市主导、建立“可以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给予融资项目名单”报送金融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机构，对名单内项目建立授信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绿色通道。首批白名单项目月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底前落地。</w:t>
            </w:r>
          </w:p>
        </w:tc>
        <w:tc>
          <w:tcPr>
            <w:tcW w:w="3350" w:type="dxa"/>
            <w:vAlign w:val="top"/>
          </w:tcPr>
          <w:p>
            <w:pPr>
              <w:pStyle w:val="TableText"/>
              <w:spacing w:line="168" w:lineRule="auto"/>
              <w:ind w:left="1508"/>
            </w:pPr>
            <w:r>
              <w:rPr>
                <w:rFonts w:ascii="Calibri" w:eastAsia="Calibri" w:hAnsi="Calibri" w:cs="Calibri"/>
                <w:b/>
                <w:bCs/>
                <w:color w:val="10316B"/>
                <w:spacing w:val="-6"/>
              </w:rPr>
              <w:t>1</w:t>
            </w:r>
            <w:r>
              <w:rPr>
                <w:b/>
                <w:bCs/>
                <w:color w:val="10316B"/>
                <w:spacing w:val="-6"/>
              </w:rPr>
              <w:t>月末</w:t>
            </w:r>
          </w:p>
          <w:p>
            <w:pPr>
              <w:pStyle w:val="TableText"/>
              <w:spacing w:line="193" w:lineRule="auto"/>
              <w:ind w:left="612"/>
              <w:rPr>
                <w:rFonts w:ascii="Calibri" w:eastAsia="Calibri" w:hAnsi="Calibri" w:cs="Calibri"/>
              </w:rPr>
            </w:pPr>
            <w:r>
              <w:rPr>
                <w:b/>
                <w:bCs/>
                <w:color w:val="10316B"/>
                <w:spacing w:val="2"/>
              </w:rPr>
              <w:t>多地推送首批</w:t>
            </w:r>
            <w:r>
              <w:rPr>
                <w:rFonts w:ascii="Calibri" w:eastAsia="Calibri" w:hAnsi="Calibri" w:cs="Calibri"/>
                <w:b/>
                <w:bCs/>
                <w:color w:val="10316B"/>
                <w:spacing w:val="2"/>
              </w:rPr>
              <w:t>“</w:t>
            </w:r>
            <w:r>
              <w:rPr>
                <w:rFonts w:ascii="Calibri" w:eastAsia="Calibri" w:hAnsi="Calibri" w:cs="Calibri"/>
                <w:b/>
                <w:bCs/>
                <w:color w:val="10316B"/>
                <w:spacing w:val="-29"/>
              </w:rPr>
              <w:t xml:space="preserve"> </w:t>
            </w:r>
            <w:r>
              <w:rPr>
                <w:b/>
                <w:bCs/>
                <w:color w:val="10316B"/>
                <w:spacing w:val="2"/>
              </w:rPr>
              <w:t>白名单</w:t>
            </w:r>
            <w:r>
              <w:rPr>
                <w:rFonts w:ascii="Calibri" w:eastAsia="Calibri" w:hAnsi="Calibri" w:cs="Calibri"/>
                <w:b/>
                <w:bCs/>
                <w:color w:val="10316B"/>
                <w:spacing w:val="2"/>
              </w:rPr>
              <w:t>”</w:t>
            </w:r>
          </w:p>
          <w:p>
            <w:pPr>
              <w:pStyle w:val="TableText"/>
              <w:spacing w:before="241" w:line="190" w:lineRule="auto"/>
              <w:ind w:left="367" w:firstLine="8"/>
              <w:jc w:val="both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26个省份</w:t>
            </w:r>
            <w:r>
              <w:rPr>
                <w:spacing w:val="-6"/>
                <w:sz w:val="22"/>
                <w:szCs w:val="22"/>
              </w:rPr>
              <w:t>的170个城市已建立</w:t>
            </w:r>
            <w:r>
              <w:rPr>
                <w:spacing w:val="-1"/>
                <w:sz w:val="22"/>
                <w:szCs w:val="22"/>
              </w:rPr>
              <w:t>城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市房地产融资协调机制，并提</w:t>
            </w:r>
            <w:r>
              <w:rPr>
                <w:spacing w:val="1"/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t>出了第一批房地产项目“白名</w:t>
            </w:r>
            <w:r>
              <w:rPr>
                <w:spacing w:val="1"/>
                <w:sz w:val="22"/>
                <w:szCs w:val="22"/>
              </w:rPr>
              <w:t xml:space="preserve">   </w:t>
            </w:r>
            <w:r>
              <w:rPr>
                <w:spacing w:val="-4"/>
                <w:sz w:val="22"/>
                <w:szCs w:val="22"/>
              </w:rPr>
              <w:t xml:space="preserve">单”，共涉及房地产项目3218  </w:t>
            </w:r>
            <w:r>
              <w:rPr>
                <w:spacing w:val="-11"/>
                <w:sz w:val="22"/>
                <w:szCs w:val="22"/>
              </w:rPr>
              <w:t>个。</w:t>
            </w:r>
          </w:p>
        </w:tc>
      </w:tr>
    </w:tbl>
    <w:p>
      <w:pPr>
        <w:pStyle w:val="BodyText"/>
      </w:pPr>
    </w:p>
    <w:p>
      <w:pPr>
        <w:pStyle w:val="BodyText"/>
        <w:spacing w:line="14" w:lineRule="auto"/>
        <w:rPr>
          <w:sz w:val="2"/>
        </w:rPr>
        <w:sectPr>
          <w:footerReference w:type="default" r:id="rId30"/>
          <w:type w:val="continuous"/>
          <w:pgSz w:w="19200" w:h="10800"/>
          <w:pgMar w:top="360" w:right="205" w:bottom="400" w:left="0" w:header="0" w:footer="0" w:gutter="0"/>
          <w:pgNumType w:start="10"/>
          <w:cols w:num="2" w:space="708" w:equalWidth="0">
            <w:col w:w="9013" w:space="100"/>
            <w:col w:w="9883" w:space="0"/>
          </w:cols>
        </w:sectPr>
      </w:pPr>
      <w:r>
        <w:rPr>
          <w:sz w:val="2"/>
          <w:szCs w:val="2"/>
        </w:rPr>
        <w:br w:type="column"/>
      </w:r>
    </w:p>
    <w:tbl>
      <w:tblPr>
        <w:tblStyle w:val="TableNormal5"/>
        <w:tblW w:w="9874" w:type="dxa"/>
        <w:tblInd w:w="7" w:type="dxa"/>
        <w:tblBorders>
          <w:top w:val="single" w:sz="8" w:space="0" w:color="7F7F7F"/>
          <w:left w:val="single" w:sz="8" w:space="0" w:color="7F7F7F"/>
          <w:bottom w:val="single" w:sz="8" w:space="0" w:color="7F7F7F"/>
          <w:right w:val="single" w:sz="8" w:space="0" w:color="7F7F7F"/>
          <w:insideH w:val="single" w:sz="8" w:space="0" w:color="7F7F7F"/>
          <w:insideV w:val="single" w:sz="8" w:space="0" w:color="7F7F7F"/>
        </w:tblBorders>
        <w:tblLayout w:type="fixed"/>
      </w:tblPr>
      <w:tblGrid>
        <w:gridCol w:w="1047"/>
        <w:gridCol w:w="1162"/>
        <w:gridCol w:w="7665"/>
      </w:tblGrid>
      <w:tr>
        <w:tblPrEx>
          <w:tblW w:w="9874" w:type="dxa"/>
          <w:tblInd w:w="7" w:type="dxa"/>
          <w:tblBorders>
            <w:top w:val="single" w:sz="8" w:space="0" w:color="7F7F7F"/>
            <w:left w:val="single" w:sz="8" w:space="0" w:color="7F7F7F"/>
            <w:bottom w:val="single" w:sz="8" w:space="0" w:color="7F7F7F"/>
            <w:right w:val="single" w:sz="8" w:space="0" w:color="7F7F7F"/>
            <w:insideH w:val="single" w:sz="8" w:space="0" w:color="7F7F7F"/>
            <w:insideV w:val="single" w:sz="8" w:space="0" w:color="7F7F7F"/>
          </w:tblBorders>
          <w:tblLayout w:type="fixed"/>
        </w:tblPrEx>
        <w:trPr>
          <w:trHeight w:val="291"/>
        </w:trPr>
        <w:tc>
          <w:tcPr>
            <w:tcW w:w="1047" w:type="dxa"/>
            <w:tcBorders>
              <w:left w:val="nil"/>
            </w:tcBorders>
            <w:shd w:val="clear" w:color="auto" w:fill="DBE6F9"/>
            <w:vAlign w:val="top"/>
          </w:tcPr>
          <w:p>
            <w:pPr>
              <w:spacing w:before="28" w:line="194" w:lineRule="auto"/>
              <w:ind w:left="301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color w:val="10316B"/>
                <w:spacing w:val="-5"/>
                <w:sz w:val="24"/>
                <w:szCs w:val="24"/>
                <w14:textOutline w14:w="4354">
                  <w14:solidFill>
                    <w14:srgbClr w14:val="10316B"/>
                  </w14:solidFill>
                  <w14:prstDash w14:val="solid"/>
                  <w14:round/>
                </w14:textOutline>
              </w:rPr>
              <w:t>时间</w:t>
            </w:r>
          </w:p>
        </w:tc>
        <w:tc>
          <w:tcPr>
            <w:tcW w:w="1162" w:type="dxa"/>
            <w:shd w:val="clear" w:color="auto" w:fill="DBE6F9"/>
            <w:vAlign w:val="top"/>
          </w:tcPr>
          <w:p>
            <w:pPr>
              <w:spacing w:before="28" w:line="194" w:lineRule="auto"/>
              <w:ind w:left="339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color w:val="10316B"/>
                <w:spacing w:val="-2"/>
                <w:sz w:val="24"/>
                <w:szCs w:val="24"/>
                <w14:textOutline w14:w="4354">
                  <w14:solidFill>
                    <w14:srgbClr w14:val="10316B"/>
                  </w14:solidFill>
                  <w14:prstDash w14:val="solid"/>
                  <w14:round/>
                </w14:textOutline>
              </w:rPr>
              <w:t>银行</w:t>
            </w:r>
          </w:p>
        </w:tc>
        <w:tc>
          <w:tcPr>
            <w:tcW w:w="7665" w:type="dxa"/>
            <w:tcBorders>
              <w:right w:val="nil"/>
            </w:tcBorders>
            <w:shd w:val="clear" w:color="auto" w:fill="DBE6F9"/>
            <w:vAlign w:val="top"/>
          </w:tcPr>
          <w:p>
            <w:pPr>
              <w:spacing w:before="28" w:line="194" w:lineRule="auto"/>
              <w:ind w:left="335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color w:val="10316B"/>
                <w:spacing w:val="-1"/>
                <w:sz w:val="24"/>
                <w:szCs w:val="24"/>
                <w14:textOutline w14:w="4354">
                  <w14:solidFill>
                    <w14:srgbClr w14:val="10316B"/>
                  </w14:solidFill>
                  <w14:prstDash w14:val="solid"/>
                  <w14:round/>
                </w14:textOutline>
              </w:rPr>
              <w:t>推进情况</w:t>
            </w:r>
          </w:p>
        </w:tc>
      </w:tr>
      <w:tr>
        <w:tblPrEx>
          <w:tblW w:w="9874" w:type="dxa"/>
          <w:tblInd w:w="7" w:type="dxa"/>
          <w:tblLayout w:type="fixed"/>
        </w:tblPrEx>
        <w:trPr>
          <w:trHeight w:val="568"/>
        </w:trPr>
        <w:tc>
          <w:tcPr>
            <w:tcW w:w="1047" w:type="dxa"/>
            <w:tcBorders>
              <w:left w:val="nil"/>
            </w:tcBorders>
            <w:vAlign w:val="top"/>
          </w:tcPr>
          <w:p>
            <w:pPr>
              <w:spacing w:before="163" w:line="220" w:lineRule="auto"/>
              <w:ind w:left="11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2月12日</w:t>
            </w:r>
          </w:p>
        </w:tc>
        <w:tc>
          <w:tcPr>
            <w:tcW w:w="1162" w:type="dxa"/>
            <w:vAlign w:val="top"/>
          </w:tcPr>
          <w:p>
            <w:pPr>
              <w:spacing w:before="164" w:line="220" w:lineRule="auto"/>
              <w:ind w:left="12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中国银行</w:t>
            </w:r>
          </w:p>
        </w:tc>
        <w:tc>
          <w:tcPr>
            <w:tcW w:w="7665" w:type="dxa"/>
            <w:tcBorders>
              <w:right w:val="nil"/>
            </w:tcBorders>
            <w:vAlign w:val="top"/>
          </w:tcPr>
          <w:p>
            <w:pPr>
              <w:spacing w:before="19" w:line="207" w:lineRule="auto"/>
              <w:ind w:left="18" w:right="209" w:firstLine="2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已推进超过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110个项目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的审批工作，合计金额约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550亿元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，其中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，已审批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完成项目共75个，合计金额近400亿元。</w:t>
            </w:r>
          </w:p>
        </w:tc>
      </w:tr>
      <w:tr>
        <w:tblPrEx>
          <w:tblW w:w="9874" w:type="dxa"/>
          <w:tblInd w:w="7" w:type="dxa"/>
          <w:tblLayout w:type="fixed"/>
        </w:tblPrEx>
        <w:trPr>
          <w:trHeight w:val="281"/>
        </w:trPr>
        <w:tc>
          <w:tcPr>
            <w:tcW w:w="1047" w:type="dxa"/>
            <w:tcBorders>
              <w:left w:val="nil"/>
            </w:tcBorders>
            <w:vAlign w:val="top"/>
          </w:tcPr>
          <w:p>
            <w:pPr>
              <w:spacing w:before="23" w:line="190" w:lineRule="auto"/>
              <w:ind w:left="11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2月13日</w:t>
            </w:r>
          </w:p>
        </w:tc>
        <w:tc>
          <w:tcPr>
            <w:tcW w:w="1162" w:type="dxa"/>
            <w:vAlign w:val="top"/>
          </w:tcPr>
          <w:p>
            <w:pPr>
              <w:spacing w:before="23" w:line="190" w:lineRule="auto"/>
              <w:ind w:left="10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交通银行</w:t>
            </w:r>
          </w:p>
        </w:tc>
        <w:tc>
          <w:tcPr>
            <w:tcW w:w="7665" w:type="dxa"/>
            <w:tcBorders>
              <w:right w:val="nil"/>
            </w:tcBorders>
            <w:vAlign w:val="top"/>
          </w:tcPr>
          <w:p>
            <w:pPr>
              <w:spacing w:before="23" w:line="190" w:lineRule="auto"/>
              <w:ind w:left="4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已获取、对接清单项目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1442个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，并已对其中部分项目实现贷款投放。</w:t>
            </w:r>
          </w:p>
        </w:tc>
      </w:tr>
      <w:tr>
        <w:tblPrEx>
          <w:tblW w:w="9874" w:type="dxa"/>
          <w:tblInd w:w="7" w:type="dxa"/>
          <w:tblLayout w:type="fixed"/>
        </w:tblPrEx>
        <w:trPr>
          <w:trHeight w:val="568"/>
        </w:trPr>
        <w:tc>
          <w:tcPr>
            <w:tcW w:w="1047" w:type="dxa"/>
            <w:tcBorders>
              <w:left w:val="nil"/>
            </w:tcBorders>
            <w:vAlign w:val="top"/>
          </w:tcPr>
          <w:p>
            <w:pPr>
              <w:spacing w:before="168" w:line="220" w:lineRule="auto"/>
              <w:ind w:left="11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2月13日</w:t>
            </w:r>
          </w:p>
        </w:tc>
        <w:tc>
          <w:tcPr>
            <w:tcW w:w="1162" w:type="dxa"/>
            <w:vAlign w:val="top"/>
          </w:tcPr>
          <w:p>
            <w:pPr>
              <w:spacing w:before="169" w:line="220" w:lineRule="auto"/>
              <w:ind w:left="10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建设银行</w:t>
            </w:r>
          </w:p>
        </w:tc>
        <w:tc>
          <w:tcPr>
            <w:tcW w:w="7665" w:type="dxa"/>
            <w:tcBorders>
              <w:right w:val="nil"/>
            </w:tcBorders>
            <w:vAlign w:val="top"/>
          </w:tcPr>
          <w:p>
            <w:pPr>
              <w:spacing w:before="24" w:line="205" w:lineRule="auto"/>
              <w:ind w:left="4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已对接项目2000多个，已审批项目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近百个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，已审批待投放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金额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200多亿元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，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已实现对5个项目的投放，投放金额近30亿元。</w:t>
            </w:r>
          </w:p>
        </w:tc>
      </w:tr>
      <w:tr>
        <w:tblPrEx>
          <w:tblW w:w="9874" w:type="dxa"/>
          <w:tblInd w:w="7" w:type="dxa"/>
          <w:tblLayout w:type="fixed"/>
        </w:tblPrEx>
        <w:trPr>
          <w:trHeight w:val="568"/>
        </w:trPr>
        <w:tc>
          <w:tcPr>
            <w:tcW w:w="1047" w:type="dxa"/>
            <w:tcBorders>
              <w:left w:val="nil"/>
            </w:tcBorders>
            <w:vAlign w:val="top"/>
          </w:tcPr>
          <w:p>
            <w:pPr>
              <w:spacing w:before="172" w:line="220" w:lineRule="auto"/>
              <w:ind w:left="11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2月15日</w:t>
            </w:r>
          </w:p>
        </w:tc>
        <w:tc>
          <w:tcPr>
            <w:tcW w:w="1162" w:type="dxa"/>
            <w:vAlign w:val="top"/>
          </w:tcPr>
          <w:p>
            <w:pPr>
              <w:spacing w:before="173" w:line="220" w:lineRule="auto"/>
              <w:ind w:left="11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邮储银行</w:t>
            </w:r>
          </w:p>
        </w:tc>
        <w:tc>
          <w:tcPr>
            <w:tcW w:w="7665" w:type="dxa"/>
            <w:tcBorders>
              <w:right w:val="nil"/>
            </w:tcBorders>
            <w:vAlign w:val="top"/>
          </w:tcPr>
          <w:p>
            <w:pPr>
              <w:spacing w:before="27" w:line="204" w:lineRule="auto"/>
              <w:ind w:left="18" w:right="231" w:hanging="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共覆盖河南、四川等10个省份，融资金额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57亿元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，并已在河南、贵州、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大连等省市落地项目</w:t>
            </w:r>
          </w:p>
        </w:tc>
      </w:tr>
      <w:tr>
        <w:tblPrEx>
          <w:tblW w:w="9874" w:type="dxa"/>
          <w:tblInd w:w="7" w:type="dxa"/>
          <w:tblLayout w:type="fixed"/>
        </w:tblPrEx>
        <w:trPr>
          <w:trHeight w:val="281"/>
        </w:trPr>
        <w:tc>
          <w:tcPr>
            <w:tcW w:w="1047" w:type="dxa"/>
            <w:tcBorders>
              <w:left w:val="nil"/>
            </w:tcBorders>
            <w:vAlign w:val="top"/>
          </w:tcPr>
          <w:p>
            <w:pPr>
              <w:spacing w:before="31" w:line="184" w:lineRule="auto"/>
              <w:ind w:left="11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2月18日</w:t>
            </w:r>
          </w:p>
        </w:tc>
        <w:tc>
          <w:tcPr>
            <w:tcW w:w="1162" w:type="dxa"/>
            <w:vAlign w:val="top"/>
          </w:tcPr>
          <w:p>
            <w:pPr>
              <w:spacing w:before="31" w:line="184" w:lineRule="auto"/>
              <w:ind w:left="10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工商银行</w:t>
            </w:r>
          </w:p>
        </w:tc>
        <w:tc>
          <w:tcPr>
            <w:tcW w:w="7665" w:type="dxa"/>
            <w:tcBorders>
              <w:right w:val="nil"/>
            </w:tcBorders>
            <w:vAlign w:val="top"/>
          </w:tcPr>
          <w:p>
            <w:pPr>
              <w:spacing w:before="31" w:line="184" w:lineRule="auto"/>
              <w:ind w:left="1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率先在多个城市、多个项目落地贷款投放。</w:t>
            </w:r>
          </w:p>
        </w:tc>
      </w:tr>
      <w:tr>
        <w:tblPrEx>
          <w:tblW w:w="9874" w:type="dxa"/>
          <w:tblInd w:w="7" w:type="dxa"/>
          <w:tblLayout w:type="fixed"/>
        </w:tblPrEx>
        <w:trPr>
          <w:trHeight w:val="568"/>
        </w:trPr>
        <w:tc>
          <w:tcPr>
            <w:tcW w:w="1047" w:type="dxa"/>
            <w:tcBorders>
              <w:left w:val="nil"/>
            </w:tcBorders>
            <w:vAlign w:val="top"/>
          </w:tcPr>
          <w:p>
            <w:pPr>
              <w:spacing w:before="177" w:line="220" w:lineRule="auto"/>
              <w:ind w:left="11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2月19日</w:t>
            </w:r>
          </w:p>
        </w:tc>
        <w:tc>
          <w:tcPr>
            <w:tcW w:w="1162" w:type="dxa"/>
            <w:vAlign w:val="top"/>
          </w:tcPr>
          <w:p>
            <w:pPr>
              <w:spacing w:before="178" w:line="220" w:lineRule="auto"/>
              <w:ind w:left="10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农业银行</w:t>
            </w:r>
          </w:p>
        </w:tc>
        <w:tc>
          <w:tcPr>
            <w:tcW w:w="7665" w:type="dxa"/>
            <w:tcBorders>
              <w:right w:val="nil"/>
            </w:tcBorders>
            <w:vAlign w:val="top"/>
          </w:tcPr>
          <w:p>
            <w:pPr>
              <w:spacing w:before="32" w:line="202" w:lineRule="auto"/>
              <w:ind w:left="13" w:right="126" w:firstLine="29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已审批贷款金额超过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400亿元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，实现了多地城市房地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产融资协调机制项目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贷款投放。已审批完成首批清单内贷款项目近百个。</w:t>
            </w:r>
          </w:p>
        </w:tc>
      </w:tr>
      <w:tr>
        <w:tblPrEx>
          <w:tblW w:w="9874" w:type="dxa"/>
          <w:tblInd w:w="7" w:type="dxa"/>
          <w:tblLayout w:type="fixed"/>
        </w:tblPrEx>
        <w:trPr>
          <w:trHeight w:val="281"/>
        </w:trPr>
        <w:tc>
          <w:tcPr>
            <w:tcW w:w="1047" w:type="dxa"/>
            <w:tcBorders>
              <w:left w:val="nil"/>
            </w:tcBorders>
            <w:vAlign w:val="top"/>
          </w:tcPr>
          <w:p>
            <w:pPr>
              <w:spacing w:before="37" w:line="180" w:lineRule="auto"/>
              <w:ind w:left="11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2月19日</w:t>
            </w:r>
          </w:p>
        </w:tc>
        <w:tc>
          <w:tcPr>
            <w:tcW w:w="1162" w:type="dxa"/>
            <w:vAlign w:val="top"/>
          </w:tcPr>
          <w:p>
            <w:pPr>
              <w:spacing w:before="37" w:line="180" w:lineRule="auto"/>
              <w:ind w:left="10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广发银行</w:t>
            </w:r>
          </w:p>
        </w:tc>
        <w:tc>
          <w:tcPr>
            <w:tcW w:w="7665" w:type="dxa"/>
            <w:tcBorders>
              <w:right w:val="nil"/>
            </w:tcBorders>
            <w:vAlign w:val="top"/>
          </w:tcPr>
          <w:p>
            <w:pPr>
              <w:spacing w:before="37" w:line="180" w:lineRule="auto"/>
              <w:jc w:val="right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在其推送的项目清单中成功投放了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5个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项目， 融资金额达到了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16.75亿元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。</w:t>
            </w:r>
          </w:p>
        </w:tc>
      </w:tr>
      <w:tr>
        <w:tblPrEx>
          <w:tblW w:w="9874" w:type="dxa"/>
          <w:tblInd w:w="7" w:type="dxa"/>
          <w:tblLayout w:type="fixed"/>
        </w:tblPrEx>
        <w:trPr>
          <w:trHeight w:val="291"/>
        </w:trPr>
        <w:tc>
          <w:tcPr>
            <w:tcW w:w="1047" w:type="dxa"/>
            <w:tcBorders>
              <w:left w:val="nil"/>
            </w:tcBorders>
            <w:vAlign w:val="top"/>
          </w:tcPr>
          <w:p>
            <w:pPr>
              <w:spacing w:before="37" w:line="187" w:lineRule="auto"/>
              <w:ind w:left="11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2月19日</w:t>
            </w:r>
          </w:p>
        </w:tc>
        <w:tc>
          <w:tcPr>
            <w:tcW w:w="1162" w:type="dxa"/>
            <w:vAlign w:val="top"/>
          </w:tcPr>
          <w:p>
            <w:pPr>
              <w:spacing w:before="37" w:line="187" w:lineRule="auto"/>
              <w:ind w:left="9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恒丰银行</w:t>
            </w:r>
          </w:p>
        </w:tc>
        <w:tc>
          <w:tcPr>
            <w:tcW w:w="7665" w:type="dxa"/>
            <w:tcBorders>
              <w:right w:val="nil"/>
            </w:tcBorders>
            <w:vAlign w:val="top"/>
          </w:tcPr>
          <w:p>
            <w:pPr>
              <w:spacing w:before="37" w:line="187" w:lineRule="auto"/>
              <w:ind w:left="4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已批复授信金额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  <w14:textOutline w14:w="4362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40亿元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，投放贷款14.8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8亿元。</w:t>
            </w:r>
          </w:p>
        </w:tc>
      </w:tr>
    </w:tbl>
    <w:p>
      <w:pPr>
        <w:spacing w:before="291" w:line="194" w:lineRule="auto"/>
        <w:ind w:left="3578"/>
        <w:rPr>
          <w:rFonts w:ascii="Microsoft YaHei" w:eastAsia="Microsoft YaHei" w:hAnsi="Microsoft YaHei" w:cs="Microsoft YaHei"/>
          <w:sz w:val="22"/>
          <w:szCs w:val="22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column">
              <wp:posOffset>2277874</wp:posOffset>
            </wp:positionH>
            <wp:positionV relativeFrom="paragraph">
              <wp:posOffset>313013</wp:posOffset>
            </wp:positionV>
            <wp:extent cx="1661662" cy="23935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661662" cy="2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E25822"/>
          <w:sz w:val="22"/>
          <w:szCs w:val="22"/>
        </w:rPr>
        <w:t>地方融资协调机制落实情况</w:t>
      </w:r>
    </w:p>
    <w:p>
      <w:pPr>
        <w:spacing w:line="108" w:lineRule="exact"/>
      </w:pPr>
    </w:p>
    <w:tbl>
      <w:tblPr>
        <w:tblStyle w:val="TableNormal5"/>
        <w:tblW w:w="9793" w:type="dxa"/>
        <w:tblInd w:w="0" w:type="dxa"/>
        <w:tblBorders>
          <w:top w:val="single" w:sz="8" w:space="0" w:color="7F7F7F"/>
          <w:left w:val="single" w:sz="8" w:space="0" w:color="7F7F7F"/>
          <w:bottom w:val="single" w:sz="8" w:space="0" w:color="7F7F7F"/>
          <w:right w:val="single" w:sz="8" w:space="0" w:color="7F7F7F"/>
          <w:insideH w:val="single" w:sz="8" w:space="0" w:color="7F7F7F"/>
          <w:insideV w:val="single" w:sz="8" w:space="0" w:color="7F7F7F"/>
        </w:tblBorders>
        <w:tblLayout w:type="fixed"/>
      </w:tblPr>
      <w:tblGrid>
        <w:gridCol w:w="1032"/>
        <w:gridCol w:w="1032"/>
        <w:gridCol w:w="7729"/>
      </w:tblGrid>
      <w:tr>
        <w:tblPrEx>
          <w:tblW w:w="9793" w:type="dxa"/>
          <w:tblInd w:w="0" w:type="dxa"/>
          <w:tblBorders>
            <w:top w:val="single" w:sz="8" w:space="0" w:color="7F7F7F"/>
            <w:left w:val="single" w:sz="8" w:space="0" w:color="7F7F7F"/>
            <w:bottom w:val="single" w:sz="8" w:space="0" w:color="7F7F7F"/>
            <w:right w:val="single" w:sz="8" w:space="0" w:color="7F7F7F"/>
            <w:insideH w:val="single" w:sz="8" w:space="0" w:color="7F7F7F"/>
            <w:insideV w:val="single" w:sz="8" w:space="0" w:color="7F7F7F"/>
          </w:tblBorders>
          <w:tblLayout w:type="fixed"/>
        </w:tblPrEx>
        <w:trPr>
          <w:trHeight w:val="291"/>
        </w:trPr>
        <w:tc>
          <w:tcPr>
            <w:tcW w:w="1032" w:type="dxa"/>
            <w:tcBorders>
              <w:left w:val="nil"/>
            </w:tcBorders>
            <w:shd w:val="clear" w:color="auto" w:fill="DBE6F9"/>
            <w:vAlign w:val="top"/>
          </w:tcPr>
          <w:p>
            <w:pPr>
              <w:spacing w:before="31" w:line="192" w:lineRule="auto"/>
              <w:ind w:left="29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color w:val="10316B"/>
                <w:spacing w:val="-5"/>
                <w:sz w:val="24"/>
                <w:szCs w:val="24"/>
                <w14:textOutline w14:w="4354">
                  <w14:solidFill>
                    <w14:srgbClr w14:val="10316B"/>
                  </w14:solidFill>
                  <w14:prstDash w14:val="solid"/>
                  <w14:round/>
                </w14:textOutline>
              </w:rPr>
              <w:t>时间</w:t>
            </w:r>
          </w:p>
        </w:tc>
        <w:tc>
          <w:tcPr>
            <w:tcW w:w="1032" w:type="dxa"/>
            <w:shd w:val="clear" w:color="auto" w:fill="DBE6F9"/>
            <w:vAlign w:val="top"/>
          </w:tcPr>
          <w:p>
            <w:pPr>
              <w:spacing w:before="31" w:line="192" w:lineRule="auto"/>
              <w:ind w:left="27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color w:val="10316B"/>
                <w:spacing w:val="-3"/>
                <w:sz w:val="24"/>
                <w:szCs w:val="24"/>
                <w14:textOutline w14:w="4354">
                  <w14:solidFill>
                    <w14:srgbClr w14:val="10316B"/>
                  </w14:solidFill>
                  <w14:prstDash w14:val="solid"/>
                  <w14:round/>
                </w14:textOutline>
              </w:rPr>
              <w:t>省市</w:t>
            </w:r>
          </w:p>
        </w:tc>
        <w:tc>
          <w:tcPr>
            <w:tcW w:w="7729" w:type="dxa"/>
            <w:tcBorders>
              <w:right w:val="nil"/>
            </w:tcBorders>
            <w:shd w:val="clear" w:color="auto" w:fill="DBE6F9"/>
            <w:vAlign w:val="top"/>
          </w:tcPr>
          <w:p>
            <w:pPr>
              <w:spacing w:before="31" w:line="192" w:lineRule="auto"/>
              <w:ind w:left="338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color w:val="10316B"/>
                <w:spacing w:val="-1"/>
                <w:sz w:val="24"/>
                <w:szCs w:val="24"/>
                <w14:textOutline w14:w="4354">
                  <w14:solidFill>
                    <w14:srgbClr w14:val="10316B"/>
                  </w14:solidFill>
                  <w14:prstDash w14:val="solid"/>
                  <w14:round/>
                </w14:textOutline>
              </w:rPr>
              <w:t>落地情况</w:t>
            </w:r>
          </w:p>
        </w:tc>
      </w:tr>
      <w:tr>
        <w:tblPrEx>
          <w:tblW w:w="9793" w:type="dxa"/>
          <w:tblInd w:w="0" w:type="dxa"/>
          <w:tblLayout w:type="fixed"/>
        </w:tblPrEx>
        <w:trPr>
          <w:trHeight w:val="566"/>
        </w:trPr>
        <w:tc>
          <w:tcPr>
            <w:tcW w:w="1032" w:type="dxa"/>
            <w:tcBorders>
              <w:left w:val="nil"/>
            </w:tcBorders>
            <w:vAlign w:val="top"/>
          </w:tcPr>
          <w:p>
            <w:pPr>
              <w:spacing w:before="176" w:line="220" w:lineRule="auto"/>
              <w:ind w:left="14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2月24日</w:t>
            </w:r>
          </w:p>
        </w:tc>
        <w:tc>
          <w:tcPr>
            <w:tcW w:w="1032" w:type="dxa"/>
            <w:vAlign w:val="top"/>
          </w:tcPr>
          <w:p>
            <w:pPr>
              <w:spacing w:before="166" w:line="222" w:lineRule="auto"/>
              <w:ind w:left="27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河南</w:t>
            </w:r>
          </w:p>
        </w:tc>
        <w:tc>
          <w:tcPr>
            <w:tcW w:w="7729" w:type="dxa"/>
            <w:tcBorders>
              <w:right w:val="nil"/>
            </w:tcBorders>
            <w:vAlign w:val="top"/>
          </w:tcPr>
          <w:p>
            <w:pPr>
              <w:spacing w:before="23" w:line="205" w:lineRule="auto"/>
              <w:ind w:left="16" w:right="3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z w:val="24"/>
                <w:szCs w:val="24"/>
              </w:rPr>
              <w:t>全省17个省辖市、济源示范区已全部建立房地产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融资协调机制，首批推出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房地产“白名单”项目600个，其中民企和混合所有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制房企开发项目535个</w:t>
            </w:r>
          </w:p>
        </w:tc>
      </w:tr>
      <w:tr>
        <w:tblPrEx>
          <w:tblW w:w="9793" w:type="dxa"/>
          <w:tblInd w:w="0" w:type="dxa"/>
          <w:tblLayout w:type="fixed"/>
        </w:tblPrEx>
        <w:trPr>
          <w:trHeight w:val="566"/>
        </w:trPr>
        <w:tc>
          <w:tcPr>
            <w:tcW w:w="1032" w:type="dxa"/>
            <w:tcBorders>
              <w:left w:val="nil"/>
            </w:tcBorders>
            <w:vAlign w:val="top"/>
          </w:tcPr>
          <w:p>
            <w:pPr>
              <w:spacing w:before="171" w:line="220" w:lineRule="auto"/>
              <w:ind w:left="10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2月23日</w:t>
            </w:r>
          </w:p>
        </w:tc>
        <w:tc>
          <w:tcPr>
            <w:tcW w:w="1032" w:type="dxa"/>
            <w:vAlign w:val="top"/>
          </w:tcPr>
          <w:p>
            <w:pPr>
              <w:spacing w:before="171" w:line="220" w:lineRule="auto"/>
              <w:ind w:left="29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陕西</w:t>
            </w:r>
          </w:p>
        </w:tc>
        <w:tc>
          <w:tcPr>
            <w:tcW w:w="7729" w:type="dxa"/>
            <w:tcBorders>
              <w:right w:val="nil"/>
            </w:tcBorders>
            <w:vAlign w:val="top"/>
          </w:tcPr>
          <w:p>
            <w:pPr>
              <w:spacing w:before="28" w:line="203" w:lineRule="auto"/>
              <w:ind w:left="16" w:right="31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z w:val="24"/>
                <w:szCs w:val="24"/>
              </w:rPr>
              <w:t>全省11个市（区）均建立房地产融资协调机制，提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出可以给予融资支持的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房地产项目首批“白名单”并推送商业银行，共涉及1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14个项目。</w:t>
            </w:r>
          </w:p>
        </w:tc>
      </w:tr>
      <w:tr>
        <w:tblPrEx>
          <w:tblW w:w="9793" w:type="dxa"/>
          <w:tblInd w:w="0" w:type="dxa"/>
          <w:tblLayout w:type="fixed"/>
        </w:tblPrEx>
        <w:trPr>
          <w:trHeight w:val="566"/>
        </w:trPr>
        <w:tc>
          <w:tcPr>
            <w:tcW w:w="1032" w:type="dxa"/>
            <w:tcBorders>
              <w:left w:val="nil"/>
            </w:tcBorders>
            <w:vAlign w:val="top"/>
          </w:tcPr>
          <w:p>
            <w:pPr>
              <w:spacing w:before="176" w:line="220" w:lineRule="auto"/>
              <w:ind w:left="10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2月20日</w:t>
            </w:r>
          </w:p>
        </w:tc>
        <w:tc>
          <w:tcPr>
            <w:tcW w:w="1032" w:type="dxa"/>
            <w:vAlign w:val="top"/>
          </w:tcPr>
          <w:p>
            <w:pPr>
              <w:spacing w:before="176" w:line="220" w:lineRule="auto"/>
              <w:ind w:left="29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山东</w:t>
            </w:r>
          </w:p>
        </w:tc>
        <w:tc>
          <w:tcPr>
            <w:tcW w:w="7729" w:type="dxa"/>
            <w:tcBorders>
              <w:right w:val="nil"/>
            </w:tcBorders>
            <w:vAlign w:val="top"/>
          </w:tcPr>
          <w:p>
            <w:pPr>
              <w:spacing w:before="33" w:line="201" w:lineRule="auto"/>
              <w:ind w:left="35" w:right="31" w:firstLine="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已在全省16个城市全面建立了城市房地产融资协调机制。济南、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青岛、烟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台、日照、济宁、东营、聊城等7个城市已经推送了首批项目名单。</w:t>
            </w:r>
          </w:p>
        </w:tc>
      </w:tr>
      <w:tr>
        <w:tblPrEx>
          <w:tblW w:w="9793" w:type="dxa"/>
          <w:tblInd w:w="0" w:type="dxa"/>
          <w:tblLayout w:type="fixed"/>
        </w:tblPrEx>
        <w:trPr>
          <w:trHeight w:val="576"/>
        </w:trPr>
        <w:tc>
          <w:tcPr>
            <w:tcW w:w="1032" w:type="dxa"/>
            <w:tcBorders>
              <w:left w:val="nil"/>
            </w:tcBorders>
            <w:vAlign w:val="top"/>
          </w:tcPr>
          <w:p>
            <w:pPr>
              <w:spacing w:before="181" w:line="220" w:lineRule="auto"/>
              <w:ind w:left="10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2月17日</w:t>
            </w:r>
          </w:p>
        </w:tc>
        <w:tc>
          <w:tcPr>
            <w:tcW w:w="1032" w:type="dxa"/>
            <w:vAlign w:val="top"/>
          </w:tcPr>
          <w:p>
            <w:pPr>
              <w:spacing w:before="181" w:line="222" w:lineRule="auto"/>
              <w:ind w:left="27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湖南</w:t>
            </w:r>
          </w:p>
        </w:tc>
        <w:tc>
          <w:tcPr>
            <w:tcW w:w="7729" w:type="dxa"/>
            <w:tcBorders>
              <w:right w:val="nil"/>
            </w:tcBorders>
            <w:vAlign w:val="top"/>
          </w:tcPr>
          <w:p>
            <w:pPr>
              <w:spacing w:before="38" w:line="203" w:lineRule="auto"/>
              <w:ind w:left="16" w:right="15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z w:val="24"/>
                <w:szCs w:val="24"/>
              </w:rPr>
              <w:t>全省14个市州均已建立房地产融资协调机制，纳入“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白名单”项目共576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个，当前已有24个项目获得银行新增融资16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.48亿元。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footerReference w:type="default" r:id="rId32"/>
          <w:type w:val="nextPage"/>
          <w:pgSz w:w="19200" w:h="10800"/>
          <w:pgMar w:top="360" w:right="205" w:bottom="400" w:left="0" w:header="0" w:footer="0" w:gutter="0"/>
          <w:pgNumType w:start="11"/>
          <w:cols w:num="2" w:space="708" w:equalWidth="0">
            <w:col w:w="9013" w:space="100"/>
            <w:col w:w="9883" w:space="0"/>
          </w:cols>
          <w:titlePg w:val="0"/>
        </w:sectPr>
      </w:pPr>
    </w:p>
    <w:p>
      <w:pPr>
        <w:spacing w:line="482" w:lineRule="exact"/>
        <w:ind w:firstLine="16828"/>
      </w:pPr>
      <w:r>
        <w:pict>
          <v:rect id="_x0000_s1052" style="width:2.3pt;height:24.1pt;margin-top:46.74pt;margin-left:49.2pt;mso-position-horizontal-relative:page;mso-position-vertical-relative:page;position:absolute;z-index:251691008" o:allowincell="f" filled="t" fillcolor="#e25822" stroked="f"/>
        </w:pict>
      </w:r>
      <w:r>
        <w:pict>
          <v:rect id="_x0000_s1053" style="width:50.7pt;height:2.3pt;margin-top:69.24pt;margin-left:0;mso-position-horizontal-relative:page;mso-position-vertical-relative:page;position:absolute;z-index:251692032" o:allowincell="f" filled="t" fillcolor="#e25822" stroked="f"/>
        </w:pict>
      </w:r>
      <w:r>
        <w:pict>
          <v:rect id="_x0000_s1054" style="width:40.35pt;height:3pt;margin-top:60.36pt;margin-left:0;mso-position-horizontal-relative:page;mso-position-vertical-relative:page;position:absolute;z-index:251688960" o:allowincell="f" filled="t" fillcolor="#10316b" stroked="f"/>
        </w:pict>
      </w:r>
      <w:r>
        <w:pict>
          <v:shape id="_x0000_s1055" style="width:375.65pt;height:0.75pt;margin-top:438.84pt;margin-left:72.24pt;mso-position-horizontal-relative:page;mso-position-vertical-relative:page;position:absolute;z-index:251677696" coordorigin="0,0" coordsize="7512,15" o:allowincell="f" path="m,7l7512,7e" filled="f" strokecolor="#d9d9d9" strokeweight="0.72pt"/>
        </w:pict>
      </w:r>
      <w:r>
        <w:pict>
          <v:shape id="_x0000_s1056" style="width:377.65pt;height:0.75pt;margin-top:430.68pt;margin-left:530.76pt;mso-position-horizontal-relative:page;mso-position-vertical-relative:page;position:absolute;z-index:251676672" coordorigin="0,0" coordsize="7552,15" o:allowincell="f" path="m,7l7552,7e" filled="f" strokecolor="#d9d9d9" strokeweight="0.72pt"/>
        </w:pict>
      </w:r>
      <w:r>
        <w:pict>
          <v:shape id="_x0000_s1057" style="width:3pt;height:24.1pt;margin-top:38.22pt;margin-left:38.52pt;mso-position-horizontal-relative:page;mso-position-vertical-relative:page;position:absolute;z-index:251687936" coordorigin="0,0" coordsize="60,482" o:allowincell="f" path="m30,l30,481e" filled="f" strokecolor="#10316b" strokeweight="3pt">
            <v:stroke joinstyle="miter"/>
          </v:shape>
        </w:pict>
      </w:r>
      <w:r>
        <w:pict>
          <v:shape id="_x0000_s1058" style="width:8.75pt;height:35.1pt;margin-top:352.96pt;margin-left:645.73pt;mso-position-horizontal-relative:page;mso-position-vertical-relative:page;position:absolute;z-index:251675648" coordorigin="0,0" coordsize="175,701" o:allowincell="f" path="m7,700l167,1e" filled="f" strokecolor="#a6a6a6" strokeweight="0.72pt"/>
        </w:pict>
      </w:r>
      <w:r>
        <w:pict>
          <v:shape id="_x0000_s1059" style="width:4.8pt;height:36.1pt;margin-top:371.96pt;margin-left:186.6pt;mso-position-horizontal-relative:page;mso-position-vertical-relative:page;position:absolute;z-index:251678720" coordorigin="0,0" coordsize="96,721" o:allowincell="f" path="m7,720l88,e" filled="f" strokecolor="#a6a6a6" strokeweight="0.72pt"/>
        </w:pict>
      </w:r>
      <w:r>
        <w:rPr>
          <w:position w:val="-9"/>
        </w:rPr>
        <w:drawing>
          <wp:inline distT="0" distB="0" distL="0" distR="0">
            <wp:extent cx="1097280" cy="306324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097280" cy="306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" w:line="194" w:lineRule="auto"/>
        <w:ind w:left="133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10316B"/>
          <w:sz w:val="48"/>
          <w:szCs w:val="48"/>
        </w:rPr>
        <w:t>2月新房供应、成交皆创6年同期和月度最低</w:t>
      </w:r>
      <w:r>
        <w:rPr>
          <w:rFonts w:ascii="Microsoft YaHei" w:eastAsia="Microsoft YaHei" w:hAnsi="Microsoft YaHei" w:cs="Microsoft YaHei"/>
          <w:color w:val="10316B"/>
          <w:sz w:val="28"/>
          <w:szCs w:val="28"/>
        </w:rPr>
        <w:t>（2020年2月疫情开始非常态）</w:t>
      </w:r>
    </w:p>
    <w:p>
      <w:pPr>
        <w:spacing w:before="269" w:line="178" w:lineRule="auto"/>
        <w:ind w:left="1851"/>
        <w:rPr>
          <w:rFonts w:ascii="Microsoft YaHei" w:eastAsia="Microsoft YaHei" w:hAnsi="Microsoft YaHei" w:cs="Microsoft YaHei"/>
          <w:sz w:val="22"/>
          <w:szCs w:val="22"/>
        </w:rPr>
      </w:pPr>
      <w:r>
        <w:pict>
          <v:shape id="_x0000_s1060" type="#_x0000_t202" style="width:320pt;height:16.95pt;margin-top:16.34pt;margin-left:528.86pt;position:absolute;z-index:251693056" filled="f" stroked="f">
            <o:lock v:ext="edit" aspectratio="f"/>
            <v:textbox inset="0,0,0,0">
              <w:txbxContent>
                <w:p>
                  <w:pPr>
                    <w:spacing w:before="19" w:line="190" w:lineRule="auto"/>
                    <w:jc w:val="right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E25822"/>
                      <w:spacing w:val="-1"/>
                      <w:sz w:val="22"/>
                      <w:szCs w:val="22"/>
                    </w:rPr>
                    <w:t>近6年来30个重点城市商品住宅月度成交对比（单位：万平</w:t>
                  </w:r>
                  <w:r>
                    <w:rPr>
                      <w:rFonts w:ascii="Microsoft YaHei" w:eastAsia="Microsoft YaHei" w:hAnsi="Microsoft YaHei" w:cs="Microsoft YaHei"/>
                      <w:color w:val="E25822"/>
                      <w:spacing w:val="-2"/>
                      <w:sz w:val="22"/>
                      <w:szCs w:val="22"/>
                    </w:rPr>
                    <w:t>方米 ）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column">
              <wp:posOffset>1180157</wp:posOffset>
            </wp:positionH>
            <wp:positionV relativeFrom="paragraph">
              <wp:posOffset>300616</wp:posOffset>
            </wp:positionV>
            <wp:extent cx="3944479" cy="12056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944479" cy="12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E25822"/>
          <w:spacing w:val="1"/>
          <w:sz w:val="22"/>
          <w:szCs w:val="22"/>
        </w:rPr>
        <w:t>近6年来30个重点城市商品住宅月度供应对比（单位：万平</w:t>
      </w:r>
      <w:r>
        <w:rPr>
          <w:rFonts w:ascii="Microsoft YaHei" w:eastAsia="Microsoft YaHei" w:hAnsi="Microsoft YaHei" w:cs="Microsoft YaHei"/>
          <w:color w:val="E25822"/>
          <w:sz w:val="22"/>
          <w:szCs w:val="22"/>
        </w:rPr>
        <w:t>方米）</w:t>
      </w:r>
    </w:p>
    <w:p>
      <w:pPr>
        <w:pStyle w:val="BodyText"/>
        <w:spacing w:line="35" w:lineRule="exact"/>
        <w:ind w:left="10601"/>
      </w:pPr>
      <w:r>
        <w:rPr>
          <w:position w:val="-1"/>
        </w:rPr>
        <w:drawing>
          <wp:inline distT="0" distB="0" distL="0" distR="0">
            <wp:extent cx="124552" cy="22773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4552" cy="22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1"/>
        </w:rPr>
        <w:t xml:space="preserve"> </w:t>
      </w:r>
      <w:r>
        <w:rPr>
          <w:position w:val="-1"/>
        </w:rPr>
        <w:drawing>
          <wp:inline distT="0" distB="0" distL="0" distR="0">
            <wp:extent cx="12088" cy="11386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088" cy="11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:position w:val="-1"/>
        </w:rPr>
        <w:t xml:space="preserve">      </w:t>
      </w:r>
      <w:r>
        <w:rPr>
          <w:position w:val="-1"/>
        </w:rPr>
        <w:drawing>
          <wp:inline distT="0" distB="0" distL="0" distR="0">
            <wp:extent cx="12211" cy="11386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211" cy="11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  <w:position w:val="-1"/>
        </w:rPr>
        <w:t xml:space="preserve">       </w:t>
      </w:r>
      <w:r>
        <w:rPr>
          <w:position w:val="-1"/>
        </w:rPr>
        <w:drawing>
          <wp:inline distT="0" distB="0" distL="0" distR="0">
            <wp:extent cx="1472667" cy="22773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472667" cy="22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0"/>
          <w:position w:val="-1"/>
        </w:rPr>
        <w:t xml:space="preserve"> </w:t>
      </w:r>
      <w:r>
        <w:rPr>
          <w:position w:val="-1"/>
        </w:rPr>
        <w:drawing>
          <wp:inline distT="0" distB="0" distL="0" distR="0">
            <wp:extent cx="262526" cy="22773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62526" cy="22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1"/>
          <w:position w:val="-1"/>
        </w:rPr>
        <w:t xml:space="preserve"> </w:t>
      </w:r>
      <w:r>
        <w:rPr>
          <w:position w:val="-1"/>
        </w:rPr>
        <w:drawing>
          <wp:inline distT="0" distB="0" distL="0" distR="0">
            <wp:extent cx="1388965" cy="11386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88965" cy="11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8" w:line="182" w:lineRule="auto"/>
        <w:ind w:left="734"/>
        <w:rPr>
          <w:rFonts w:ascii="SimSun" w:eastAsia="SimSun" w:hAnsi="SimSun" w:cs="SimSun"/>
          <w:sz w:val="22"/>
          <w:szCs w:val="22"/>
        </w:rPr>
      </w:pPr>
      <w:r>
        <w:pict>
          <v:shape id="_x0000_s1061" type="#_x0000_t202" style="width:23.45pt;height:12.85pt;margin-top:16.6pt;margin-left:494.27pt;position:absolute;z-index:251681792" filled="f" stroked="f">
            <o:lock v:ext="edit" aspectratio="f"/>
            <v:textbox inset="0,0,0,0">
              <w:txbxContent>
                <w:p>
                  <w:pPr>
                    <w:spacing w:before="19" w:line="182" w:lineRule="auto"/>
                    <w:ind w:left="20"/>
                    <w:rPr>
                      <w:rFonts w:ascii="SimSun" w:eastAsia="SimSun" w:hAnsi="SimSun" w:cs="SimSun"/>
                      <w:sz w:val="22"/>
                      <w:szCs w:val="22"/>
                    </w:rPr>
                  </w:pPr>
                  <w:r>
                    <w:rPr>
                      <w:rFonts w:ascii="SimSun" w:eastAsia="SimSun" w:hAnsi="SimSun" w:cs="SimSun"/>
                      <w:color w:val="595959"/>
                      <w:spacing w:val="-3"/>
                      <w:sz w:val="22"/>
                      <w:szCs w:val="22"/>
                    </w:rPr>
                    <w:t>3500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595959"/>
          <w:spacing w:val="-3"/>
          <w:sz w:val="22"/>
          <w:szCs w:val="22"/>
        </w:rPr>
        <w:t>3500</w:t>
      </w:r>
    </w:p>
    <w:p>
      <w:pPr>
        <w:pStyle w:val="BodyText"/>
        <w:spacing w:line="306" w:lineRule="auto"/>
      </w:pPr>
    </w:p>
    <w:p>
      <w:pPr>
        <w:pStyle w:val="BodyText"/>
        <w:spacing w:line="306" w:lineRule="auto"/>
      </w:pPr>
    </w:p>
    <w:p>
      <w:pPr>
        <w:spacing w:before="71" w:line="182" w:lineRule="auto"/>
        <w:ind w:left="734"/>
        <w:rPr>
          <w:rFonts w:ascii="SimSun" w:eastAsia="SimSun" w:hAnsi="SimSun" w:cs="SimSun"/>
          <w:sz w:val="22"/>
          <w:szCs w:val="22"/>
        </w:rPr>
      </w:pPr>
      <w:r>
        <w:pict>
          <v:shape id="_x0000_s1062" type="#_x0000_t202" style="width:23.45pt;height:12.85pt;margin-top:5.03pt;margin-left:494.27pt;position:absolute;z-index:251682816" filled="f" stroked="f">
            <o:lock v:ext="edit" aspectratio="f"/>
            <v:textbox inset="0,0,0,0">
              <w:txbxContent>
                <w:p>
                  <w:pPr>
                    <w:spacing w:before="19" w:line="182" w:lineRule="auto"/>
                    <w:ind w:left="20"/>
                    <w:rPr>
                      <w:rFonts w:ascii="SimSun" w:eastAsia="SimSun" w:hAnsi="SimSun" w:cs="SimSun"/>
                      <w:sz w:val="22"/>
                      <w:szCs w:val="22"/>
                    </w:rPr>
                  </w:pPr>
                  <w:r>
                    <w:rPr>
                      <w:rFonts w:ascii="SimSun" w:eastAsia="SimSun" w:hAnsi="SimSun" w:cs="SimSun"/>
                      <w:color w:val="595959"/>
                      <w:spacing w:val="-3"/>
                      <w:sz w:val="22"/>
                      <w:szCs w:val="22"/>
                    </w:rPr>
                    <w:t>3000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595959"/>
          <w:spacing w:val="-3"/>
          <w:sz w:val="22"/>
          <w:szCs w:val="22"/>
        </w:rPr>
        <w:t>3000</w:t>
      </w:r>
    </w:p>
    <w:p>
      <w:pPr>
        <w:pStyle w:val="BodyText"/>
        <w:spacing w:line="306" w:lineRule="auto"/>
      </w:pPr>
    </w:p>
    <w:p>
      <w:pPr>
        <w:pStyle w:val="BodyText"/>
        <w:spacing w:line="306" w:lineRule="auto"/>
      </w:pPr>
    </w:p>
    <w:p>
      <w:pPr>
        <w:spacing w:before="73" w:line="182" w:lineRule="auto"/>
        <w:ind w:left="732"/>
        <w:rPr>
          <w:rFonts w:ascii="SimSun" w:eastAsia="SimSun" w:hAnsi="SimSun" w:cs="SimSun"/>
          <w:sz w:val="22"/>
          <w:szCs w:val="22"/>
        </w:rPr>
      </w:pPr>
      <w:r>
        <w:pict>
          <v:shape id="_x0000_s1063" type="#_x0000_t202" style="width:23.55pt;height:12.85pt;margin-top:3.26pt;margin-left:494.18pt;position:absolute;z-index:251680768" filled="f" stroked="f">
            <o:lock v:ext="edit" aspectratio="f"/>
            <v:textbox inset="0,0,0,0">
              <w:txbxContent>
                <w:p>
                  <w:pPr>
                    <w:spacing w:before="19" w:line="182" w:lineRule="auto"/>
                    <w:ind w:left="20"/>
                    <w:rPr>
                      <w:rFonts w:ascii="SimSun" w:eastAsia="SimSun" w:hAnsi="SimSun" w:cs="SimSun"/>
                      <w:sz w:val="22"/>
                      <w:szCs w:val="22"/>
                    </w:rPr>
                  </w:pPr>
                  <w:r>
                    <w:rPr>
                      <w:rFonts w:ascii="SimSun" w:eastAsia="SimSun" w:hAnsi="SimSun" w:cs="SimSun"/>
                      <w:color w:val="595959"/>
                      <w:spacing w:val="-2"/>
                      <w:sz w:val="22"/>
                      <w:szCs w:val="22"/>
                    </w:rPr>
                    <w:t>2500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595959"/>
          <w:spacing w:val="-2"/>
          <w:sz w:val="22"/>
          <w:szCs w:val="22"/>
        </w:rPr>
        <w:t>2500</w:t>
      </w:r>
    </w:p>
    <w:p>
      <w:pPr>
        <w:pStyle w:val="BodyText"/>
        <w:spacing w:line="306" w:lineRule="auto"/>
      </w:pPr>
    </w:p>
    <w:p>
      <w:pPr>
        <w:pStyle w:val="BodyText"/>
        <w:spacing w:line="306" w:lineRule="auto"/>
      </w:pPr>
    </w:p>
    <w:p>
      <w:pPr>
        <w:spacing w:before="72" w:line="182" w:lineRule="auto"/>
        <w:ind w:left="732"/>
        <w:rPr>
          <w:rFonts w:ascii="SimSun" w:eastAsia="SimSun" w:hAnsi="SimSun" w:cs="SimSun"/>
          <w:sz w:val="22"/>
          <w:szCs w:val="22"/>
        </w:rPr>
      </w:pPr>
      <w:r>
        <w:pict>
          <v:shape id="_x0000_s1064" type="#_x0000_t202" style="width:23.55pt;height:12.85pt;margin-top:1.48pt;margin-left:494.18pt;position:absolute;z-index:251679744" filled="f" stroked="f">
            <o:lock v:ext="edit" aspectratio="f"/>
            <v:textbox inset="0,0,0,0">
              <w:txbxContent>
                <w:p>
                  <w:pPr>
                    <w:spacing w:before="19" w:line="182" w:lineRule="auto"/>
                    <w:ind w:left="20"/>
                    <w:rPr>
                      <w:rFonts w:ascii="SimSun" w:eastAsia="SimSun" w:hAnsi="SimSun" w:cs="SimSun"/>
                      <w:sz w:val="22"/>
                      <w:szCs w:val="22"/>
                    </w:rPr>
                  </w:pPr>
                  <w:r>
                    <w:rPr>
                      <w:rFonts w:ascii="SimSun" w:eastAsia="SimSun" w:hAnsi="SimSun" w:cs="SimSun"/>
                      <w:color w:val="595959"/>
                      <w:spacing w:val="-2"/>
                      <w:sz w:val="22"/>
                      <w:szCs w:val="22"/>
                    </w:rPr>
                    <w:t>2000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595959"/>
          <w:spacing w:val="-2"/>
          <w:sz w:val="22"/>
          <w:szCs w:val="22"/>
        </w:rPr>
        <w:t>2000</w:t>
      </w:r>
    </w:p>
    <w:p>
      <w:pPr>
        <w:pStyle w:val="BodyText"/>
        <w:spacing w:line="306" w:lineRule="auto"/>
      </w:pPr>
    </w:p>
    <w:p>
      <w:pPr>
        <w:pStyle w:val="BodyText"/>
        <w:spacing w:line="306" w:lineRule="auto"/>
      </w:pPr>
    </w:p>
    <w:p>
      <w:pPr>
        <w:spacing w:before="72" w:line="182" w:lineRule="auto"/>
        <w:ind w:left="746"/>
        <w:rPr>
          <w:rFonts w:ascii="SimSun" w:eastAsia="SimSun" w:hAnsi="SimSun" w:cs="SimSun"/>
          <w:sz w:val="22"/>
          <w:szCs w:val="22"/>
        </w:rPr>
      </w:pPr>
      <w:r>
        <w:pict>
          <v:shape id="_x0000_s1065" type="#_x0000_t202" style="width:22.85pt;height:12.9pt;margin-top:-0.32pt;margin-left:494.87pt;position:absolute;z-index:251684864" filled="f" stroked="f">
            <o:lock v:ext="edit" aspectratio="f"/>
            <v:textbox inset="0,0,0,0">
              <w:txbxContent>
                <w:p>
                  <w:pPr>
                    <w:spacing w:before="20" w:line="182" w:lineRule="auto"/>
                    <w:ind w:left="20"/>
                    <w:rPr>
                      <w:rFonts w:ascii="SimSun" w:eastAsia="SimSun" w:hAnsi="SimSun" w:cs="SimSun"/>
                      <w:sz w:val="22"/>
                      <w:szCs w:val="22"/>
                    </w:rPr>
                  </w:pPr>
                  <w:r>
                    <w:rPr>
                      <w:rFonts w:ascii="SimSun" w:eastAsia="SimSun" w:hAnsi="SimSun" w:cs="SimSun"/>
                      <w:color w:val="595959"/>
                      <w:spacing w:val="-5"/>
                      <w:sz w:val="22"/>
                      <w:szCs w:val="22"/>
                    </w:rPr>
                    <w:t>1500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595959"/>
          <w:spacing w:val="-5"/>
          <w:sz w:val="22"/>
          <w:szCs w:val="22"/>
        </w:rPr>
        <w:t>1500</w:t>
      </w:r>
    </w:p>
    <w:p>
      <w:pPr>
        <w:spacing w:before="191" w:line="182" w:lineRule="auto"/>
        <w:ind w:left="11301"/>
        <w:rPr>
          <w:rFonts w:ascii="SimSun" w:eastAsia="SimSun" w:hAnsi="SimSun" w:cs="SimSun"/>
          <w:sz w:val="22"/>
          <w:szCs w:val="22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column">
              <wp:posOffset>6819899</wp:posOffset>
            </wp:positionH>
            <wp:positionV relativeFrom="paragraph">
              <wp:posOffset>-1862345</wp:posOffset>
            </wp:positionV>
            <wp:extent cx="4530852" cy="3389376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530852" cy="3389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color w:val="404040"/>
          <w:spacing w:val="-5"/>
          <w:sz w:val="22"/>
          <w:szCs w:val="22"/>
        </w:rPr>
        <w:t>1098</w:t>
      </w:r>
    </w:p>
    <w:p>
      <w:pPr>
        <w:spacing w:before="280" w:line="182" w:lineRule="auto"/>
        <w:ind w:left="746"/>
        <w:rPr>
          <w:rFonts w:ascii="SimSun" w:eastAsia="SimSun" w:hAnsi="SimSun" w:cs="SimSun"/>
          <w:sz w:val="22"/>
          <w:szCs w:val="22"/>
        </w:rPr>
      </w:pPr>
      <w:r>
        <w:pict>
          <v:shape id="_x0000_s1066" type="#_x0000_t202" style="width:18.2pt;height:12.85pt;margin-top:8.6pt;margin-left:645.33pt;position:absolute;z-index:251685888" filled="f" stroked="f">
            <o:lock v:ext="edit" aspectratio="f"/>
            <v:textbox inset="0,0,0,0">
              <w:txbxContent>
                <w:p>
                  <w:pPr>
                    <w:spacing w:before="19" w:line="182" w:lineRule="auto"/>
                    <w:ind w:left="20"/>
                    <w:rPr>
                      <w:rFonts w:ascii="SimSun" w:eastAsia="SimSun" w:hAnsi="SimSun" w:cs="SimSun"/>
                      <w:sz w:val="22"/>
                      <w:szCs w:val="22"/>
                    </w:rPr>
                  </w:pPr>
                  <w:r>
                    <w:rPr>
                      <w:rFonts w:ascii="SimSun" w:eastAsia="SimSun" w:hAnsi="SimSun" w:cs="SimSun"/>
                      <w:color w:val="404040"/>
                      <w:spacing w:val="-2"/>
                      <w:sz w:val="22"/>
                      <w:szCs w:val="22"/>
                    </w:rPr>
                    <w:t>495</w:t>
                  </w:r>
                </w:p>
              </w:txbxContent>
            </v:textbox>
          </v:shape>
        </w:pict>
      </w:r>
      <w:r>
        <w:pict>
          <v:shape id="_x0000_s1067" type="#_x0000_t202" style="width:22.85pt;height:12.9pt;margin-top:8.27pt;margin-left:494.87pt;position:absolute;z-index:251683840" filled="f" stroked="f">
            <o:lock v:ext="edit" aspectratio="f"/>
            <v:textbox inset="0,0,0,0">
              <w:txbxContent>
                <w:p>
                  <w:pPr>
                    <w:spacing w:before="19" w:line="183" w:lineRule="auto"/>
                    <w:ind w:left="20"/>
                    <w:rPr>
                      <w:rFonts w:ascii="SimSun" w:eastAsia="SimSun" w:hAnsi="SimSun" w:cs="SimSun"/>
                      <w:sz w:val="22"/>
                      <w:szCs w:val="22"/>
                    </w:rPr>
                  </w:pPr>
                  <w:r>
                    <w:rPr>
                      <w:rFonts w:ascii="SimSun" w:eastAsia="SimSun" w:hAnsi="SimSun" w:cs="SimSun"/>
                      <w:color w:val="595959"/>
                      <w:spacing w:val="-5"/>
                      <w:sz w:val="22"/>
                      <w:szCs w:val="22"/>
                    </w:rPr>
                    <w:t>1000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595959"/>
          <w:spacing w:val="-5"/>
          <w:sz w:val="22"/>
          <w:szCs w:val="22"/>
        </w:rPr>
        <w:t>1000</w:t>
      </w:r>
    </w:p>
    <w:p>
      <w:pPr>
        <w:spacing w:before="74" w:line="182" w:lineRule="auto"/>
        <w:ind w:left="3668"/>
        <w:rPr>
          <w:rFonts w:ascii="SimSun" w:eastAsia="SimSun" w:hAnsi="SimSun" w:cs="SimSun"/>
          <w:sz w:val="22"/>
          <w:szCs w:val="22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column">
              <wp:posOffset>996695</wp:posOffset>
            </wp:positionH>
            <wp:positionV relativeFrom="paragraph">
              <wp:posOffset>-2669101</wp:posOffset>
            </wp:positionV>
            <wp:extent cx="4506467" cy="3724655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506467" cy="3724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8" type="#_x0000_t202" style="width:17.9pt;height:12.85pt;margin-top:0.21pt;margin-left:115.86pt;position:absolute;z-index:251689984" filled="f" stroked="f">
            <o:lock v:ext="edit" aspectratio="f"/>
            <v:textbox inset="0,0,0,0">
              <w:txbxContent>
                <w:p>
                  <w:pPr>
                    <w:spacing w:before="19" w:line="182" w:lineRule="auto"/>
                    <w:ind w:left="20"/>
                    <w:rPr>
                      <w:rFonts w:ascii="SimSun" w:eastAsia="SimSun" w:hAnsi="SimSun" w:cs="SimSun"/>
                      <w:sz w:val="22"/>
                      <w:szCs w:val="22"/>
                    </w:rPr>
                  </w:pPr>
                  <w:r>
                    <w:rPr>
                      <w:rFonts w:ascii="SimSun" w:eastAsia="SimSun" w:hAnsi="SimSun" w:cs="SimSun"/>
                      <w:color w:val="404040"/>
                      <w:spacing w:val="-3"/>
                      <w:sz w:val="22"/>
                      <w:szCs w:val="22"/>
                    </w:rPr>
                    <w:t>738</w:t>
                  </w:r>
                </w:p>
              </w:txbxContent>
            </v:textbox>
          </v:shape>
        </w:pict>
      </w:r>
      <w:r>
        <w:pict>
          <v:shape id="_x0000_s1069" type="#_x0000_t202" style="width:18.1pt;height:12.85pt;margin-top:-0.89pt;margin-left:583.45pt;position:absolute;z-index:251686912" filled="f" stroked="f">
            <o:lock v:ext="edit" aspectratio="f"/>
            <v:textbox inset="0,0,0,0">
              <w:txbxContent>
                <w:p>
                  <w:pPr>
                    <w:spacing w:before="19" w:line="182" w:lineRule="auto"/>
                    <w:ind w:left="20"/>
                    <w:rPr>
                      <w:rFonts w:ascii="SimSun" w:eastAsia="SimSun" w:hAnsi="SimSun" w:cs="SimSun"/>
                      <w:sz w:val="22"/>
                      <w:szCs w:val="22"/>
                    </w:rPr>
                  </w:pPr>
                  <w:r>
                    <w:rPr>
                      <w:rFonts w:ascii="SimSun" w:eastAsia="SimSun" w:hAnsi="SimSun" w:cs="SimSun"/>
                      <w:color w:val="404040"/>
                      <w:spacing w:val="-2"/>
                      <w:sz w:val="22"/>
                      <w:szCs w:val="22"/>
                    </w:rPr>
                    <w:t>905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404040"/>
          <w:spacing w:val="-3"/>
          <w:sz w:val="22"/>
          <w:szCs w:val="22"/>
        </w:rPr>
        <w:t>346</w:t>
      </w:r>
    </w:p>
    <w:p>
      <w:pPr>
        <w:spacing w:before="267" w:line="140" w:lineRule="exact"/>
        <w:ind w:left="10015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color w:val="595959"/>
          <w:spacing w:val="-3"/>
          <w:position w:val="-3"/>
          <w:sz w:val="22"/>
          <w:szCs w:val="22"/>
        </w:rPr>
        <w:t>500</w:t>
      </w:r>
    </w:p>
    <w:p>
      <w:pPr>
        <w:spacing w:before="1" w:line="172" w:lineRule="auto"/>
        <w:ind w:left="844"/>
        <w:rPr>
          <w:rFonts w:ascii="SimSun" w:eastAsia="SimSun" w:hAnsi="SimSun" w:cs="SimSun"/>
          <w:sz w:val="22"/>
          <w:szCs w:val="22"/>
        </w:rPr>
        <w:sectPr>
          <w:footerReference w:type="default" r:id="rId43"/>
          <w:pgSz w:w="19200" w:h="10800"/>
          <w:pgMar w:top="360" w:right="643" w:bottom="400" w:left="0" w:header="0" w:footer="0" w:gutter="0"/>
          <w:pgNumType w:start="12"/>
          <w:cols w:space="708"/>
        </w:sectPr>
      </w:pPr>
      <w:r>
        <w:rPr>
          <w:rFonts w:ascii="SimSun" w:eastAsia="SimSun" w:hAnsi="SimSun" w:cs="SimSun"/>
          <w:color w:val="595959"/>
          <w:spacing w:val="-3"/>
          <w:sz w:val="22"/>
          <w:szCs w:val="22"/>
        </w:rPr>
        <w:t>500</w:t>
      </w:r>
    </w:p>
    <w:p>
      <w:pPr>
        <w:pStyle w:val="BodyText"/>
        <w:spacing w:line="448" w:lineRule="auto"/>
      </w:pPr>
    </w:p>
    <w:p>
      <w:pPr>
        <w:spacing w:before="72" w:line="182" w:lineRule="auto"/>
        <w:ind w:left="10232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color w:val="595959"/>
          <w:sz w:val="22"/>
          <w:szCs w:val="22"/>
        </w:rPr>
        <w:t>0</w:t>
      </w:r>
    </w:p>
    <w:p>
      <w:pPr>
        <w:spacing w:before="16" w:line="162" w:lineRule="auto"/>
        <w:ind w:left="11103"/>
        <w:rPr>
          <w:rFonts w:ascii="SimSun" w:eastAsia="SimSun" w:hAnsi="SimSun" w:cs="SimSun"/>
          <w:sz w:val="22"/>
          <w:szCs w:val="22"/>
        </w:rPr>
      </w:pPr>
      <w:r>
        <w:pict>
          <v:shape id="_x0000_s1070" type="#_x0000_t202" style="width:7.05pt;height:12.85pt;margin-top:-3.54pt;margin-left:52.08pt;position:absolute;z-index:251695104" filled="f" stroked="f">
            <o:lock v:ext="edit" aspectratio="f"/>
            <v:textbox inset="0,0,0,0">
              <w:txbxContent>
                <w:p>
                  <w:pPr>
                    <w:spacing w:before="19" w:line="182" w:lineRule="auto"/>
                    <w:ind w:left="20"/>
                    <w:rPr>
                      <w:rFonts w:ascii="SimSun" w:eastAsia="SimSun" w:hAnsi="SimSun" w:cs="SimSun"/>
                      <w:sz w:val="22"/>
                      <w:szCs w:val="22"/>
                    </w:rPr>
                  </w:pPr>
                  <w:r>
                    <w:rPr>
                      <w:rFonts w:ascii="SimSun" w:eastAsia="SimSun" w:hAnsi="SimSun" w:cs="SimSun"/>
                      <w:color w:val="595959"/>
                      <w:sz w:val="22"/>
                      <w:szCs w:val="22"/>
                    </w:rPr>
                    <w:t>0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595959"/>
          <w:spacing w:val="-7"/>
          <w:sz w:val="22"/>
          <w:szCs w:val="22"/>
        </w:rPr>
        <w:t>1月</w:t>
      </w:r>
      <w:r>
        <w:rPr>
          <w:rFonts w:ascii="SimSun" w:eastAsia="SimSun" w:hAnsi="SimSun" w:cs="SimSun"/>
          <w:color w:val="595959"/>
          <w:spacing w:val="8"/>
          <w:sz w:val="22"/>
          <w:szCs w:val="22"/>
        </w:rPr>
        <w:t xml:space="preserve">        </w:t>
      </w:r>
      <w:r>
        <w:rPr>
          <w:rFonts w:ascii="SimSun" w:eastAsia="SimSun" w:hAnsi="SimSun" w:cs="SimSun"/>
          <w:color w:val="595959"/>
          <w:spacing w:val="-7"/>
          <w:sz w:val="22"/>
          <w:szCs w:val="22"/>
        </w:rPr>
        <w:t>2月</w:t>
      </w:r>
      <w:r>
        <w:rPr>
          <w:rFonts w:ascii="SimSun" w:eastAsia="SimSun" w:hAnsi="SimSun" w:cs="SimSun"/>
          <w:color w:val="595959"/>
          <w:spacing w:val="8"/>
          <w:sz w:val="22"/>
          <w:szCs w:val="22"/>
        </w:rPr>
        <w:t xml:space="preserve">        </w:t>
      </w:r>
      <w:r>
        <w:rPr>
          <w:rFonts w:ascii="SimSun" w:eastAsia="SimSun" w:hAnsi="SimSun" w:cs="SimSun"/>
          <w:color w:val="595959"/>
          <w:spacing w:val="-7"/>
          <w:sz w:val="22"/>
          <w:szCs w:val="22"/>
        </w:rPr>
        <w:t>3月</w:t>
      </w:r>
      <w:r>
        <w:rPr>
          <w:rFonts w:ascii="SimSun" w:eastAsia="SimSun" w:hAnsi="SimSun" w:cs="SimSun"/>
          <w:color w:val="595959"/>
          <w:spacing w:val="7"/>
          <w:sz w:val="22"/>
          <w:szCs w:val="22"/>
        </w:rPr>
        <w:t xml:space="preserve">        </w:t>
      </w:r>
      <w:r>
        <w:rPr>
          <w:rFonts w:ascii="SimSun" w:eastAsia="SimSun" w:hAnsi="SimSun" w:cs="SimSun"/>
          <w:color w:val="595959"/>
          <w:spacing w:val="-7"/>
          <w:sz w:val="22"/>
          <w:szCs w:val="22"/>
        </w:rPr>
        <w:t>4月</w:t>
      </w:r>
      <w:r>
        <w:rPr>
          <w:rFonts w:ascii="SimSun" w:eastAsia="SimSun" w:hAnsi="SimSun" w:cs="SimSun"/>
          <w:color w:val="595959"/>
          <w:spacing w:val="7"/>
          <w:sz w:val="22"/>
          <w:szCs w:val="22"/>
        </w:rPr>
        <w:t xml:space="preserve">        </w:t>
      </w:r>
      <w:r>
        <w:rPr>
          <w:rFonts w:ascii="SimSun" w:eastAsia="SimSun" w:hAnsi="SimSun" w:cs="SimSun"/>
          <w:color w:val="595959"/>
          <w:spacing w:val="-7"/>
          <w:sz w:val="22"/>
          <w:szCs w:val="22"/>
        </w:rPr>
        <w:t>5月</w:t>
      </w:r>
      <w:r>
        <w:rPr>
          <w:rFonts w:ascii="SimSun" w:eastAsia="SimSun" w:hAnsi="SimSun" w:cs="SimSun"/>
          <w:color w:val="595959"/>
          <w:spacing w:val="8"/>
          <w:sz w:val="22"/>
          <w:szCs w:val="22"/>
        </w:rPr>
        <w:t xml:space="preserve">        </w:t>
      </w:r>
      <w:r>
        <w:rPr>
          <w:rFonts w:ascii="SimSun" w:eastAsia="SimSun" w:hAnsi="SimSun" w:cs="SimSun"/>
          <w:color w:val="595959"/>
          <w:spacing w:val="-7"/>
          <w:sz w:val="22"/>
          <w:szCs w:val="22"/>
        </w:rPr>
        <w:t>6月</w:t>
      </w:r>
    </w:p>
    <w:p>
      <w:pPr>
        <w:spacing w:line="197" w:lineRule="auto"/>
        <w:ind w:left="19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color w:val="595959"/>
          <w:spacing w:val="-7"/>
          <w:sz w:val="22"/>
          <w:szCs w:val="22"/>
        </w:rPr>
        <w:t>1月</w:t>
      </w:r>
      <w:r>
        <w:rPr>
          <w:rFonts w:ascii="SimSun" w:eastAsia="SimSun" w:hAnsi="SimSun" w:cs="SimSun"/>
          <w:color w:val="595959"/>
          <w:spacing w:val="7"/>
          <w:sz w:val="22"/>
          <w:szCs w:val="22"/>
        </w:rPr>
        <w:t xml:space="preserve">        </w:t>
      </w:r>
      <w:r>
        <w:rPr>
          <w:rFonts w:ascii="SimSun" w:eastAsia="SimSun" w:hAnsi="SimSun" w:cs="SimSun"/>
          <w:color w:val="595959"/>
          <w:spacing w:val="-7"/>
          <w:sz w:val="22"/>
          <w:szCs w:val="22"/>
        </w:rPr>
        <w:t>2月</w:t>
      </w:r>
      <w:r>
        <w:rPr>
          <w:rFonts w:ascii="SimSun" w:eastAsia="SimSun" w:hAnsi="SimSun" w:cs="SimSun"/>
          <w:color w:val="595959"/>
          <w:spacing w:val="7"/>
          <w:sz w:val="22"/>
          <w:szCs w:val="22"/>
        </w:rPr>
        <w:t xml:space="preserve">        </w:t>
      </w:r>
      <w:r>
        <w:rPr>
          <w:rFonts w:ascii="SimSun" w:eastAsia="SimSun" w:hAnsi="SimSun" w:cs="SimSun"/>
          <w:color w:val="595959"/>
          <w:spacing w:val="-7"/>
          <w:sz w:val="22"/>
          <w:szCs w:val="22"/>
        </w:rPr>
        <w:t>3月</w:t>
      </w:r>
      <w:r>
        <w:rPr>
          <w:rFonts w:ascii="SimSun" w:eastAsia="SimSun" w:hAnsi="SimSun" w:cs="SimSun"/>
          <w:color w:val="595959"/>
          <w:spacing w:val="6"/>
          <w:sz w:val="22"/>
          <w:szCs w:val="22"/>
        </w:rPr>
        <w:t xml:space="preserve">        </w:t>
      </w:r>
      <w:r>
        <w:rPr>
          <w:rFonts w:ascii="SimSun" w:eastAsia="SimSun" w:hAnsi="SimSun" w:cs="SimSun"/>
          <w:color w:val="595959"/>
          <w:spacing w:val="-7"/>
          <w:sz w:val="22"/>
          <w:szCs w:val="22"/>
        </w:rPr>
        <w:t>4月</w:t>
      </w:r>
      <w:r>
        <w:rPr>
          <w:rFonts w:ascii="SimSun" w:eastAsia="SimSun" w:hAnsi="SimSun" w:cs="SimSun"/>
          <w:color w:val="595959"/>
          <w:spacing w:val="7"/>
          <w:sz w:val="22"/>
          <w:szCs w:val="22"/>
        </w:rPr>
        <w:t xml:space="preserve">        </w:t>
      </w:r>
      <w:r>
        <w:rPr>
          <w:rFonts w:ascii="SimSun" w:eastAsia="SimSun" w:hAnsi="SimSun" w:cs="SimSun"/>
          <w:color w:val="595959"/>
          <w:spacing w:val="-7"/>
          <w:sz w:val="22"/>
          <w:szCs w:val="22"/>
        </w:rPr>
        <w:t>5月</w:t>
      </w:r>
      <w:r>
        <w:rPr>
          <w:rFonts w:ascii="SimSun" w:eastAsia="SimSun" w:hAnsi="SimSun" w:cs="SimSun"/>
          <w:color w:val="595959"/>
          <w:spacing w:val="6"/>
          <w:sz w:val="22"/>
          <w:szCs w:val="22"/>
        </w:rPr>
        <w:t xml:space="preserve">        </w:t>
      </w:r>
      <w:r>
        <w:rPr>
          <w:rFonts w:ascii="SimSun" w:eastAsia="SimSun" w:hAnsi="SimSun" w:cs="SimSun"/>
          <w:color w:val="595959"/>
          <w:spacing w:val="-7"/>
          <w:sz w:val="22"/>
          <w:szCs w:val="22"/>
        </w:rPr>
        <w:t>6月</w:t>
      </w:r>
    </w:p>
    <w:p>
      <w:pPr>
        <w:spacing w:before="180" w:line="220" w:lineRule="auto"/>
        <w:ind w:left="11212"/>
        <w:rPr>
          <w:rFonts w:ascii="SimSun" w:eastAsia="SimSun" w:hAnsi="SimSun" w:cs="SimSun"/>
          <w:sz w:val="22"/>
          <w:szCs w:val="22"/>
        </w:rPr>
      </w:pPr>
      <w:r>
        <w:pict>
          <v:shape id="_x0000_s1071" type="#_x0000_t202" style="width:293.55pt;height:15.15pt;margin-top:8pt;margin-left:99.32pt;position:absolute;z-index:251694080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SimSun" w:eastAsia="SimSun" w:hAnsi="SimSun" w:cs="SimSun"/>
                      <w:sz w:val="22"/>
                      <w:szCs w:val="22"/>
                    </w:rPr>
                  </w:pPr>
                  <w:r>
                    <w:rPr>
                      <w:rFonts w:ascii="SimSun" w:eastAsia="SimSun" w:hAnsi="SimSun" w:cs="SimSun"/>
                      <w:color w:val="595959"/>
                      <w:position w:val="3"/>
                      <w:sz w:val="22"/>
                      <w:szCs w:val="22"/>
                    </w:rPr>
                    <w:drawing>
                      <wp:inline distT="0" distB="0" distL="0" distR="0">
                        <wp:extent cx="64008" cy="62483"/>
                        <wp:effectExtent l="0" t="0" r="0" b="0"/>
                        <wp:docPr id="58" name="IM 5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8" name="IM 58"/>
                                <pic:cNvPicPr/>
                              </pic:nvPicPr>
                              <pic:blipFill>
                                <a:blip xmlns:r="http://schemas.openxmlformats.org/officeDocument/2006/relationships" r:embed="rId4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008" cy="624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color w:val="595959"/>
                      <w:spacing w:val="-52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color w:val="595959"/>
                      <w:spacing w:val="-2"/>
                      <w:sz w:val="22"/>
                      <w:szCs w:val="22"/>
                    </w:rPr>
                    <w:t>2019年</w:t>
                  </w:r>
                  <w:r>
                    <w:rPr>
                      <w:rFonts w:ascii="SimSun" w:eastAsia="SimSun" w:hAnsi="SimSun" w:cs="SimSun"/>
                      <w:color w:val="595959"/>
                      <w:spacing w:val="91"/>
                      <w:sz w:val="22"/>
                      <w:szCs w:val="22"/>
                    </w:rPr>
                    <w:t xml:space="preserve"> </w:t>
                  </w:r>
                  <w:r>
                    <w:rPr>
                      <w:position w:val="3"/>
                      <w:sz w:val="22"/>
                      <w:szCs w:val="22"/>
                    </w:rPr>
                    <w:drawing>
                      <wp:inline distT="0" distB="0" distL="0" distR="0">
                        <wp:extent cx="62483" cy="62483"/>
                        <wp:effectExtent l="0" t="0" r="0" b="0"/>
                        <wp:docPr id="60" name="IM 6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0" name="IM 60"/>
                                <pic:cNvPicPr/>
                              </pic:nvPicPr>
                              <pic:blipFill>
                                <a:blip xmlns:r="http://schemas.openxmlformats.org/officeDocument/2006/relationships" r:embed="rId4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2483" cy="624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color w:val="595959"/>
                      <w:spacing w:val="-55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color w:val="595959"/>
                      <w:spacing w:val="-2"/>
                      <w:sz w:val="22"/>
                      <w:szCs w:val="22"/>
                    </w:rPr>
                    <w:t>2020年</w:t>
                  </w:r>
                  <w:r>
                    <w:rPr>
                      <w:rFonts w:ascii="SimSun" w:eastAsia="SimSun" w:hAnsi="SimSun" w:cs="SimSun"/>
                      <w:color w:val="595959"/>
                      <w:spacing w:val="91"/>
                      <w:sz w:val="22"/>
                      <w:szCs w:val="22"/>
                    </w:rPr>
                    <w:t xml:space="preserve"> </w:t>
                  </w:r>
                  <w:r>
                    <w:rPr>
                      <w:position w:val="3"/>
                      <w:sz w:val="22"/>
                      <w:szCs w:val="22"/>
                    </w:rPr>
                    <w:drawing>
                      <wp:inline distT="0" distB="0" distL="0" distR="0">
                        <wp:extent cx="62483" cy="62483"/>
                        <wp:effectExtent l="0" t="0" r="0" b="0"/>
                        <wp:docPr id="62" name="IM 6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2" name="IM 62"/>
                                <pic:cNvPicPr/>
                              </pic:nvPicPr>
                              <pic:blipFill>
                                <a:blip xmlns:r="http://schemas.openxmlformats.org/officeDocument/2006/relationships" r:embed="rId4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2483" cy="624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color w:val="595959"/>
                      <w:spacing w:val="-55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color w:val="595959"/>
                      <w:spacing w:val="-2"/>
                      <w:sz w:val="22"/>
                      <w:szCs w:val="22"/>
                    </w:rPr>
                    <w:t>2021年</w:t>
                  </w:r>
                  <w:r>
                    <w:rPr>
                      <w:rFonts w:ascii="SimSun" w:eastAsia="SimSun" w:hAnsi="SimSun" w:cs="SimSun"/>
                      <w:color w:val="595959"/>
                      <w:spacing w:val="91"/>
                      <w:sz w:val="22"/>
                      <w:szCs w:val="22"/>
                    </w:rPr>
                    <w:t xml:space="preserve"> </w:t>
                  </w:r>
                  <w:r>
                    <w:rPr>
                      <w:position w:val="3"/>
                      <w:sz w:val="22"/>
                      <w:szCs w:val="22"/>
                    </w:rPr>
                    <w:drawing>
                      <wp:inline distT="0" distB="0" distL="0" distR="0">
                        <wp:extent cx="62484" cy="62483"/>
                        <wp:effectExtent l="0" t="0" r="0" b="0"/>
                        <wp:docPr id="64" name="IM 6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4" name="IM 64"/>
                                <pic:cNvPicPr/>
                              </pic:nvPicPr>
                              <pic:blipFill>
                                <a:blip xmlns:r="http://schemas.openxmlformats.org/officeDocument/2006/relationships" r:embed="rId4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2484" cy="624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color w:val="595959"/>
                      <w:spacing w:val="-56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color w:val="595959"/>
                      <w:spacing w:val="-2"/>
                      <w:sz w:val="22"/>
                      <w:szCs w:val="22"/>
                    </w:rPr>
                    <w:t>2022年</w:t>
                  </w:r>
                  <w:r>
                    <w:rPr>
                      <w:rFonts w:ascii="SimSun" w:eastAsia="SimSun" w:hAnsi="SimSun" w:cs="SimSun"/>
                      <w:color w:val="595959"/>
                      <w:spacing w:val="92"/>
                      <w:sz w:val="22"/>
                      <w:szCs w:val="22"/>
                    </w:rPr>
                    <w:t xml:space="preserve"> </w:t>
                  </w:r>
                  <w:r>
                    <w:rPr>
                      <w:position w:val="3"/>
                      <w:sz w:val="22"/>
                      <w:szCs w:val="22"/>
                    </w:rPr>
                    <w:drawing>
                      <wp:inline distT="0" distB="0" distL="0" distR="0">
                        <wp:extent cx="62484" cy="62483"/>
                        <wp:effectExtent l="0" t="0" r="0" b="0"/>
                        <wp:docPr id="66" name="IM 6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6" name="IM 66"/>
                                <pic:cNvPicPr/>
                              </pic:nvPicPr>
                              <pic:blipFill>
                                <a:blip xmlns:r="http://schemas.openxmlformats.org/officeDocument/2006/relationships"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2484" cy="624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color w:val="595959"/>
                      <w:spacing w:val="-56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color w:val="595959"/>
                      <w:spacing w:val="-2"/>
                      <w:sz w:val="22"/>
                      <w:szCs w:val="22"/>
                    </w:rPr>
                    <w:t>2023年</w:t>
                  </w:r>
                  <w:r>
                    <w:rPr>
                      <w:rFonts w:ascii="SimSun" w:eastAsia="SimSun" w:hAnsi="SimSun" w:cs="SimSun"/>
                      <w:color w:val="595959"/>
                      <w:spacing w:val="90"/>
                      <w:sz w:val="22"/>
                      <w:szCs w:val="22"/>
                    </w:rPr>
                    <w:t xml:space="preserve"> </w:t>
                  </w:r>
                  <w:r>
                    <w:rPr>
                      <w:position w:val="3"/>
                      <w:sz w:val="22"/>
                      <w:szCs w:val="22"/>
                    </w:rPr>
                    <w:drawing>
                      <wp:inline distT="0" distB="0" distL="0" distR="0">
                        <wp:extent cx="64008" cy="62483"/>
                        <wp:effectExtent l="0" t="0" r="0" b="0"/>
                        <wp:docPr id="68" name="IM 6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8" name="IM 68"/>
                                <pic:cNvPicPr/>
                              </pic:nvPicPr>
                              <pic:blipFill>
                                <a:blip xmlns:r="http://schemas.openxmlformats.org/officeDocument/2006/relationships"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008" cy="624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color w:val="595959"/>
                      <w:spacing w:val="-57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color w:val="595959"/>
                      <w:spacing w:val="-2"/>
                      <w:sz w:val="22"/>
                      <w:szCs w:val="22"/>
                    </w:rPr>
                    <w:t>2024年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595959"/>
          <w:position w:val="3"/>
          <w:sz w:val="22"/>
          <w:szCs w:val="22"/>
        </w:rPr>
        <w:drawing>
          <wp:inline distT="0" distB="0" distL="0" distR="0">
            <wp:extent cx="62483" cy="62483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595959"/>
          <w:spacing w:val="-50"/>
          <w:sz w:val="22"/>
          <w:szCs w:val="22"/>
        </w:rPr>
        <w:t xml:space="preserve"> </w:t>
      </w:r>
      <w:r>
        <w:rPr>
          <w:rFonts w:ascii="SimSun" w:eastAsia="SimSun" w:hAnsi="SimSun" w:cs="SimSun"/>
          <w:color w:val="595959"/>
          <w:spacing w:val="-2"/>
          <w:sz w:val="22"/>
          <w:szCs w:val="22"/>
        </w:rPr>
        <w:t>2019年</w:t>
      </w:r>
      <w:r>
        <w:rPr>
          <w:rFonts w:ascii="SimSun" w:eastAsia="SimSun" w:hAnsi="SimSun" w:cs="SimSun"/>
          <w:color w:val="595959"/>
          <w:spacing w:val="89"/>
          <w:sz w:val="22"/>
          <w:szCs w:val="22"/>
        </w:rPr>
        <w:t xml:space="preserve"> </w:t>
      </w:r>
      <w:r>
        <w:rPr>
          <w:position w:val="3"/>
          <w:sz w:val="22"/>
          <w:szCs w:val="22"/>
        </w:rPr>
        <w:drawing>
          <wp:inline distT="0" distB="0" distL="0" distR="0">
            <wp:extent cx="64007" cy="62483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64007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595959"/>
          <w:spacing w:val="-56"/>
          <w:sz w:val="22"/>
          <w:szCs w:val="22"/>
        </w:rPr>
        <w:t xml:space="preserve"> </w:t>
      </w:r>
      <w:r>
        <w:rPr>
          <w:rFonts w:ascii="SimSun" w:eastAsia="SimSun" w:hAnsi="SimSun" w:cs="SimSun"/>
          <w:color w:val="595959"/>
          <w:spacing w:val="-2"/>
          <w:sz w:val="22"/>
          <w:szCs w:val="22"/>
        </w:rPr>
        <w:t>2020年</w:t>
      </w:r>
      <w:r>
        <w:rPr>
          <w:rFonts w:ascii="SimSun" w:eastAsia="SimSun" w:hAnsi="SimSun" w:cs="SimSun"/>
          <w:color w:val="595959"/>
          <w:spacing w:val="90"/>
          <w:sz w:val="22"/>
          <w:szCs w:val="22"/>
        </w:rPr>
        <w:t xml:space="preserve"> </w:t>
      </w:r>
      <w:r>
        <w:rPr>
          <w:position w:val="3"/>
          <w:sz w:val="22"/>
          <w:szCs w:val="22"/>
        </w:rPr>
        <w:drawing>
          <wp:inline distT="0" distB="0" distL="0" distR="0">
            <wp:extent cx="62483" cy="62483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595959"/>
          <w:spacing w:val="-54"/>
          <w:sz w:val="22"/>
          <w:szCs w:val="22"/>
        </w:rPr>
        <w:t xml:space="preserve"> </w:t>
      </w:r>
      <w:r>
        <w:rPr>
          <w:rFonts w:ascii="SimSun" w:eastAsia="SimSun" w:hAnsi="SimSun" w:cs="SimSun"/>
          <w:color w:val="595959"/>
          <w:spacing w:val="-2"/>
          <w:sz w:val="22"/>
          <w:szCs w:val="22"/>
        </w:rPr>
        <w:t>2021年</w:t>
      </w:r>
      <w:r>
        <w:rPr>
          <w:rFonts w:ascii="SimSun" w:eastAsia="SimSun" w:hAnsi="SimSun" w:cs="SimSun"/>
          <w:color w:val="595959"/>
          <w:spacing w:val="90"/>
          <w:sz w:val="22"/>
          <w:szCs w:val="22"/>
        </w:rPr>
        <w:t xml:space="preserve"> </w:t>
      </w:r>
      <w:r>
        <w:rPr>
          <w:position w:val="3"/>
          <w:sz w:val="22"/>
          <w:szCs w:val="22"/>
        </w:rPr>
        <w:drawing>
          <wp:inline distT="0" distB="0" distL="0" distR="0">
            <wp:extent cx="62483" cy="62483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595959"/>
          <w:spacing w:val="-55"/>
          <w:sz w:val="22"/>
          <w:szCs w:val="22"/>
        </w:rPr>
        <w:t xml:space="preserve"> </w:t>
      </w:r>
      <w:r>
        <w:rPr>
          <w:rFonts w:ascii="SimSun" w:eastAsia="SimSun" w:hAnsi="SimSun" w:cs="SimSun"/>
          <w:color w:val="595959"/>
          <w:spacing w:val="-2"/>
          <w:sz w:val="22"/>
          <w:szCs w:val="22"/>
        </w:rPr>
        <w:t>2022年</w:t>
      </w:r>
      <w:r>
        <w:rPr>
          <w:rFonts w:ascii="SimSun" w:eastAsia="SimSun" w:hAnsi="SimSun" w:cs="SimSun"/>
          <w:color w:val="595959"/>
          <w:spacing w:val="91"/>
          <w:sz w:val="22"/>
          <w:szCs w:val="22"/>
        </w:rPr>
        <w:t xml:space="preserve"> </w:t>
      </w:r>
      <w:r>
        <w:rPr>
          <w:position w:val="3"/>
          <w:sz w:val="22"/>
          <w:szCs w:val="22"/>
        </w:rPr>
        <w:drawing>
          <wp:inline distT="0" distB="0" distL="0" distR="0">
            <wp:extent cx="62483" cy="62483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595959"/>
          <w:spacing w:val="-55"/>
          <w:sz w:val="22"/>
          <w:szCs w:val="22"/>
        </w:rPr>
        <w:t xml:space="preserve"> </w:t>
      </w:r>
      <w:r>
        <w:rPr>
          <w:rFonts w:ascii="SimSun" w:eastAsia="SimSun" w:hAnsi="SimSun" w:cs="SimSun"/>
          <w:color w:val="595959"/>
          <w:spacing w:val="-2"/>
          <w:sz w:val="22"/>
          <w:szCs w:val="22"/>
        </w:rPr>
        <w:t>2023年</w:t>
      </w:r>
      <w:r>
        <w:rPr>
          <w:rFonts w:ascii="SimSun" w:eastAsia="SimSun" w:hAnsi="SimSun" w:cs="SimSun"/>
          <w:color w:val="595959"/>
          <w:spacing w:val="88"/>
          <w:sz w:val="22"/>
          <w:szCs w:val="22"/>
        </w:rPr>
        <w:t xml:space="preserve"> </w:t>
      </w:r>
      <w:r>
        <w:rPr>
          <w:position w:val="3"/>
          <w:sz w:val="22"/>
          <w:szCs w:val="22"/>
        </w:rPr>
        <w:drawing>
          <wp:inline distT="0" distB="0" distL="0" distR="0">
            <wp:extent cx="64007" cy="62483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64007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595959"/>
          <w:spacing w:val="-55"/>
          <w:sz w:val="22"/>
          <w:szCs w:val="22"/>
        </w:rPr>
        <w:t xml:space="preserve"> </w:t>
      </w:r>
      <w:r>
        <w:rPr>
          <w:rFonts w:ascii="SimSun" w:eastAsia="SimSun" w:hAnsi="SimSun" w:cs="SimSun"/>
          <w:color w:val="595959"/>
          <w:spacing w:val="-2"/>
          <w:sz w:val="22"/>
          <w:szCs w:val="22"/>
        </w:rPr>
        <w:t>2024年</w:t>
      </w:r>
    </w:p>
    <w:p>
      <w:pPr>
        <w:pStyle w:val="BodyText"/>
        <w:spacing w:line="357" w:lineRule="auto"/>
      </w:pPr>
    </w:p>
    <w:p>
      <w:pPr>
        <w:spacing w:before="95" w:line="178" w:lineRule="auto"/>
        <w:ind w:left="14137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1"/>
          <w:sz w:val="22"/>
          <w:szCs w:val="22"/>
          <w14:textOutline w14:w="4005">
            <w14:solidFill>
              <w14:srgbClr w14:val="000000"/>
            </w14:solidFill>
            <w14:prstDash w14:val="solid"/>
            <w14:miter w14:lim="10"/>
          </w14:textOutline>
        </w:rPr>
        <w:t>数据来源：</w:t>
      </w:r>
      <w:r>
        <w:rPr>
          <w:rFonts w:ascii="Microsoft YaHei" w:eastAsia="Microsoft YaHei" w:hAnsi="Microsoft YaHei" w:cs="Microsoft YaHei"/>
          <w:spacing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z w:val="22"/>
          <w:szCs w:val="22"/>
          <w14:textOutline w14:w="4005">
            <w14:solidFill>
              <w14:srgbClr w14:val="000000"/>
            </w14:solidFill>
            <w14:prstDash w14:val="solid"/>
            <w14:miter w14:lim="10"/>
          </w14:textOutline>
        </w:rPr>
        <w:t>CRIC</w:t>
      </w:r>
      <w:r>
        <w:rPr>
          <w:rFonts w:ascii="Microsoft YaHei" w:eastAsia="Microsoft YaHei" w:hAnsi="Microsoft YaHei" w:cs="Microsoft YaHei"/>
          <w:spacing w:val="1"/>
          <w:sz w:val="22"/>
          <w:szCs w:val="22"/>
          <w14:textOutline w14:w="4005">
            <w14:solidFill>
              <w14:srgbClr w14:val="000000"/>
            </w14:solidFill>
            <w14:prstDash w14:val="solid"/>
            <w14:miter w14:lim="10"/>
          </w14:textOutline>
        </w:rPr>
        <w:t>中国房地产决策咨询系统</w:t>
      </w:r>
    </w:p>
    <w:p>
      <w:pPr>
        <w:spacing w:line="178" w:lineRule="auto"/>
        <w:rPr>
          <w:rFonts w:ascii="Microsoft YaHei" w:eastAsia="Microsoft YaHei" w:hAnsi="Microsoft YaHei" w:cs="Microsoft YaHei"/>
          <w:sz w:val="22"/>
          <w:szCs w:val="22"/>
        </w:rPr>
        <w:sectPr>
          <w:footerReference w:type="default" r:id="rId56"/>
          <w:type w:val="nextPage"/>
          <w:pgSz w:w="19200" w:h="10800"/>
          <w:pgMar w:top="360" w:right="643" w:bottom="400" w:left="0" w:header="0" w:footer="0" w:gutter="0"/>
          <w:pgNumType w:start="13"/>
          <w:cols w:space="708"/>
          <w:titlePg w:val="0"/>
        </w:sectPr>
      </w:pPr>
    </w:p>
    <w:p>
      <w:pPr>
        <w:spacing w:line="482" w:lineRule="exact"/>
        <w:ind w:firstLine="16828"/>
      </w:pPr>
      <w:r>
        <w:pict>
          <v:rect id="_x0000_s1072" style="width:4.95pt;height:122.1pt;margin-top:233.39pt;margin-left:863.4pt;mso-position-horizontal-relative:page;mso-position-vertical-relative:page;position:absolute;z-index:251698176" o:allowincell="f" filled="t" fillcolor="#a6a6a6" stroked="f"/>
        </w:pict>
      </w:r>
      <w:r>
        <w:drawing>
          <wp:anchor distT="0" distB="0" distL="0" distR="0" simplePos="0" relativeHeight="251697152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485394</wp:posOffset>
            </wp:positionV>
            <wp:extent cx="653795" cy="422910"/>
            <wp:effectExtent l="0" t="0" r="0" b="0"/>
            <wp:wrapNone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53795" cy="422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drawing>
          <wp:inline distT="0" distB="0" distL="0" distR="0">
            <wp:extent cx="1097280" cy="306324"/>
            <wp:effectExtent l="0" t="0" r="0" b="0"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097280" cy="306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0" w:line="194" w:lineRule="auto"/>
        <w:ind w:left="1331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color w:val="10316B"/>
          <w:spacing w:val="-1"/>
          <w:sz w:val="48"/>
          <w:szCs w:val="48"/>
        </w:rPr>
        <w:t>2月百城新房成交同比锐减71%，较前两年春节月降幅亦超5成，累计跌50%</w:t>
      </w:r>
    </w:p>
    <w:p>
      <w:pPr>
        <w:spacing w:before="326" w:line="190" w:lineRule="auto"/>
        <w:ind w:left="6637"/>
        <w:rPr>
          <w:rFonts w:ascii="Microsoft YaHei" w:eastAsia="Microsoft YaHei" w:hAnsi="Microsoft YaHei" w:cs="Microsoft YaHei"/>
          <w:sz w:val="22"/>
          <w:szCs w:val="22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column">
              <wp:posOffset>4605966</wp:posOffset>
            </wp:positionH>
            <wp:positionV relativeFrom="paragraph">
              <wp:posOffset>335420</wp:posOffset>
            </wp:positionV>
            <wp:extent cx="3603403" cy="24113"/>
            <wp:effectExtent l="0" t="0" r="0" b="0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603403" cy="2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E25822"/>
          <w:spacing w:val="1"/>
          <w:sz w:val="22"/>
          <w:szCs w:val="22"/>
        </w:rPr>
        <w:t>2021年以来全国115城商品住宅月度成交面积</w:t>
      </w:r>
      <w:r>
        <w:rPr>
          <w:rFonts w:ascii="Microsoft YaHei" w:eastAsia="Microsoft YaHei" w:hAnsi="Microsoft YaHei" w:cs="Microsoft YaHei"/>
          <w:color w:val="E25822"/>
          <w:sz w:val="22"/>
          <w:szCs w:val="22"/>
        </w:rPr>
        <w:t>（单位：万平方米）</w:t>
      </w:r>
    </w:p>
    <w:p>
      <w:pPr>
        <w:spacing w:before="80"/>
      </w:pPr>
    </w:p>
    <w:p>
      <w:pPr>
        <w:sectPr>
          <w:footerReference w:type="default" r:id="rId58"/>
          <w:pgSz w:w="19200" w:h="10800"/>
          <w:pgMar w:top="360" w:right="643" w:bottom="400" w:left="0" w:header="0" w:footer="0" w:gutter="0"/>
          <w:pgNumType w:start="14"/>
          <w:cols w:num="1" w:space="708" w:equalWidth="0">
            <w:col w:w="18557" w:space="0"/>
          </w:cols>
        </w:sectPr>
      </w:pPr>
    </w:p>
    <w:p>
      <w:pPr>
        <w:spacing w:before="34" w:line="172" w:lineRule="auto"/>
        <w:ind w:left="130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595959"/>
          <w:spacing w:val="-3"/>
          <w:sz w:val="22"/>
          <w:szCs w:val="22"/>
        </w:rPr>
        <w:t>6000</w:t>
      </w:r>
    </w:p>
    <w:p>
      <w:pPr>
        <w:pStyle w:val="BodyText"/>
        <w:spacing w:line="454" w:lineRule="auto"/>
      </w:pPr>
    </w:p>
    <w:p>
      <w:pPr>
        <w:spacing w:before="95" w:line="172" w:lineRule="auto"/>
        <w:ind w:left="1311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595959"/>
          <w:spacing w:val="-5"/>
          <w:sz w:val="22"/>
          <w:szCs w:val="22"/>
        </w:rPr>
        <w:t>5000</w:t>
      </w:r>
    </w:p>
    <w:p>
      <w:pPr>
        <w:pStyle w:val="BodyText"/>
        <w:spacing w:line="454" w:lineRule="auto"/>
      </w:pPr>
    </w:p>
    <w:p>
      <w:pPr>
        <w:spacing w:before="95" w:line="172" w:lineRule="auto"/>
        <w:ind w:left="1294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595959"/>
          <w:spacing w:val="-1"/>
          <w:sz w:val="22"/>
          <w:szCs w:val="22"/>
        </w:rPr>
        <w:t>4000</w:t>
      </w:r>
    </w:p>
    <w:p>
      <w:pPr>
        <w:pStyle w:val="BodyText"/>
        <w:spacing w:line="454" w:lineRule="auto"/>
      </w:pPr>
    </w:p>
    <w:p>
      <w:pPr>
        <w:spacing w:before="94" w:line="172" w:lineRule="auto"/>
        <w:ind w:left="1308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595959"/>
          <w:spacing w:val="-4"/>
          <w:sz w:val="22"/>
          <w:szCs w:val="22"/>
        </w:rPr>
        <w:t>3000</w:t>
      </w:r>
    </w:p>
    <w:p>
      <w:pPr>
        <w:pStyle w:val="BodyText"/>
        <w:spacing w:line="454" w:lineRule="auto"/>
      </w:pPr>
    </w:p>
    <w:p>
      <w:pPr>
        <w:spacing w:before="95" w:line="172" w:lineRule="auto"/>
        <w:ind w:left="1304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595959"/>
          <w:spacing w:val="-3"/>
          <w:sz w:val="22"/>
          <w:szCs w:val="22"/>
        </w:rPr>
        <w:t>2000</w:t>
      </w:r>
    </w:p>
    <w:p>
      <w:pPr>
        <w:pStyle w:val="BodyText"/>
        <w:spacing w:line="452" w:lineRule="auto"/>
      </w:pPr>
    </w:p>
    <w:p>
      <w:pPr>
        <w:spacing w:before="96" w:line="173" w:lineRule="auto"/>
        <w:ind w:left="1312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595959"/>
          <w:spacing w:val="-5"/>
          <w:sz w:val="22"/>
          <w:szCs w:val="22"/>
        </w:rPr>
        <w:t>1000</w:t>
      </w:r>
    </w:p>
    <w:p>
      <w:pPr>
        <w:pStyle w:val="BodyText"/>
        <w:spacing w:line="454" w:lineRule="auto"/>
      </w:pPr>
    </w:p>
    <w:p>
      <w:pPr>
        <w:spacing w:before="95" w:line="172" w:lineRule="auto"/>
        <w:ind w:left="1689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595959"/>
          <w:sz w:val="22"/>
          <w:szCs w:val="22"/>
        </w:rPr>
        <w:t>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94" w:line="173" w:lineRule="auto"/>
        <w:jc w:val="right"/>
        <w:rPr>
          <w:rFonts w:ascii="Microsoft YaHei" w:eastAsia="Microsoft YaHei" w:hAnsi="Microsoft YaHei" w:cs="Microsoft YaHei"/>
          <w:sz w:val="22"/>
          <w:szCs w:val="22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column">
              <wp:posOffset>92964</wp:posOffset>
            </wp:positionH>
            <wp:positionV relativeFrom="paragraph">
              <wp:posOffset>-1025107</wp:posOffset>
            </wp:positionV>
            <wp:extent cx="9631680" cy="3133343"/>
            <wp:effectExtent l="0" t="0" r="0" b="0"/>
            <wp:wrapNone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9631680" cy="3133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404040"/>
          <w:spacing w:val="-4"/>
          <w:sz w:val="22"/>
          <w:szCs w:val="22"/>
        </w:rPr>
        <w:t>-71%</w:t>
      </w:r>
    </w:p>
    <w:p>
      <w:pPr>
        <w:pStyle w:val="BodyText"/>
        <w:spacing w:line="274" w:lineRule="auto"/>
      </w:pPr>
    </w:p>
    <w:p>
      <w:pPr>
        <w:pStyle w:val="BodyText"/>
        <w:spacing w:line="275" w:lineRule="auto"/>
      </w:pPr>
    </w:p>
    <w:p>
      <w:pPr>
        <w:spacing w:before="94" w:line="172" w:lineRule="auto"/>
        <w:ind w:left="14579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404040"/>
          <w:spacing w:val="-4"/>
          <w:sz w:val="22"/>
          <w:szCs w:val="22"/>
        </w:rPr>
        <w:t>-44%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1" w:line="86" w:lineRule="exact"/>
      </w:pPr>
      <w:r>
        <w:rPr>
          <w:position w:val="-1"/>
        </w:rPr>
        <w:pict>
          <v:shape id="_x0000_i1073" style="width:773.2pt;height:4.35pt;mso-position-horizontal-relative:char;mso-position-vertical-relative:line" coordorigin="0,0" coordsize="15464,86" path="m7,7l15456,7m7,7l7,86m415,7l415,86m820,7l820,86m1226,7l1226,86m1634,7l1634,86m2040,7l2040,86m2448,7l2448,86m2853,7l2853,86m3259,7l3259,86m3667,7l3667,86m4072,7l4072,86m4478,7l4478,86m4886,7l4886,86m5292,7l5292,86m5700,7l5700,86m6105,7l6105,86m6511,7l6511,86m6919,7l6919,86m7324,7l7324,86m7730,7l7730,86m8138,7l8138,86m8543,7l8543,86m8952,7l8952,86m9357,7l9357,86m9763,7l9763,86m10171,7l10171,86m10576,7l10576,86m10982,7l10982,86m11390,7l11390,86m11796,7l11796,86m12204,7l12204,86m12609,7l12609,86m13015,7l13015,86m13423,7l13423,86m13828,7l13828,86m14234,7l14234,86m14642,7l14642,86m15048,7l15048,86m15456,7l15456,86e" filled="f" strokecolor="#d9d9d9" strokeweight="0.72pt">
            <w10:wrap type="none"/>
          </v:shape>
        </w:pict>
      </w:r>
    </w:p>
    <w:p>
      <w:pPr>
        <w:spacing w:line="77" w:lineRule="exact"/>
      </w:pPr>
    </w:p>
    <w:tbl>
      <w:tblPr>
        <w:tblStyle w:val="TableNormal6"/>
        <w:tblW w:w="15277" w:type="dxa"/>
        <w:tblInd w:w="11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21"/>
        <w:gridCol w:w="406"/>
        <w:gridCol w:w="406"/>
        <w:gridCol w:w="407"/>
        <w:gridCol w:w="407"/>
        <w:gridCol w:w="407"/>
        <w:gridCol w:w="406"/>
        <w:gridCol w:w="406"/>
        <w:gridCol w:w="407"/>
        <w:gridCol w:w="407"/>
        <w:gridCol w:w="407"/>
        <w:gridCol w:w="406"/>
        <w:gridCol w:w="406"/>
        <w:gridCol w:w="407"/>
        <w:gridCol w:w="407"/>
        <w:gridCol w:w="407"/>
        <w:gridCol w:w="406"/>
        <w:gridCol w:w="406"/>
        <w:gridCol w:w="407"/>
        <w:gridCol w:w="407"/>
        <w:gridCol w:w="407"/>
        <w:gridCol w:w="406"/>
        <w:gridCol w:w="406"/>
        <w:gridCol w:w="407"/>
        <w:gridCol w:w="406"/>
        <w:gridCol w:w="407"/>
        <w:gridCol w:w="406"/>
        <w:gridCol w:w="406"/>
        <w:gridCol w:w="407"/>
        <w:gridCol w:w="407"/>
        <w:gridCol w:w="407"/>
        <w:gridCol w:w="406"/>
        <w:gridCol w:w="406"/>
        <w:gridCol w:w="407"/>
        <w:gridCol w:w="407"/>
        <w:gridCol w:w="406"/>
        <w:gridCol w:w="406"/>
        <w:gridCol w:w="321"/>
      </w:tblGrid>
      <w:tr>
        <w:tblPrEx>
          <w:tblW w:w="15277" w:type="dxa"/>
          <w:tblInd w:w="11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207"/>
        </w:trPr>
        <w:tc>
          <w:tcPr>
            <w:tcW w:w="321" w:type="dxa"/>
            <w:textDirection w:val="btLr"/>
            <w:vAlign w:val="top"/>
          </w:tcPr>
          <w:p>
            <w:pPr>
              <w:pStyle w:val="TableText"/>
              <w:spacing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2021年1月</w:t>
            </w:r>
          </w:p>
        </w:tc>
        <w:tc>
          <w:tcPr>
            <w:tcW w:w="406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2021年2月</w:t>
            </w:r>
          </w:p>
        </w:tc>
        <w:tc>
          <w:tcPr>
            <w:tcW w:w="406" w:type="dxa"/>
            <w:textDirection w:val="btLr"/>
            <w:vAlign w:val="top"/>
          </w:tcPr>
          <w:p>
            <w:pPr>
              <w:pStyle w:val="TableText"/>
              <w:spacing w:before="85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2021年3月</w:t>
            </w:r>
          </w:p>
        </w:tc>
        <w:tc>
          <w:tcPr>
            <w:tcW w:w="407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2021年4月</w:t>
            </w:r>
          </w:p>
        </w:tc>
        <w:tc>
          <w:tcPr>
            <w:tcW w:w="407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2021年5月</w:t>
            </w:r>
          </w:p>
        </w:tc>
        <w:tc>
          <w:tcPr>
            <w:tcW w:w="407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2021年6月</w:t>
            </w:r>
          </w:p>
        </w:tc>
        <w:tc>
          <w:tcPr>
            <w:tcW w:w="406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2021年7月</w:t>
            </w:r>
          </w:p>
        </w:tc>
        <w:tc>
          <w:tcPr>
            <w:tcW w:w="406" w:type="dxa"/>
            <w:textDirection w:val="btLr"/>
            <w:vAlign w:val="top"/>
          </w:tcPr>
          <w:p>
            <w:pPr>
              <w:pStyle w:val="TableText"/>
              <w:spacing w:before="85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2021年8月</w:t>
            </w:r>
          </w:p>
        </w:tc>
        <w:tc>
          <w:tcPr>
            <w:tcW w:w="407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2021年9月</w:t>
            </w:r>
          </w:p>
        </w:tc>
        <w:tc>
          <w:tcPr>
            <w:tcW w:w="407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2021年10月</w:t>
            </w:r>
          </w:p>
        </w:tc>
        <w:tc>
          <w:tcPr>
            <w:tcW w:w="407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2021年11月</w:t>
            </w:r>
          </w:p>
        </w:tc>
        <w:tc>
          <w:tcPr>
            <w:tcW w:w="406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2021年12月</w:t>
            </w:r>
          </w:p>
        </w:tc>
        <w:tc>
          <w:tcPr>
            <w:tcW w:w="406" w:type="dxa"/>
            <w:textDirection w:val="btLr"/>
            <w:vAlign w:val="top"/>
          </w:tcPr>
          <w:p>
            <w:pPr>
              <w:pStyle w:val="TableText"/>
              <w:spacing w:before="85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2022年1月</w:t>
            </w:r>
          </w:p>
        </w:tc>
        <w:tc>
          <w:tcPr>
            <w:tcW w:w="407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2022年2月</w:t>
            </w:r>
          </w:p>
        </w:tc>
        <w:tc>
          <w:tcPr>
            <w:tcW w:w="407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2022年3月</w:t>
            </w:r>
          </w:p>
        </w:tc>
        <w:tc>
          <w:tcPr>
            <w:tcW w:w="407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2022年4月</w:t>
            </w:r>
          </w:p>
        </w:tc>
        <w:tc>
          <w:tcPr>
            <w:tcW w:w="406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2022年5月</w:t>
            </w:r>
          </w:p>
        </w:tc>
        <w:tc>
          <w:tcPr>
            <w:tcW w:w="406" w:type="dxa"/>
            <w:textDirection w:val="btLr"/>
            <w:vAlign w:val="top"/>
          </w:tcPr>
          <w:p>
            <w:pPr>
              <w:pStyle w:val="TableText"/>
              <w:spacing w:before="85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2022年6月</w:t>
            </w:r>
          </w:p>
        </w:tc>
        <w:tc>
          <w:tcPr>
            <w:tcW w:w="407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2022年7月</w:t>
            </w:r>
          </w:p>
        </w:tc>
        <w:tc>
          <w:tcPr>
            <w:tcW w:w="407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2022年8月</w:t>
            </w:r>
          </w:p>
        </w:tc>
        <w:tc>
          <w:tcPr>
            <w:tcW w:w="407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2022年9月</w:t>
            </w:r>
          </w:p>
        </w:tc>
        <w:tc>
          <w:tcPr>
            <w:tcW w:w="406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2022年10月</w:t>
            </w:r>
          </w:p>
        </w:tc>
        <w:tc>
          <w:tcPr>
            <w:tcW w:w="406" w:type="dxa"/>
            <w:textDirection w:val="btLr"/>
            <w:vAlign w:val="top"/>
          </w:tcPr>
          <w:p>
            <w:pPr>
              <w:pStyle w:val="TableText"/>
              <w:spacing w:before="85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2022年11月</w:t>
            </w:r>
          </w:p>
        </w:tc>
        <w:tc>
          <w:tcPr>
            <w:tcW w:w="407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2022年12月</w:t>
            </w:r>
          </w:p>
        </w:tc>
        <w:tc>
          <w:tcPr>
            <w:tcW w:w="406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2023年1月</w:t>
            </w:r>
          </w:p>
        </w:tc>
        <w:tc>
          <w:tcPr>
            <w:tcW w:w="407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2023年2月</w:t>
            </w:r>
          </w:p>
        </w:tc>
        <w:tc>
          <w:tcPr>
            <w:tcW w:w="406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2023年3月</w:t>
            </w:r>
          </w:p>
        </w:tc>
        <w:tc>
          <w:tcPr>
            <w:tcW w:w="406" w:type="dxa"/>
            <w:textDirection w:val="btLr"/>
            <w:vAlign w:val="top"/>
          </w:tcPr>
          <w:p>
            <w:pPr>
              <w:pStyle w:val="TableText"/>
              <w:spacing w:before="85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2023年4月</w:t>
            </w:r>
          </w:p>
        </w:tc>
        <w:tc>
          <w:tcPr>
            <w:tcW w:w="407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2023年5月</w:t>
            </w:r>
          </w:p>
        </w:tc>
        <w:tc>
          <w:tcPr>
            <w:tcW w:w="407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2023年6月</w:t>
            </w:r>
          </w:p>
        </w:tc>
        <w:tc>
          <w:tcPr>
            <w:tcW w:w="407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2023年7月</w:t>
            </w:r>
          </w:p>
        </w:tc>
        <w:tc>
          <w:tcPr>
            <w:tcW w:w="406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2023年8月</w:t>
            </w:r>
          </w:p>
        </w:tc>
        <w:tc>
          <w:tcPr>
            <w:tcW w:w="406" w:type="dxa"/>
            <w:textDirection w:val="btLr"/>
            <w:vAlign w:val="top"/>
          </w:tcPr>
          <w:p>
            <w:pPr>
              <w:pStyle w:val="TableText"/>
              <w:spacing w:before="85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2023年9月</w:t>
            </w:r>
          </w:p>
        </w:tc>
        <w:tc>
          <w:tcPr>
            <w:tcW w:w="407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2023年10月</w:t>
            </w:r>
          </w:p>
        </w:tc>
        <w:tc>
          <w:tcPr>
            <w:tcW w:w="407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2023年11月</w:t>
            </w:r>
          </w:p>
        </w:tc>
        <w:tc>
          <w:tcPr>
            <w:tcW w:w="406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2023年12月</w:t>
            </w:r>
          </w:p>
        </w:tc>
        <w:tc>
          <w:tcPr>
            <w:tcW w:w="406" w:type="dxa"/>
            <w:textDirection w:val="btLr"/>
            <w:vAlign w:val="top"/>
          </w:tcPr>
          <w:p>
            <w:pPr>
              <w:pStyle w:val="TableText"/>
              <w:spacing w:before="86" w:line="194" w:lineRule="auto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sz w:val="22"/>
                <w:szCs w:val="22"/>
              </w:rPr>
              <w:t>2024年1月</w:t>
            </w:r>
          </w:p>
        </w:tc>
        <w:tc>
          <w:tcPr>
            <w:tcW w:w="321" w:type="dxa"/>
            <w:textDirection w:val="btLr"/>
            <w:vAlign w:val="top"/>
          </w:tcPr>
          <w:p>
            <w:pPr>
              <w:pStyle w:val="TableText"/>
              <w:spacing w:before="85" w:line="235" w:lineRule="exact"/>
              <w:jc w:val="right"/>
              <w:rPr>
                <w:sz w:val="22"/>
                <w:szCs w:val="22"/>
              </w:rPr>
            </w:pPr>
            <w:r>
              <w:rPr>
                <w:color w:val="595959"/>
                <w:spacing w:val="-1"/>
                <w:position w:val="-1"/>
                <w:sz w:val="22"/>
                <w:szCs w:val="22"/>
              </w:rPr>
              <w:t>2024年2月</w:t>
            </w:r>
          </w:p>
        </w:tc>
      </w:tr>
    </w:tbl>
    <w:p>
      <w:pPr>
        <w:spacing w:before="232" w:line="235" w:lineRule="exact"/>
        <w:ind w:left="4512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595959"/>
          <w:sz w:val="22"/>
          <w:szCs w:val="22"/>
        </w:rPr>
        <w:drawing>
          <wp:inline distT="0" distB="0" distL="0" distR="0">
            <wp:extent cx="320040" cy="82296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20040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595959"/>
          <w:spacing w:val="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1"/>
          <w:sz w:val="22"/>
          <w:szCs w:val="22"/>
        </w:rPr>
        <w:t xml:space="preserve">单月总量    </w:t>
      </w:r>
      <w:r>
        <w:rPr>
          <w:position w:val="4"/>
          <w:sz w:val="22"/>
          <w:szCs w:val="22"/>
        </w:rPr>
        <w:drawing>
          <wp:inline distT="0" distB="0" distL="0" distR="0">
            <wp:extent cx="348996" cy="28955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48996" cy="2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595959"/>
          <w:spacing w:val="-2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1"/>
          <w:sz w:val="22"/>
          <w:szCs w:val="22"/>
        </w:rPr>
        <w:t>环比</w:t>
      </w:r>
      <w:r>
        <w:rPr>
          <w:rFonts w:ascii="Microsoft YaHei" w:eastAsia="Microsoft YaHei" w:hAnsi="Microsoft YaHei" w:cs="Microsoft YaHei"/>
          <w:color w:val="595959"/>
          <w:spacing w:val="6"/>
          <w:sz w:val="22"/>
          <w:szCs w:val="22"/>
        </w:rPr>
        <w:t xml:space="preserve">    </w:t>
      </w:r>
      <w:r>
        <w:rPr>
          <w:rFonts w:ascii="Microsoft YaHei" w:eastAsia="Microsoft YaHei" w:hAnsi="Microsoft YaHei" w:cs="Microsoft YaHei"/>
          <w:strike/>
          <w:color w:val="595959"/>
          <w:spacing w:val="3"/>
          <w:sz w:val="22"/>
          <w:szCs w:val="22"/>
        </w:rPr>
        <w:t xml:space="preserve">        </w:t>
      </w:r>
      <w:r>
        <w:rPr>
          <w:rFonts w:ascii="Microsoft YaHei" w:eastAsia="Microsoft YaHei" w:hAnsi="Microsoft YaHei" w:cs="Microsoft YaHei"/>
          <w:color w:val="595959"/>
          <w:spacing w:val="-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1"/>
          <w:sz w:val="22"/>
          <w:szCs w:val="22"/>
        </w:rPr>
        <w:t>同比</w:t>
      </w:r>
      <w:r>
        <w:rPr>
          <w:rFonts w:ascii="Microsoft YaHei" w:eastAsia="Microsoft YaHei" w:hAnsi="Microsoft YaHei" w:cs="Microsoft YaHei"/>
          <w:color w:val="595959"/>
          <w:spacing w:val="4"/>
          <w:sz w:val="22"/>
          <w:szCs w:val="22"/>
        </w:rPr>
        <w:t xml:space="preserve">    </w:t>
      </w:r>
      <w:r>
        <w:rPr>
          <w:position w:val="4"/>
          <w:sz w:val="22"/>
          <w:szCs w:val="22"/>
        </w:rPr>
        <w:drawing>
          <wp:inline distT="0" distB="0" distL="0" distR="0">
            <wp:extent cx="358139" cy="38100"/>
            <wp:effectExtent l="0" t="0" r="0" b="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58139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595959"/>
          <w:spacing w:val="-2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1"/>
          <w:sz w:val="22"/>
          <w:szCs w:val="22"/>
        </w:rPr>
        <w:t>多项式</w:t>
      </w:r>
      <w:r>
        <w:rPr>
          <w:rFonts w:ascii="Microsoft YaHei" w:eastAsia="Microsoft YaHei" w:hAnsi="Microsoft YaHei" w:cs="Microsoft YaHei"/>
          <w:color w:val="595959"/>
          <w:spacing w:val="1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z w:val="22"/>
          <w:szCs w:val="22"/>
        </w:rPr>
        <w:br/>
      </w:r>
      <w:r>
        <w:rPr>
          <w:rFonts w:ascii="Microsoft YaHei" w:eastAsia="Microsoft YaHei" w:hAnsi="Microsoft YaHei" w:cs="Microsoft YaHei"/>
          <w:sz w:val="22"/>
          <w:szCs w:val="2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https://d.book118.com/997056041201006050</w:t>
        </w:r>
      </w:hyperlink>
    </w:p>
    <w:p>
      <w:pPr>
        <w:spacing w:before="232" w:line="235" w:lineRule="exact"/>
        <w:ind w:left="4512"/>
        <w:rPr>
          <w:rFonts w:ascii="Microsoft YaHei" w:eastAsia="Microsoft YaHei" w:hAnsi="Microsoft YaHei" w:cs="Microsoft YaHei"/>
          <w:sz w:val="22"/>
          <w:szCs w:val="22"/>
        </w:rPr>
      </w:pPr>
    </w:p>
    <w:sectPr>
      <w:footerReference w:type="default" r:id="rId64"/>
      <w:type w:val="continuous"/>
      <w:pgSz w:w="19200" w:h="10800"/>
      <w:pgMar w:top="360" w:right="643" w:bottom="400" w:left="0" w:header="0" w:footer="0" w:gutter="0"/>
      <w:pgNumType w:start="15"/>
      <w:cols w:num="3" w:space="708" w:equalWidth="0">
        <w:col w:w="1924" w:space="100"/>
        <w:col w:w="15616" w:space="74"/>
        <w:col w:w="8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49" style="width:960pt;height:540pt;margin-top:0;margin-left:0;mso-position-horizontal-relative:page;mso-position-vertical-relative:page;position:absolute;z-index:251658240" o:allowincell="f" filled="t" fillcolor="#10316b" stroked="f"/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0" style="width:960pt;height:540pt;margin-top:0;margin-left:0;mso-position-horizontal-relative:page;mso-position-vertical-relative:page;position:absolute;z-index:251659264" o:allowincell="f" filled="t" fillcolor="#10316b" stroked="f"/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960pt;height:540pt;margin-top:0;margin-left:0;mso-position-horizontal-relative:page;mso-position-vertical-relative:page;position:absolute;z-index:251660288" o:allowincell="f" filled="t" fillcolor="#10316b" stroked="f"/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footer" Target="footer4.xml" /><Relationship Id="rId16" Type="http://schemas.openxmlformats.org/officeDocument/2006/relationships/image" Target="media/image9.png" /><Relationship Id="rId17" Type="http://schemas.openxmlformats.org/officeDocument/2006/relationships/footer" Target="footer5.xml" /><Relationship Id="rId18" Type="http://schemas.openxmlformats.org/officeDocument/2006/relationships/footer" Target="footer6.xml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footer" Target="footer7.xml" /><Relationship Id="rId23" Type="http://schemas.openxmlformats.org/officeDocument/2006/relationships/image" Target="media/image13.png" /><Relationship Id="rId24" Type="http://schemas.openxmlformats.org/officeDocument/2006/relationships/image" Target="media/image14.png" /><Relationship Id="rId25" Type="http://schemas.openxmlformats.org/officeDocument/2006/relationships/image" Target="media/image15.png" /><Relationship Id="rId26" Type="http://schemas.openxmlformats.org/officeDocument/2006/relationships/footer" Target="footer8.xml" /><Relationship Id="rId27" Type="http://schemas.openxmlformats.org/officeDocument/2006/relationships/image" Target="media/image16.png" /><Relationship Id="rId28" Type="http://schemas.openxmlformats.org/officeDocument/2006/relationships/footer" Target="footer9.xml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image" Target="media/image18.png" /><Relationship Id="rId32" Type="http://schemas.openxmlformats.org/officeDocument/2006/relationships/footer" Target="footer11.xml" /><Relationship Id="rId33" Type="http://schemas.openxmlformats.org/officeDocument/2006/relationships/image" Target="media/image19.png" /><Relationship Id="rId34" Type="http://schemas.openxmlformats.org/officeDocument/2006/relationships/image" Target="media/image20.png" /><Relationship Id="rId35" Type="http://schemas.openxmlformats.org/officeDocument/2006/relationships/image" Target="media/image21.png" /><Relationship Id="rId36" Type="http://schemas.openxmlformats.org/officeDocument/2006/relationships/image" Target="media/image22.png" /><Relationship Id="rId37" Type="http://schemas.openxmlformats.org/officeDocument/2006/relationships/image" Target="media/image23.png" /><Relationship Id="rId38" Type="http://schemas.openxmlformats.org/officeDocument/2006/relationships/image" Target="media/image24.png" /><Relationship Id="rId39" Type="http://schemas.openxmlformats.org/officeDocument/2006/relationships/image" Target="media/image25.png" /><Relationship Id="rId4" Type="http://schemas.openxmlformats.org/officeDocument/2006/relationships/footer" Target="footer1.xml" /><Relationship Id="rId40" Type="http://schemas.openxmlformats.org/officeDocument/2006/relationships/image" Target="media/image26.png" /><Relationship Id="rId41" Type="http://schemas.openxmlformats.org/officeDocument/2006/relationships/image" Target="media/image27.png" /><Relationship Id="rId42" Type="http://schemas.openxmlformats.org/officeDocument/2006/relationships/image" Target="media/image28.png" /><Relationship Id="rId43" Type="http://schemas.openxmlformats.org/officeDocument/2006/relationships/footer" Target="footer12.xml" /><Relationship Id="rId44" Type="http://schemas.openxmlformats.org/officeDocument/2006/relationships/image" Target="media/image29.png" /><Relationship Id="rId45" Type="http://schemas.openxmlformats.org/officeDocument/2006/relationships/image" Target="media/image30.png" /><Relationship Id="rId46" Type="http://schemas.openxmlformats.org/officeDocument/2006/relationships/image" Target="media/image31.png" /><Relationship Id="rId47" Type="http://schemas.openxmlformats.org/officeDocument/2006/relationships/image" Target="media/image32.png" /><Relationship Id="rId48" Type="http://schemas.openxmlformats.org/officeDocument/2006/relationships/image" Target="media/image33.png" /><Relationship Id="rId49" Type="http://schemas.openxmlformats.org/officeDocument/2006/relationships/image" Target="media/image34.png" /><Relationship Id="rId5" Type="http://schemas.openxmlformats.org/officeDocument/2006/relationships/image" Target="media/image1.png" /><Relationship Id="rId50" Type="http://schemas.openxmlformats.org/officeDocument/2006/relationships/image" Target="media/image35.png" /><Relationship Id="rId51" Type="http://schemas.openxmlformats.org/officeDocument/2006/relationships/image" Target="media/image36.png" /><Relationship Id="rId52" Type="http://schemas.openxmlformats.org/officeDocument/2006/relationships/image" Target="media/image37.png" /><Relationship Id="rId53" Type="http://schemas.openxmlformats.org/officeDocument/2006/relationships/image" Target="media/image38.png" /><Relationship Id="rId54" Type="http://schemas.openxmlformats.org/officeDocument/2006/relationships/image" Target="media/image39.png" /><Relationship Id="rId55" Type="http://schemas.openxmlformats.org/officeDocument/2006/relationships/image" Target="media/image40.png" /><Relationship Id="rId56" Type="http://schemas.openxmlformats.org/officeDocument/2006/relationships/footer" Target="footer13.xml" /><Relationship Id="rId57" Type="http://schemas.openxmlformats.org/officeDocument/2006/relationships/image" Target="media/image41.png" /><Relationship Id="rId58" Type="http://schemas.openxmlformats.org/officeDocument/2006/relationships/footer" Target="footer14.xml" /><Relationship Id="rId59" Type="http://schemas.openxmlformats.org/officeDocument/2006/relationships/image" Target="media/image42.png" /><Relationship Id="rId6" Type="http://schemas.openxmlformats.org/officeDocument/2006/relationships/footer" Target="footer2.xml" /><Relationship Id="rId60" Type="http://schemas.openxmlformats.org/officeDocument/2006/relationships/image" Target="media/image43.jpeg" /><Relationship Id="rId61" Type="http://schemas.openxmlformats.org/officeDocument/2006/relationships/image" Target="media/image44.png" /><Relationship Id="rId62" Type="http://schemas.openxmlformats.org/officeDocument/2006/relationships/image" Target="media/image45.png" /><Relationship Id="rId63" Type="http://schemas.openxmlformats.org/officeDocument/2006/relationships/hyperlink" Target="https://d.book118.com/997056041201006050" TargetMode="External" /><Relationship Id="rId64" Type="http://schemas.openxmlformats.org/officeDocument/2006/relationships/footer" Target="footer15.xml" /><Relationship Id="rId65" Type="http://schemas.openxmlformats.org/officeDocument/2006/relationships/theme" Target="theme/theme1.xml" /><Relationship Id="rId66" Type="http://schemas.openxmlformats.org/officeDocument/2006/relationships/styles" Target="styles.xml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演示文稿</dc:title>
  <dc:creator>OY</dc:creator>
  <cp:revision>0</cp:revision>
  <dcterms:created xsi:type="dcterms:W3CDTF">2024-03-09T16:11:19Z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2024-03-09T16:38:22Z</vt:filetime>
  </property>
  <property fmtid="{D5CDD505-2E9C-101B-9397-08002B2CF9AE}" pid="3" name="CRO">
    <vt:lpwstr>wqlLaW5nc29mdCBQREYgdG8gV1BTIDkw</vt:lpwstr>
  </property>
</Properties>
</file>