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spacing w:line="480" w:lineRule="exact"/>
        <w:ind w:firstLine="9520" w:firstLineChars="3400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  <w:r>
        <w:rPr>
          <w:rFonts w:ascii="宋体" w:hAnsi="宋体" w:hint="eastAsia"/>
          <w:b/>
          <w:color w:val="000000"/>
          <w:sz w:val="52"/>
          <w:szCs w:val="52"/>
          <w:lang w:val="en-US" w:eastAsia="zh-CN"/>
        </w:rPr>
        <w:t>施工质量通病专项治理方案</w:t>
      </w: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both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52"/>
          <w:szCs w:val="52"/>
        </w:rPr>
      </w:pPr>
    </w:p>
    <w:p>
      <w:pPr>
        <w:spacing w:line="480" w:lineRule="exact"/>
        <w:ind w:firstLine="9520" w:firstLineChars="3400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ind w:firstLine="9520" w:firstLineChars="3400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28"/>
          <w:szCs w:val="28"/>
        </w:rPr>
      </w:pPr>
    </w:p>
    <w:p>
      <w:pPr>
        <w:spacing w:line="480" w:lineRule="exact"/>
        <w:jc w:val="center"/>
        <w:rPr>
          <w:rFonts w:ascii="宋体" w:hAnsi="宋体" w:hint="eastAsia"/>
          <w:b/>
          <w:color w:val="000000"/>
          <w:sz w:val="28"/>
          <w:szCs w:val="28"/>
        </w:rPr>
        <w:sectPr>
          <w:pgSz w:w="11906" w:h="16838"/>
          <w:pgMar w:top="1440" w:right="1800" w:bottom="1440" w:left="1800" w:header="851" w:footer="992" w:gutter="0"/>
          <w:pgNumType w:fmt="decimal"/>
          <w:cols w:space="708"/>
          <w:titlePg w:val="0"/>
          <w:docGrid w:type="lines" w:linePitch="312"/>
        </w:sectPr>
      </w:pPr>
    </w:p>
    <w:p>
      <w:pPr>
        <w:spacing w:line="480" w:lineRule="exact"/>
        <w:jc w:val="center"/>
        <w:rPr>
          <w:color w:val="000000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8"/>
          <w:lang w:val="en-US" w:eastAsia="zh-CN"/>
        </w:rPr>
        <w:t xml:space="preserve">    </w:t>
      </w:r>
      <w:r>
        <w:rPr>
          <w:rFonts w:ascii="宋体" w:eastAsia="宋体" w:hAnsi="宋体" w:cs="宋体"/>
          <w:b/>
          <w:bCs/>
          <w:color w:val="000000"/>
          <w:sz w:val="28"/>
          <w:szCs w:val="21"/>
          <w:lang w:val="zh-CN"/>
        </w:rPr>
        <w:t>目</w:t>
      </w:r>
      <w:r>
        <w:rPr>
          <w:rFonts w:ascii="宋体" w:eastAsia="宋体" w:hAnsi="宋体" w:cs="宋体" w:hint="eastAsia"/>
          <w:b/>
          <w:bCs/>
          <w:color w:val="000000"/>
          <w:sz w:val="28"/>
          <w:szCs w:val="21"/>
          <w:lang w:val="en-US" w:eastAsia="zh-CN"/>
        </w:rPr>
        <w:t xml:space="preserve">   </w:t>
      </w:r>
      <w:r>
        <w:rPr>
          <w:rFonts w:ascii="宋体" w:eastAsia="宋体" w:hAnsi="宋体" w:cs="宋体"/>
          <w:b/>
          <w:bCs/>
          <w:color w:val="000000"/>
          <w:sz w:val="28"/>
          <w:szCs w:val="21"/>
          <w:lang w:val="zh-CN"/>
        </w:rPr>
        <w:t>录</w:t>
      </w:r>
    </w:p>
    <w:p>
      <w:pPr>
        <w:pStyle w:val="TOC2"/>
        <w:tabs>
          <w:tab w:val="right" w:leader="dot" w:pos="9344"/>
        </w:tabs>
        <w:rPr>
          <w:color w:val="000000"/>
          <w:kern w:val="2"/>
          <w:sz w:val="21"/>
        </w:rPr>
      </w:pPr>
      <w:r>
        <w:rPr>
          <w:color w:val="000000"/>
          <w:sz w:val="21"/>
          <w:szCs w:val="21"/>
        </w:rPr>
        <w:fldChar w:fldCharType="begin"/>
      </w:r>
      <w:r>
        <w:rPr>
          <w:rFonts w:ascii="宋体" w:eastAsia="宋体" w:hAnsi="宋体" w:cs="宋体"/>
          <w:color w:val="000000"/>
          <w:sz w:val="28"/>
          <w:szCs w:val="21"/>
        </w:rPr>
        <w:instrText xml:space="preserve"> TOC \o "1-3" \h \z \u </w:instrText>
      </w:r>
      <w:r>
        <w:rPr>
          <w:color w:val="000000"/>
          <w:sz w:val="21"/>
          <w:szCs w:val="21"/>
        </w:rPr>
        <w:fldChar w:fldCharType="separate"/>
      </w:r>
      <w:hyperlink w:anchor="_Toc344134097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一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钢筋砼结构工程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</w:hyperlink>
      <w:r>
        <w:rPr>
          <w:color w:val="000000"/>
          <w:sz w:val="21"/>
          <w:szCs w:val="21"/>
        </w:rPr>
        <w:fldChar w:fldCharType="end"/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098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一、地下室工程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099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、常见地下室开裂渗水部位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0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、开裂、渗水主要缘由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1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、施工限制重点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5</w:t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02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二、楼面砼结构工程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6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3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、常见开裂、渗水部位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6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4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、开裂、渗水主要缘由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6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5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、施工限制重点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6</w:t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06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三、各部位砼结构翻边设置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8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7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、砼翻边设置部位、翻边高度（与建筑设计翻边高度一样）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8</w:t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8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、施工限制要点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9</w:t>
        </w:r>
      </w:hyperlink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09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其次章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砌体与砌体构造工程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1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10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一、砌体构造设置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1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11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、构造柱的设置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1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12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、砼边框的设置要求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1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13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、系梁设置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2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2"/>
          <w:cols w:space="708"/>
          <w:titlePg w:val="0"/>
          <w:docGrid w:type="lines" w:linePitch="312"/>
        </w:sectPr>
      </w:pPr>
      <w:hyperlink w:anchor="_Toc344134114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4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、窗台压顶梁设置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2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15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5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、过梁设置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2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16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6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、拉结筋的设置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2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17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7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、砌体构造设置说明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_Toc344134117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1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  <w:r>
          <w:rPr>
            <w:color w:val="000000"/>
          </w:rPr>
          <w:fldChar w:fldCharType="end"/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18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二、砌体工程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_Toc344134118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1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  <w:r>
          <w:fldChar w:fldCharType="end"/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19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、砌体材料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_Toc344134119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1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  <w:r>
          <w:rPr>
            <w:color w:val="000000"/>
          </w:rPr>
          <w:fldChar w:fldCharType="end"/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0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、填充墙体四周加强处理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_Toc344134120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1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  <w:r>
          <w:rPr>
            <w:color w:val="000000"/>
          </w:rPr>
          <w:fldChar w:fldCharType="end"/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1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、外墙洞口预留与封堵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_Toc344134121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1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  <w:r>
          <w:rPr>
            <w:color w:val="000000"/>
          </w:rPr>
          <w:fldChar w:fldCharType="end"/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2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4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、施工限制要点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_Toc344134122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1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  <w:r>
          <w:rPr>
            <w:color w:val="000000"/>
          </w:rPr>
          <w:fldChar w:fldCharType="end"/>
        </w:r>
      </w:hyperlink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3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三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抹灰工程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5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24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一、内墙抹灰限制要点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5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5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、抹灰前打算工作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_Toc344134125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15</w:t>
        </w:r>
        <w:r>
          <w:rPr>
            <w:color w:val="000000"/>
          </w:rPr>
          <w:fldChar w:fldCharType="end"/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6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、内墙加强网的铺设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_Toc344134126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15</w:t>
        </w:r>
        <w:r>
          <w:rPr>
            <w:color w:val="000000"/>
          </w:rPr>
          <w:fldChar w:fldCharType="end"/>
        </w:r>
      </w:hyperlink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7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、门窗洞口处的收口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8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4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、护角设置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29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5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、内墙批灰面要求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30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二、天棚抹灰限制要点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7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31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三、外墙抹灰限制要点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7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32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、抹灰前打算工作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7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3"/>
          <w:cols w:space="708"/>
          <w:titlePg w:val="0"/>
          <w:docGrid w:type="lines" w:linePitch="312"/>
        </w:sectPr>
      </w:pPr>
      <w:hyperlink w:anchor="_Toc344134133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、外墙基层处理与挂网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7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34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、外墙抹灰要求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7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35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4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、外墙分格缝的设置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8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36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5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、各类外墙装饰线条设置要求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8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37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6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、滴水线（槽）设置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9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38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7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、内外墙抹灰留意事项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9</w:t>
      </w:r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39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四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门窗工程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0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0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、门窗的进场验收限制要点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0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1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、门框安装要求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0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2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、门窗框的塞缝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0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3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4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、门窗外框四周密封胶注胶要求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1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4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5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、外窗下框排水孔设置要求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_Toc344134144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  <w:r>
          <w:fldChar w:fldCharType="end"/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5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6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、门窗淋水试验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_Toc344134145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1</w:t>
        </w:r>
        <w:r>
          <w:fldChar w:fldCharType="end"/>
        </w:r>
      </w:hyperlink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46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五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屋面工程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color w:val="000000"/>
          </w:rP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_Toc344134146 \h </w:instrText>
        </w:r>
        <w:r>
          <w:rPr>
            <w:color w:val="000000"/>
          </w:rP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  <w:r>
          <w:rPr>
            <w:color w:val="000000"/>
          </w:rPr>
          <w:fldChar w:fldCharType="end"/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7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、屋面（平、斜）板砼结构自防水要求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_Toc344134147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  <w:r>
          <w:fldChar w:fldCharType="end"/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8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、防水施工要求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_Toc344134148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  <w:r>
          <w:fldChar w:fldCharType="end"/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49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、屋面保温板与爱护层施工要求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_Toc344134149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  <w:r>
          <w:fldChar w:fldCharType="end"/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50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4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、瓦屋面施工要求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_Toc344134150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  <w:r>
          <w:fldChar w:fldCharType="end"/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51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5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、屋面细部构造要求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fldChar w:fldCharType="begin"/>
        </w:r>
        <w:r>
          <w:rPr>
            <w:rFonts w:ascii="宋体" w:eastAsia="宋体" w:hAnsi="宋体" w:cs="宋体"/>
            <w:color w:val="000000"/>
            <w:sz w:val="28"/>
          </w:rPr>
          <w:instrText xml:space="preserve"> PAGEREF _Toc344134151 \h </w:instrText>
        </w:r>
        <w:r>
          <w:fldChar w:fldCharType="separate"/>
        </w:r>
        <w:r>
          <w:rPr>
            <w:rFonts w:ascii="宋体" w:eastAsia="宋体" w:hAnsi="宋体" w:cs="宋体"/>
            <w:color w:val="000000"/>
            <w:sz w:val="28"/>
          </w:rPr>
          <w:t>2</w:t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4</w:t>
        </w:r>
        <w:r>
          <w:fldChar w:fldCharType="end"/>
        </w:r>
      </w:hyperlink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  <w:sectPr>
          <w:type w:val="nextPage"/>
          <w:pgSz w:w="11906" w:h="16838"/>
          <w:pgMar w:top="1440" w:right="1800" w:bottom="1440" w:left="1800" w:header="851" w:footer="992" w:gutter="0"/>
          <w:pgNumType w:fmt="decimal" w:start="4"/>
          <w:cols w:space="708"/>
          <w:titlePg w:val="0"/>
          <w:docGrid w:type="lines" w:linePitch="312"/>
        </w:sectPr>
      </w:pPr>
      <w:hyperlink w:anchor="_Toc344134152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六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变形缝节点施工要点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5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53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、墙体变形缝处理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5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54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、屋面变形缝处理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5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55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、立面变形缝处理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5</w:t>
      </w:r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56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七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石材安装工程施工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57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一、石材工程防水要点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58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、石材与主体结构间的防水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59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2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、石材与石材间的防水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3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60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3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、石材自身的防水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6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1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二、石材施工限制要点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7</w:t>
      </w:r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62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八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建筑防水工程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8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3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一、项目建筑防水要求以施工图为准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8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4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二、项目常用防水材料主要组成成分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8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5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三、常用防水材料适用范围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8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6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四、常用防水材料真假鉴别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9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7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五、项目施工常见问题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9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8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六、主要防水材料施工要点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2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9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69" w:history="1"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七、建筑防水部分节点大样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0</w:t>
      </w:r>
    </w:p>
    <w:p>
      <w:pPr>
        <w:pStyle w:val="TOC1"/>
        <w:tabs>
          <w:tab w:val="right" w:leader="dot" w:pos="9344"/>
        </w:tabs>
        <w:rPr>
          <w:color w:val="000000"/>
          <w:kern w:val="2"/>
          <w:sz w:val="21"/>
        </w:rPr>
      </w:pPr>
      <w:hyperlink w:anchor="_Toc344134182" w:history="1"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第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  <w:lang w:eastAsia="zh-CN"/>
          </w:rPr>
          <w:t>九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章</w:t>
        </w:r>
        <w:r>
          <w:rPr>
            <w:rStyle w:val="Hyperlink"/>
            <w:rFonts w:ascii="宋体" w:eastAsia="宋体" w:hAnsi="宋体" w:cs="宋体"/>
            <w:b/>
            <w:color w:val="000000"/>
            <w:sz w:val="28"/>
          </w:rPr>
          <w:t xml:space="preserve">    </w:t>
        </w:r>
        <w:r>
          <w:rPr>
            <w:rStyle w:val="Hyperlink"/>
            <w:rFonts w:ascii="宋体" w:eastAsia="宋体" w:hAnsi="宋体" w:cs="宋体" w:hint="eastAsia"/>
            <w:b/>
            <w:color w:val="000000"/>
            <w:sz w:val="28"/>
          </w:rPr>
          <w:t>建筑电气工程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2</w:t>
      </w:r>
    </w:p>
    <w:p>
      <w:pPr>
        <w:pStyle w:val="TOC2"/>
        <w:tabs>
          <w:tab w:val="right" w:leader="dot" w:pos="9344"/>
        </w:tabs>
        <w:rPr>
          <w:kern w:val="2"/>
          <w:sz w:val="21"/>
        </w:rPr>
      </w:pPr>
      <w:hyperlink w:anchor="_Toc344134183" w:history="1">
        <w:r>
          <w:rPr>
            <w:rStyle w:val="Hyperlink"/>
            <w:rFonts w:ascii="宋体" w:eastAsia="宋体" w:hAnsi="宋体" w:cs="宋体"/>
            <w:color w:val="000000"/>
            <w:sz w:val="28"/>
          </w:rPr>
          <w:t>1</w:t>
        </w:r>
        <w:r>
          <w:rPr>
            <w:rStyle w:val="Hyperlink"/>
            <w:rFonts w:ascii="宋体" w:eastAsia="宋体" w:hAnsi="宋体" w:cs="宋体" w:hint="eastAsia"/>
            <w:color w:val="000000"/>
            <w:sz w:val="28"/>
          </w:rPr>
          <w:t>、屋面防水渗漏电气相关措施</w:t>
        </w:r>
        <w:r>
          <w:rPr>
            <w:rFonts w:ascii="宋体" w:eastAsia="宋体" w:hAnsi="宋体" w:cs="宋体"/>
            <w:color w:val="000000"/>
            <w:sz w:val="28"/>
          </w:rPr>
          <w:tab/>
        </w:r>
        <w:r>
          <w:rPr>
            <w:rFonts w:ascii="宋体" w:eastAsia="宋体" w:hAnsi="宋体" w:cs="宋体" w:hint="eastAsia"/>
            <w:color w:val="000000"/>
            <w:sz w:val="28"/>
            <w:lang w:val="en-US" w:eastAsia="zh-CN"/>
          </w:rPr>
          <w:t>3</w:t>
        </w:r>
      </w:hyperlink>
      <w:r>
        <w:rPr>
          <w:rFonts w:ascii="宋体" w:eastAsia="宋体" w:hAnsi="宋体" w:cs="宋体" w:hint="eastAsia"/>
          <w:color w:val="000000"/>
          <w:sz w:val="28"/>
          <w:lang w:val="en-US" w:eastAsia="zh-CN"/>
        </w:rPr>
        <w:t>2</w:t>
      </w:r>
      <w:r>
        <w:rPr>
          <w:kern w:val="2"/>
          <w:sz w:val="21"/>
        </w:rPr>
        <w:br/>
      </w:r>
      <w:r>
        <w:rPr>
          <w:kern w:val="2"/>
          <w:sz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https://d.book118.com/997056121133006050</w:t>
        </w:r>
      </w:hyperlink>
    </w:p>
    <w:p>
      <w:pPr>
        <w:pStyle w:val="TOC2"/>
        <w:tabs>
          <w:tab w:val="right" w:leader="dot" w:pos="9344"/>
        </w:tabs>
        <w:rPr>
          <w:kern w:val="2"/>
          <w:sz w:val="21"/>
        </w:rPr>
      </w:pPr>
    </w:p>
    <w:sectPr>
      <w:type w:val="nextPage"/>
      <w:pgSz w:w="11906" w:h="16838"/>
      <w:pgMar w:top="1440" w:right="1800" w:bottom="1440" w:left="1800" w:header="851" w:footer="992" w:gutter="0"/>
      <w:pgNumType w:fmt="decimal"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微软雅黑">
    <w:altName w:val="黑体"/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SJQY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楷体">
    <w:altName w:val="楷体_GB2312"/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7997"/>
    <w:multiLevelType w:val="multilevel"/>
    <w:tmpl w:val="0752799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E0903B6"/>
    <w:multiLevelType w:val="multilevel"/>
    <w:tmpl w:val="1E0903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55D2207"/>
    <w:multiLevelType w:val="multilevel"/>
    <w:tmpl w:val="255D220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DD50152"/>
    <w:multiLevelType w:val="multilevel"/>
    <w:tmpl w:val="2DD501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84D271F"/>
    <w:multiLevelType w:val="multilevel"/>
    <w:tmpl w:val="384D27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2C2AB9"/>
    <w:multiLevelType w:val="multilevel"/>
    <w:tmpl w:val="3F2C2AB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29A5065"/>
    <w:multiLevelType w:val="multilevel"/>
    <w:tmpl w:val="429A5065"/>
    <w:lvl w:ilvl="0">
      <w:start w:val="3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6487863"/>
    <w:multiLevelType w:val="multilevel"/>
    <w:tmpl w:val="4648786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A4865B5"/>
    <w:multiLevelType w:val="multilevel"/>
    <w:tmpl w:val="4A4865B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B641341"/>
    <w:multiLevelType w:val="multilevel"/>
    <w:tmpl w:val="4B641341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334EAD4"/>
    <w:multiLevelType w:val="singleLevel"/>
    <w:tmpl w:val="5334EAD4"/>
    <w:lvl w:ilvl="0">
      <w:start w:val="4"/>
      <w:numFmt w:val="decimal"/>
      <w:suff w:val="nothing"/>
      <w:lvlText w:val="%1、"/>
      <w:lvlJc w:val="left"/>
    </w:lvl>
  </w:abstractNum>
  <w:abstractNum w:abstractNumId="11">
    <w:nsid w:val="5334EB93"/>
    <w:multiLevelType w:val="singleLevel"/>
    <w:tmpl w:val="5334EB93"/>
    <w:lvl w:ilvl="0">
      <w:start w:val="11"/>
      <w:numFmt w:val="chineseCounting"/>
      <w:suff w:val="space"/>
      <w:lvlText w:val="第%1章"/>
      <w:lvlJc w:val="left"/>
    </w:lvl>
  </w:abstractNum>
  <w:abstractNum w:abstractNumId="12">
    <w:nsid w:val="7FF942DC"/>
    <w:multiLevelType w:val="multilevel"/>
    <w:tmpl w:val="7FF942D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9"/>
  </w:num>
  <w:num w:numId="6">
    <w:abstractNumId w:val="5"/>
  </w:num>
  <w:num w:numId="7">
    <w:abstractNumId w:val="3"/>
  </w:num>
  <w:num w:numId="8">
    <w:abstractNumId w:val="2"/>
  </w:num>
  <w:num w:numId="9">
    <w:abstractNumId w:val="8"/>
  </w:num>
  <w:num w:numId="10">
    <w:abstractNumId w:val="4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after="330" w:afterLines="0" w:line="578" w:lineRule="auto"/>
      <w:jc w:val="center"/>
      <w:outlineLvl w:val="0"/>
    </w:pPr>
    <w:rPr>
      <w:rFonts w:eastAsia="微软雅黑"/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beforeLines="0" w:after="260" w:afterLines="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2">
    <w:name w:val="toc 2"/>
    <w:basedOn w:val="Normal"/>
    <w:next w:val="Normal"/>
    <w:pPr>
      <w:widowControl/>
      <w:tabs>
        <w:tab w:val="right" w:leader="dot" w:pos="9344"/>
      </w:tabs>
      <w:spacing w:after="100" w:afterLines="0"/>
      <w:ind w:left="221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TOC1">
    <w:name w:val="toc 1"/>
    <w:basedOn w:val="Normal"/>
    <w:next w:val="Normal"/>
    <w:pPr>
      <w:widowControl/>
      <w:spacing w:after="100" w:afterLines="0" w:line="276" w:lineRule="auto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3">
    <w:name w:val="toc 3"/>
    <w:basedOn w:val="Normal"/>
    <w:next w:val="Normal"/>
    <w:pPr>
      <w:widowControl/>
      <w:spacing w:after="100" w:afterLines="0" w:line="276" w:lineRule="auto"/>
      <w:ind w:left="440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Title">
    <w:name w:val="Title"/>
    <w:basedOn w:val="Normal"/>
    <w:next w:val="Normal"/>
    <w:qFormat/>
    <w:pPr>
      <w:spacing w:before="240" w:beforeLines="0" w:after="60" w:afterLines="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customStyle="1" w:styleId="2">
    <w:name w:val="标题2"/>
    <w:basedOn w:val="Heading2"/>
    <w:next w:val="Normal"/>
    <w:qFormat/>
    <w:pPr>
      <w:spacing w:line="420" w:lineRule="exact"/>
      <w:jc w:val="left"/>
    </w:pPr>
    <w:rPr>
      <w:rFonts w:ascii="黑体" w:eastAsia="黑体"/>
      <w:sz w:val="28"/>
      <w:szCs w:val="28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480" w:beforeLines="0" w:after="0" w:afterLines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rFonts w:ascii="Calibri" w:eastAsia="宋体" w:hAnsi="Calibri" w:cs="Times New Roman"/>
      <w:szCs w:val="22"/>
    </w:rPr>
  </w:style>
  <w:style w:type="paragraph" w:customStyle="1" w:styleId="3">
    <w:name w:val="标题3"/>
    <w:basedOn w:val="Heading3"/>
    <w:qFormat/>
    <w:pPr>
      <w:spacing w:line="480" w:lineRule="exact"/>
      <w:jc w:val="left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705612113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2012-06-06T01:30:27Z</dcterms:created>
  <dcterms:modified xsi:type="dcterms:W3CDTF">2014-07-31T05:32:17Z</dcterms:modified>
</cp:coreProperties>
</file>