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高精度数字电流表项目招商引资融资方案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3" w:history="1">
        <w:r>
          <w:rPr>
            <w:rFonts w:ascii="仿宋" w:eastAsia="仿宋" w:hAnsi="仿宋" w:cs="仿宋" w:hint="eastAsia"/>
            <w:lang w:eastAsia="zh-CN"/>
          </w:rPr>
          <w:t>一、高精度数字电流表项目概论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(一)、高精度数字电流表项目名称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4" w:history="1">
        <w:r>
          <w:rPr>
            <w:rFonts w:ascii="仿宋" w:eastAsia="仿宋" w:hAnsi="仿宋" w:cs="仿宋" w:hint="eastAsia"/>
            <w:lang w:eastAsia="zh-CN"/>
          </w:rPr>
          <w:t>(二)、高精度数字电流表项目选址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(三)、高精度数字电流表项目用地规模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(四)、高精度数字电流表项目用地控制指标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(九)、高精度数字电流表项目总投资及资本结构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(十一)、高精度数字电流表项目预期经济效益规划目标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(十二)、高精度数字电流表项目进度计划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(十四)、高精度数字电流表项目评价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1" w:history="1">
        <w:r>
          <w:rPr>
            <w:rFonts w:ascii="仿宋" w:eastAsia="仿宋" w:hAnsi="仿宋" w:cs="仿宋" w:hint="eastAsia"/>
            <w:lang w:eastAsia="zh-CN"/>
          </w:rPr>
          <w:t>二、高精度数字电流表项目选址研究</w:t>
        </w:r>
        <w:r>
          <w:tab/>
        </w:r>
        <w:r>
          <w:fldChar w:fldCharType="begin"/>
        </w:r>
        <w:r>
          <w:instrText xml:space="preserve"> PAGEREF _Toc21471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(一)、高精度数字电流表项目选址的指导原则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(二)、高精度数字电流表项目选址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三、高精度数字电流表项目工程设计研究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(二)、高精度数字电流表项目工程建设标准规范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(三)、高精度数字电流表项目总平面设计要求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6" w:history="1">
        <w:r>
          <w:rPr>
            <w:rFonts w:ascii="仿宋" w:eastAsia="仿宋" w:hAnsi="仿宋" w:cs="仿宋" w:hint="eastAsia"/>
            <w:lang w:eastAsia="zh-CN"/>
          </w:rPr>
          <w:t>(三)、高精度数字电流表项目地能源消耗与供应状况</w:t>
        </w:r>
        <w:r>
          <w:tab/>
        </w:r>
        <w:r>
          <w:fldChar w:fldCharType="begin"/>
        </w:r>
        <w:r>
          <w:instrText xml:space="preserve"> PAGEREF _Toc9226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0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(七)、高精度数字电流表项目建设风险及控制手段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2" w:history="1">
        <w:r>
          <w:rPr>
            <w:rFonts w:ascii="仿宋" w:eastAsia="仿宋" w:hAnsi="仿宋" w:cs="仿宋" w:hint="eastAsia"/>
            <w:lang w:eastAsia="zh-CN"/>
          </w:rPr>
          <w:t>六、高精度数字电流表项目投资方案分析</w:t>
        </w:r>
        <w:r>
          <w:tab/>
        </w:r>
        <w:r>
          <w:fldChar w:fldCharType="begin"/>
        </w:r>
        <w:r>
          <w:instrText xml:space="preserve"> PAGEREF _Toc20222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(一)、高精度数字电流表项目估算说明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6" w:history="1">
        <w:r>
          <w:rPr>
            <w:rFonts w:ascii="仿宋" w:eastAsia="仿宋" w:hAnsi="仿宋" w:cs="仿宋" w:hint="eastAsia"/>
            <w:lang w:eastAsia="zh-CN"/>
          </w:rPr>
          <w:t>(二)、高精度数字电流表项目总投资估算</w:t>
        </w:r>
        <w:r>
          <w:tab/>
        </w:r>
        <w:r>
          <w:fldChar w:fldCharType="begin"/>
        </w:r>
        <w:r>
          <w:instrText xml:space="preserve"> PAGEREF _Toc10716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七、高精度数字电流表项目实施进度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9" w:history="1">
        <w:r>
          <w:rPr>
            <w:rFonts w:ascii="仿宋" w:eastAsia="仿宋" w:hAnsi="仿宋" w:cs="仿宋" w:hint="eastAsia"/>
            <w:lang w:eastAsia="zh-CN"/>
          </w:rPr>
          <w:t>(六)、高精度数字电流表项目实施保障</w:t>
        </w:r>
        <w:r>
          <w:tab/>
        </w:r>
        <w:r>
          <w:fldChar w:fldCharType="begin"/>
        </w:r>
        <w:r>
          <w:instrText xml:space="preserve"> PAGEREF _Toc14409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8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1" w:history="1">
        <w:r>
          <w:rPr>
            <w:rFonts w:ascii="仿宋" w:eastAsia="仿宋" w:hAnsi="仿宋" w:cs="仿宋" w:hint="eastAsia"/>
            <w:lang w:eastAsia="zh-CN"/>
          </w:rPr>
          <w:t>(三)、高精度数字电流表项目盈利能力分析</w:t>
        </w:r>
        <w:r>
          <w:tab/>
        </w:r>
        <w:r>
          <w:fldChar w:fldCharType="begin"/>
        </w:r>
        <w:r>
          <w:instrText xml:space="preserve"> PAGEREF _Toc17881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eastAsia="zh-CN"/>
          </w:rPr>
          <w:t>九、高精度数字电流表项目管理计划</w:t>
        </w:r>
        <w:r>
          <w:tab/>
        </w:r>
        <w:r>
          <w:fldChar w:fldCharType="begin"/>
        </w:r>
        <w:r>
          <w:instrText xml:space="preserve"> PAGEREF _Toc3627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(一)、高精度数字电流表项目管理概述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(二)、高精度数字电流表项目组织结构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(三)、高精度数字电流表项目计划与进度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(四)、高精度数字电流表项目质量管理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(五)、高精度数字电流表项目风险管理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(六)、高精度数字电流表项目成本管理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(七)、高精度数字电流表项目人力资源管理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(八)、高精度数字电流表项目沟通与合作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十、高精度数字电流表项目招投标方案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(四)、高精度数字电流表项目招投标要求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2" w:history="1">
        <w:r>
          <w:rPr>
            <w:rFonts w:ascii="仿宋" w:eastAsia="仿宋" w:hAnsi="仿宋" w:cs="仿宋" w:hint="eastAsia"/>
            <w:lang w:eastAsia="zh-CN"/>
          </w:rPr>
          <w:t>(五)、高精度数字电流表项目招标方式和招标程序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高精度数字电流表项目的招商引资。项目高精度数字电流表是一项具有巨大市场潜力的创业项目，专注于某一特定行业的技术创新和发展。本文档将详细展示项目高精度数字电流表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43"/>
      <w:r>
        <w:rPr>
          <w:rFonts w:ascii="仿宋" w:eastAsia="仿宋" w:hAnsi="仿宋" w:cs="仿宋" w:hint="eastAsia"/>
          <w:sz w:val="28"/>
          <w:lang w:eastAsia="zh-CN"/>
        </w:rPr>
        <w:t>一、高精度数字电流表项目概论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1"/>
      <w:r>
        <w:rPr>
          <w:rFonts w:ascii="仿宋" w:eastAsia="仿宋" w:hAnsi="仿宋" w:cs="仿宋" w:hint="eastAsia"/>
          <w:lang w:eastAsia="zh-CN"/>
        </w:rPr>
        <w:t>(一)、高精度数字电流表项目名称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XXX高精度数字电流表项目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904"/>
      <w:r>
        <w:rPr>
          <w:rFonts w:ascii="仿宋" w:eastAsia="仿宋" w:hAnsi="仿宋" w:cs="仿宋" w:hint="eastAsia"/>
          <w:sz w:val="28"/>
          <w:lang w:eastAsia="zh-CN"/>
        </w:rPr>
        <w:t>(二)、高精度数字电流表项目选址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189"/>
      <w:r>
        <w:rPr>
          <w:rFonts w:ascii="仿宋" w:eastAsia="仿宋" w:hAnsi="仿宋" w:cs="仿宋" w:hint="eastAsia"/>
          <w:sz w:val="28"/>
          <w:lang w:eastAsia="zh-CN"/>
        </w:rPr>
        <w:t>(三)、高精度数字电流表项目用地规模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高精度数字电流表项目总用地面积xxxx平方米(折合约xxx亩)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732"/>
      <w:r>
        <w:rPr>
          <w:rFonts w:ascii="仿宋" w:eastAsia="仿宋" w:hAnsi="仿宋" w:cs="仿宋" w:hint="eastAsia"/>
          <w:sz w:val="28"/>
          <w:lang w:eastAsia="zh-CN"/>
        </w:rPr>
        <w:t>(四)、高精度数字电流表项目用地控制指标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一、高精度数字电流表项目背景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https://d.book118.com/997100012020006033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高精度数字电流表项目招商引资融资方案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高精度数字电流表项目招商引资融资方案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高精度数字电流表项目招商引资融资方案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高精度数字电流表项目招商引资融资方案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2C6AE4"/>
    <w:rsid w:val="102C6A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100012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2024-01-13T20:19:00Z</dcterms:created>
  <dcterms:modified xsi:type="dcterms:W3CDTF">2024-01-13T20:19:24Z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AB7E8F0DB7334C938F4AA7B9A3F16BDB_11</vt:lpwstr>
  </property>
  <property fmtid="{D5CDD505-2E9C-101B-9397-08002B2CF9AE}" pid="3" name="KSOProductBuildVer">
    <vt:lpwstr>2052-12.1.0.16120</vt:lpwstr>
  </property>
</Properties>
</file>