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砼空心砌块(承重型)合作协议书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30636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_Toc30636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887" w:history="1">
        <w:r>
          <w:rPr>
            <w:rFonts w:ascii="仿宋" w:eastAsia="仿宋" w:hAnsi="仿宋" w:cs="仿宋" w:hint="eastAsia"/>
            <w:lang w:eastAsia="zh-CN"/>
          </w:rPr>
          <w:t>一、后期运营与管理</w:t>
        </w:r>
        <w:r>
          <w:tab/>
        </w:r>
        <w:r>
          <w:fldChar w:fldCharType="begin"/>
        </w:r>
        <w:r>
          <w:instrText xml:space="preserve"> PAGEREF _Toc29887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80" w:history="1">
        <w:r>
          <w:rPr>
            <w:rFonts w:ascii="仿宋" w:eastAsia="仿宋" w:hAnsi="仿宋" w:cs="仿宋" w:hint="eastAsia"/>
            <w:lang w:eastAsia="zh-CN"/>
          </w:rPr>
          <w:t>(一)、砼空心砌块(承重型)项目运营管理机制</w:t>
        </w:r>
        <w:r>
          <w:tab/>
        </w:r>
        <w:r>
          <w:fldChar w:fldCharType="begin"/>
        </w:r>
        <w:r>
          <w:instrText xml:space="preserve"> PAGEREF _Toc28980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12" w:history="1">
        <w:r>
          <w:rPr>
            <w:rFonts w:ascii="仿宋" w:eastAsia="仿宋" w:hAnsi="仿宋" w:cs="仿宋" w:hint="eastAsia"/>
            <w:lang w:eastAsia="zh-CN"/>
          </w:rPr>
          <w:t>(二)、人员培训与知识转移</w:t>
        </w:r>
        <w:r>
          <w:tab/>
        </w:r>
        <w:r>
          <w:fldChar w:fldCharType="begin"/>
        </w:r>
        <w:r>
          <w:instrText xml:space="preserve"> PAGEREF _Toc15412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0" w:history="1">
        <w:r>
          <w:rPr>
            <w:rFonts w:ascii="仿宋" w:eastAsia="仿宋" w:hAnsi="仿宋" w:cs="仿宋" w:hint="eastAsia"/>
            <w:lang w:eastAsia="zh-CN"/>
          </w:rPr>
          <w:t>(三)、设备维护与保养</w:t>
        </w:r>
        <w:r>
          <w:tab/>
        </w:r>
        <w:r>
          <w:fldChar w:fldCharType="begin"/>
        </w:r>
        <w:r>
          <w:instrText xml:space="preserve"> PAGEREF _Toc1990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09" w:history="1">
        <w:r>
          <w:rPr>
            <w:rFonts w:ascii="仿宋" w:eastAsia="仿宋" w:hAnsi="仿宋" w:cs="仿宋" w:hint="eastAsia"/>
            <w:lang w:eastAsia="zh-CN"/>
          </w:rPr>
          <w:t>(四)、定期检查与评估</w:t>
        </w:r>
        <w:r>
          <w:tab/>
        </w:r>
        <w:r>
          <w:fldChar w:fldCharType="begin"/>
        </w:r>
        <w:r>
          <w:instrText xml:space="preserve"> PAGEREF _Toc5709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234" w:history="1">
        <w:r>
          <w:rPr>
            <w:rFonts w:ascii="仿宋" w:eastAsia="仿宋" w:hAnsi="仿宋" w:cs="仿宋" w:hint="eastAsia"/>
            <w:lang w:eastAsia="zh-CN"/>
          </w:rPr>
          <w:t>二、风险应对评估</w:t>
        </w:r>
        <w:r>
          <w:tab/>
        </w:r>
        <w:r>
          <w:fldChar w:fldCharType="begin"/>
        </w:r>
        <w:r>
          <w:instrText xml:space="preserve"> PAGEREF _Toc29234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43" w:history="1">
        <w:r>
          <w:rPr>
            <w:rFonts w:ascii="仿宋" w:eastAsia="仿宋" w:hAnsi="仿宋" w:cs="仿宋" w:hint="eastAsia"/>
            <w:lang w:eastAsia="zh-CN"/>
          </w:rPr>
          <w:t>(一)、政策风险分析</w:t>
        </w:r>
        <w:r>
          <w:tab/>
        </w:r>
        <w:r>
          <w:fldChar w:fldCharType="begin"/>
        </w:r>
        <w:r>
          <w:instrText xml:space="preserve"> PAGEREF _Toc30343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56" w:history="1">
        <w:r>
          <w:rPr>
            <w:rFonts w:ascii="仿宋" w:eastAsia="仿宋" w:hAnsi="仿宋" w:cs="仿宋" w:hint="eastAsia"/>
            <w:lang w:eastAsia="zh-CN"/>
          </w:rPr>
          <w:t>(二)、社会风险分析</w:t>
        </w:r>
        <w:r>
          <w:tab/>
        </w:r>
        <w:r>
          <w:fldChar w:fldCharType="begin"/>
        </w:r>
        <w:r>
          <w:instrText xml:space="preserve"> PAGEREF _Toc22056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49" w:history="1">
        <w:r>
          <w:rPr>
            <w:rFonts w:ascii="仿宋" w:eastAsia="仿宋" w:hAnsi="仿宋" w:cs="仿宋" w:hint="eastAsia"/>
            <w:lang w:eastAsia="zh-CN"/>
          </w:rPr>
          <w:t>(三)、市场风险分析</w:t>
        </w:r>
        <w:r>
          <w:tab/>
        </w:r>
        <w:r>
          <w:fldChar w:fldCharType="begin"/>
        </w:r>
        <w:r>
          <w:instrText xml:space="preserve"> PAGEREF _Toc4949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52" w:history="1">
        <w:r>
          <w:rPr>
            <w:rFonts w:ascii="仿宋" w:eastAsia="仿宋" w:hAnsi="仿宋" w:cs="仿宋" w:hint="eastAsia"/>
            <w:lang w:eastAsia="zh-CN"/>
          </w:rPr>
          <w:t>(四)、资金风险分析</w:t>
        </w:r>
        <w:r>
          <w:tab/>
        </w:r>
        <w:r>
          <w:fldChar w:fldCharType="begin"/>
        </w:r>
        <w:r>
          <w:instrText xml:space="preserve"> PAGEREF _Toc8652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82" w:history="1">
        <w:r>
          <w:rPr>
            <w:rFonts w:ascii="仿宋" w:eastAsia="仿宋" w:hAnsi="仿宋" w:cs="仿宋" w:hint="eastAsia"/>
            <w:lang w:eastAsia="zh-CN"/>
          </w:rPr>
          <w:t>(五)、技术风险分析</w:t>
        </w:r>
        <w:r>
          <w:tab/>
        </w:r>
        <w:r>
          <w:fldChar w:fldCharType="begin"/>
        </w:r>
        <w:r>
          <w:instrText xml:space="preserve"> PAGEREF _Toc21982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64" w:history="1">
        <w:r>
          <w:rPr>
            <w:rFonts w:ascii="仿宋" w:eastAsia="仿宋" w:hAnsi="仿宋" w:cs="仿宋" w:hint="eastAsia"/>
            <w:lang w:eastAsia="zh-CN"/>
          </w:rPr>
          <w:t>(六)、财务风险分析</w:t>
        </w:r>
        <w:r>
          <w:tab/>
        </w:r>
        <w:r>
          <w:fldChar w:fldCharType="begin"/>
        </w:r>
        <w:r>
          <w:instrText xml:space="preserve"> PAGEREF _Toc18164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2" w:history="1">
        <w:r>
          <w:rPr>
            <w:rFonts w:ascii="仿宋" w:eastAsia="仿宋" w:hAnsi="仿宋" w:cs="仿宋" w:hint="eastAsia"/>
            <w:lang w:eastAsia="zh-CN"/>
          </w:rPr>
          <w:t>(七)、管理风险分析</w:t>
        </w:r>
        <w:r>
          <w:tab/>
        </w:r>
        <w:r>
          <w:fldChar w:fldCharType="begin"/>
        </w:r>
        <w:r>
          <w:instrText xml:space="preserve"> PAGEREF _Toc2242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14" w:history="1">
        <w:r>
          <w:rPr>
            <w:rFonts w:ascii="仿宋" w:eastAsia="仿宋" w:hAnsi="仿宋" w:cs="仿宋" w:hint="eastAsia"/>
            <w:lang w:eastAsia="zh-CN"/>
          </w:rPr>
          <w:t>(八)、其它风险分析</w:t>
        </w:r>
        <w:r>
          <w:tab/>
        </w:r>
        <w:r>
          <w:fldChar w:fldCharType="begin"/>
        </w:r>
        <w:r>
          <w:instrText xml:space="preserve"> PAGEREF _Toc3414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936" w:history="1">
        <w:r>
          <w:rPr>
            <w:rFonts w:ascii="仿宋" w:eastAsia="仿宋" w:hAnsi="仿宋" w:cs="仿宋" w:hint="eastAsia"/>
            <w:lang w:eastAsia="zh-CN"/>
          </w:rPr>
          <w:t>三、工程设计说明</w:t>
        </w:r>
        <w:r>
          <w:tab/>
        </w:r>
        <w:r>
          <w:fldChar w:fldCharType="begin"/>
        </w:r>
        <w:r>
          <w:instrText xml:space="preserve"> PAGEREF _Toc17936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61" w:history="1">
        <w:r>
          <w:rPr>
            <w:rFonts w:ascii="仿宋" w:eastAsia="仿宋" w:hAnsi="仿宋" w:cs="仿宋" w:hint="eastAsia"/>
            <w:lang w:eastAsia="zh-CN"/>
          </w:rPr>
          <w:t>(一)、建筑工程设计原则</w:t>
        </w:r>
        <w:r>
          <w:tab/>
        </w:r>
        <w:r>
          <w:fldChar w:fldCharType="begin"/>
        </w:r>
        <w:r>
          <w:instrText xml:space="preserve"> PAGEREF _Toc6961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59" w:history="1">
        <w:r>
          <w:rPr>
            <w:rFonts w:ascii="仿宋" w:eastAsia="仿宋" w:hAnsi="仿宋" w:cs="仿宋" w:hint="eastAsia"/>
            <w:lang w:eastAsia="zh-CN"/>
          </w:rPr>
          <w:t>(二)、砼空心砌块(承重型)项目工程建设标准规范</w:t>
        </w:r>
        <w:r>
          <w:tab/>
        </w:r>
        <w:r>
          <w:fldChar w:fldCharType="begin"/>
        </w:r>
        <w:r>
          <w:instrText xml:space="preserve"> PAGEREF _Toc26059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53" w:history="1">
        <w:r>
          <w:rPr>
            <w:rFonts w:ascii="仿宋" w:eastAsia="仿宋" w:hAnsi="仿宋" w:cs="仿宋" w:hint="eastAsia"/>
            <w:lang w:eastAsia="zh-CN"/>
          </w:rPr>
          <w:t>(三)、砼空心砌块(承重型)项目总平面设计要求</w:t>
        </w:r>
        <w:r>
          <w:tab/>
        </w:r>
        <w:r>
          <w:fldChar w:fldCharType="begin"/>
        </w:r>
        <w:r>
          <w:instrText xml:space="preserve"> PAGEREF _Toc4153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50" w:history="1">
        <w:r>
          <w:rPr>
            <w:rFonts w:ascii="仿宋" w:eastAsia="仿宋" w:hAnsi="仿宋" w:cs="仿宋" w:hint="eastAsia"/>
            <w:lang w:eastAsia="zh-CN"/>
          </w:rPr>
          <w:t>(四)、建筑设计规范和标准</w:t>
        </w:r>
        <w:r>
          <w:tab/>
        </w:r>
        <w:r>
          <w:fldChar w:fldCharType="begin"/>
        </w:r>
        <w:r>
          <w:instrText xml:space="preserve"> PAGEREF _Toc31150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59" w:history="1">
        <w:r>
          <w:rPr>
            <w:rFonts w:ascii="仿宋" w:eastAsia="仿宋" w:hAnsi="仿宋" w:cs="仿宋" w:hint="eastAsia"/>
            <w:lang w:eastAsia="zh-CN"/>
          </w:rPr>
          <w:t>(五)、土建工程设计年限及安全等级</w:t>
        </w:r>
        <w:r>
          <w:tab/>
        </w:r>
        <w:r>
          <w:fldChar w:fldCharType="begin"/>
        </w:r>
        <w:r>
          <w:instrText xml:space="preserve"> PAGEREF _Toc11459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2" w:history="1">
        <w:r>
          <w:rPr>
            <w:rFonts w:ascii="仿宋" w:eastAsia="仿宋" w:hAnsi="仿宋" w:cs="仿宋" w:hint="eastAsia"/>
            <w:lang w:eastAsia="zh-CN"/>
          </w:rPr>
          <w:t>(六)、建筑工程设计总体要求</w:t>
        </w:r>
        <w:r>
          <w:tab/>
        </w:r>
        <w:r>
          <w:fldChar w:fldCharType="begin"/>
        </w:r>
        <w:r>
          <w:instrText xml:space="preserve"> PAGEREF _Toc2072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981" w:history="1">
        <w:r>
          <w:rPr>
            <w:rFonts w:ascii="仿宋" w:eastAsia="仿宋" w:hAnsi="仿宋" w:cs="仿宋" w:hint="eastAsia"/>
            <w:lang w:eastAsia="zh-CN"/>
          </w:rPr>
          <w:t>四、砼空心砌块(承重型)项目建设地分析</w:t>
        </w:r>
        <w:r>
          <w:tab/>
        </w:r>
        <w:r>
          <w:fldChar w:fldCharType="begin"/>
        </w:r>
        <w:r>
          <w:instrText xml:space="preserve"> PAGEREF _Toc3981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7" w:history="1">
        <w:r>
          <w:rPr>
            <w:rFonts w:ascii="仿宋" w:eastAsia="仿宋" w:hAnsi="仿宋" w:cs="仿宋" w:hint="eastAsia"/>
            <w:lang w:eastAsia="zh-CN"/>
          </w:rPr>
          <w:t>(一)、砼空心砌块(承重型)项目选址原则</w:t>
        </w:r>
        <w:r>
          <w:tab/>
        </w:r>
        <w:r>
          <w:fldChar w:fldCharType="begin"/>
        </w:r>
        <w:r>
          <w:instrText xml:space="preserve"> PAGEREF _Toc1857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82" w:history="1">
        <w:r>
          <w:rPr>
            <w:rFonts w:ascii="仿宋" w:eastAsia="仿宋" w:hAnsi="仿宋" w:cs="仿宋" w:hint="eastAsia"/>
            <w:lang w:eastAsia="zh-CN"/>
          </w:rPr>
          <w:t>(二)、砼空心砌块(承重型)项目选址</w:t>
        </w:r>
        <w:r>
          <w:tab/>
        </w:r>
        <w:r>
          <w:fldChar w:fldCharType="begin"/>
        </w:r>
        <w:r>
          <w:instrText xml:space="preserve"> PAGEREF _Toc9882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82" w:history="1">
        <w:r>
          <w:rPr>
            <w:rFonts w:ascii="仿宋" w:eastAsia="仿宋" w:hAnsi="仿宋" w:cs="仿宋" w:hint="eastAsia"/>
            <w:lang w:eastAsia="zh-CN"/>
          </w:rPr>
          <w:t>(三)、建设条件分析</w:t>
        </w:r>
        <w:r>
          <w:tab/>
        </w:r>
        <w:r>
          <w:fldChar w:fldCharType="begin"/>
        </w:r>
        <w:r>
          <w:instrText xml:space="preserve"> PAGEREF _Toc25382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99" w:history="1">
        <w:r>
          <w:rPr>
            <w:rFonts w:ascii="仿宋" w:eastAsia="仿宋" w:hAnsi="仿宋" w:cs="仿宋" w:hint="eastAsia"/>
            <w:lang w:eastAsia="zh-CN"/>
          </w:rPr>
          <w:t>(四)、用地控制指标</w:t>
        </w:r>
        <w:r>
          <w:tab/>
        </w:r>
        <w:r>
          <w:fldChar w:fldCharType="begin"/>
        </w:r>
        <w:r>
          <w:instrText xml:space="preserve"> PAGEREF _Toc5099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02" w:history="1">
        <w:r>
          <w:rPr>
            <w:rFonts w:ascii="仿宋" w:eastAsia="仿宋" w:hAnsi="仿宋" w:cs="仿宋" w:hint="eastAsia"/>
            <w:lang w:eastAsia="zh-CN"/>
          </w:rPr>
          <w:t>(五)、用地总体要求</w:t>
        </w:r>
        <w:r>
          <w:tab/>
        </w:r>
        <w:r>
          <w:fldChar w:fldCharType="begin"/>
        </w:r>
        <w:r>
          <w:instrText xml:space="preserve"> PAGEREF _Toc27602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69" w:history="1">
        <w:r>
          <w:rPr>
            <w:rFonts w:ascii="仿宋" w:eastAsia="仿宋" w:hAnsi="仿宋" w:cs="仿宋" w:hint="eastAsia"/>
            <w:lang w:eastAsia="zh-CN"/>
          </w:rPr>
          <w:t>(六)、节约用地措施</w:t>
        </w:r>
        <w:r>
          <w:tab/>
        </w:r>
        <w:r>
          <w:fldChar w:fldCharType="begin"/>
        </w:r>
        <w:r>
          <w:instrText xml:space="preserve"> PAGEREF _Toc3369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60" w:history="1">
        <w:r>
          <w:rPr>
            <w:rFonts w:ascii="仿宋" w:eastAsia="仿宋" w:hAnsi="仿宋" w:cs="仿宋" w:hint="eastAsia"/>
            <w:lang w:eastAsia="zh-CN"/>
          </w:rPr>
          <w:t>(七)、总图布置方案</w:t>
        </w:r>
        <w:r>
          <w:tab/>
        </w:r>
        <w:r>
          <w:fldChar w:fldCharType="begin"/>
        </w:r>
        <w:r>
          <w:instrText xml:space="preserve"> PAGEREF _Toc14060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92" w:history="1">
        <w:r>
          <w:rPr>
            <w:rFonts w:ascii="仿宋" w:eastAsia="仿宋" w:hAnsi="仿宋" w:cs="仿宋" w:hint="eastAsia"/>
            <w:lang w:eastAsia="zh-CN"/>
          </w:rPr>
          <w:t>(八)、运输组成</w:t>
        </w:r>
        <w:r>
          <w:tab/>
        </w:r>
        <w:r>
          <w:fldChar w:fldCharType="begin"/>
        </w:r>
        <w:r>
          <w:instrText xml:space="preserve"> PAGEREF _Toc13692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08" w:history="1">
        <w:r>
          <w:rPr>
            <w:rFonts w:ascii="仿宋" w:eastAsia="仿宋" w:hAnsi="仿宋" w:cs="仿宋" w:hint="eastAsia"/>
            <w:lang w:eastAsia="zh-CN"/>
          </w:rPr>
          <w:t>(九)、选址综合评价</w:t>
        </w:r>
        <w:r>
          <w:tab/>
        </w:r>
        <w:r>
          <w:fldChar w:fldCharType="begin"/>
        </w:r>
        <w:r>
          <w:instrText xml:space="preserve"> PAGEREF _Toc5808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034" w:history="1">
        <w:r>
          <w:rPr>
            <w:rFonts w:ascii="仿宋" w:eastAsia="仿宋" w:hAnsi="仿宋" w:cs="仿宋" w:hint="eastAsia"/>
            <w:lang w:eastAsia="zh-CN"/>
          </w:rPr>
          <w:t>五、质量管理与监督</w:t>
        </w:r>
        <w:r>
          <w:tab/>
        </w:r>
        <w:r>
          <w:fldChar w:fldCharType="begin"/>
        </w:r>
        <w:r>
          <w:instrText xml:space="preserve"> PAGEREF _Toc11034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91" w:history="1">
        <w:r>
          <w:rPr>
            <w:rFonts w:ascii="仿宋" w:eastAsia="仿宋" w:hAnsi="仿宋" w:cs="仿宋" w:hint="eastAsia"/>
            <w:lang w:eastAsia="zh-CN"/>
          </w:rPr>
          <w:t>(一)、质量管理原则</w:t>
        </w:r>
        <w:r>
          <w:tab/>
        </w:r>
        <w:r>
          <w:fldChar w:fldCharType="begin"/>
        </w:r>
        <w:r>
          <w:instrText xml:space="preserve"> PAGEREF _Toc6591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70" w:history="1">
        <w:r>
          <w:rPr>
            <w:rFonts w:ascii="仿宋" w:eastAsia="仿宋" w:hAnsi="仿宋" w:cs="仿宋" w:hint="eastAsia"/>
            <w:lang w:eastAsia="zh-CN"/>
          </w:rPr>
          <w:t>(二)、质量控制措施</w:t>
        </w:r>
        <w:r>
          <w:tab/>
        </w:r>
        <w:r>
          <w:fldChar w:fldCharType="begin"/>
        </w:r>
        <w:r>
          <w:instrText xml:space="preserve"> PAGEREF _Toc3670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97" w:history="1">
        <w:r>
          <w:rPr>
            <w:rFonts w:ascii="仿宋" w:eastAsia="仿宋" w:hAnsi="仿宋" w:cs="仿宋" w:hint="eastAsia"/>
            <w:lang w:eastAsia="zh-CN"/>
          </w:rPr>
          <w:t>(三)、监督与评估机制</w:t>
        </w:r>
        <w:r>
          <w:tab/>
        </w:r>
        <w:r>
          <w:fldChar w:fldCharType="begin"/>
        </w:r>
        <w:r>
          <w:instrText xml:space="preserve"> PAGEREF _Toc25197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88" w:history="1">
        <w:r>
          <w:rPr>
            <w:rFonts w:ascii="仿宋" w:eastAsia="仿宋" w:hAnsi="仿宋" w:cs="仿宋" w:hint="eastAsia"/>
            <w:lang w:eastAsia="zh-CN"/>
          </w:rPr>
          <w:t>(四)、持续改进与反馈</w:t>
        </w:r>
        <w:r>
          <w:tab/>
        </w:r>
        <w:r>
          <w:fldChar w:fldCharType="begin"/>
        </w:r>
        <w:r>
          <w:instrText xml:space="preserve"> PAGEREF _Toc13888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899" w:history="1">
        <w:r>
          <w:rPr>
            <w:rFonts w:ascii="仿宋" w:eastAsia="仿宋" w:hAnsi="仿宋" w:cs="仿宋" w:hint="eastAsia"/>
            <w:lang w:eastAsia="zh-CN"/>
          </w:rPr>
          <w:t>六、科技创新与研发</w:t>
        </w:r>
        <w:r>
          <w:tab/>
        </w:r>
        <w:r>
          <w:fldChar w:fldCharType="begin"/>
        </w:r>
        <w:r>
          <w:instrText xml:space="preserve"> PAGEREF _Toc22899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93" w:history="1">
        <w:r>
          <w:rPr>
            <w:rFonts w:ascii="仿宋" w:eastAsia="仿宋" w:hAnsi="仿宋" w:cs="仿宋" w:hint="eastAsia"/>
            <w:lang w:eastAsia="zh-CN"/>
          </w:rPr>
          <w:t>(一)、科技创新战略规划</w:t>
        </w:r>
        <w:r>
          <w:tab/>
        </w:r>
        <w:r>
          <w:fldChar w:fldCharType="begin"/>
        </w:r>
        <w:r>
          <w:instrText xml:space="preserve"> PAGEREF _Toc9993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78" w:history="1">
        <w:r>
          <w:rPr>
            <w:rFonts w:ascii="仿宋" w:eastAsia="仿宋" w:hAnsi="仿宋" w:cs="仿宋" w:hint="eastAsia"/>
            <w:lang w:eastAsia="zh-CN"/>
          </w:rPr>
          <w:t>(二)、研发团队建设</w:t>
        </w:r>
        <w:r>
          <w:tab/>
        </w:r>
        <w:r>
          <w:fldChar w:fldCharType="begin"/>
        </w:r>
        <w:r>
          <w:instrText xml:space="preserve"> PAGEREF _Toc7978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89" w:history="1">
        <w:r>
          <w:rPr>
            <w:rFonts w:ascii="仿宋" w:eastAsia="仿宋" w:hAnsi="仿宋" w:cs="仿宋" w:hint="eastAsia"/>
            <w:lang w:eastAsia="zh-CN"/>
          </w:rPr>
          <w:t>(三)、知识产权保护机制</w:t>
        </w:r>
        <w:r>
          <w:tab/>
        </w:r>
        <w:r>
          <w:fldChar w:fldCharType="begin"/>
        </w:r>
        <w:r>
          <w:instrText xml:space="preserve"> PAGEREF _Toc16589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30659" w:history="1">
        <w:r>
          <w:rPr>
            <w:rFonts w:ascii="仿宋" w:eastAsia="仿宋" w:hAnsi="仿宋" w:cs="仿宋" w:hint="eastAsia"/>
            <w:lang w:eastAsia="zh-CN"/>
          </w:rPr>
          <w:t>(四)、技术引进与应用</w:t>
        </w:r>
        <w:r>
          <w:tab/>
        </w:r>
        <w:r>
          <w:fldChar w:fldCharType="begin"/>
        </w:r>
        <w:r>
          <w:instrText xml:space="preserve"> PAGEREF _Toc30659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468" w:history="1">
        <w:r>
          <w:rPr>
            <w:rFonts w:ascii="仿宋" w:eastAsia="仿宋" w:hAnsi="仿宋" w:cs="仿宋" w:hint="eastAsia"/>
            <w:lang w:eastAsia="zh-CN"/>
          </w:rPr>
          <w:t>七、砼空心砌块(承重型)项目落地与推广</w:t>
        </w:r>
        <w:r>
          <w:tab/>
        </w:r>
        <w:r>
          <w:fldChar w:fldCharType="begin"/>
        </w:r>
        <w:r>
          <w:instrText xml:space="preserve"> PAGEREF _Toc4468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28" w:history="1">
        <w:r>
          <w:rPr>
            <w:rFonts w:ascii="仿宋" w:eastAsia="仿宋" w:hAnsi="仿宋" w:cs="仿宋" w:hint="eastAsia"/>
            <w:lang w:eastAsia="zh-CN"/>
          </w:rPr>
          <w:t>(一)、砼空心砌块(承重型)项目推广计划</w:t>
        </w:r>
        <w:r>
          <w:tab/>
        </w:r>
        <w:r>
          <w:fldChar w:fldCharType="begin"/>
        </w:r>
        <w:r>
          <w:instrText xml:space="preserve"> PAGEREF _Toc4628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41" w:history="1">
        <w:r>
          <w:rPr>
            <w:rFonts w:ascii="仿宋" w:eastAsia="仿宋" w:hAnsi="仿宋" w:cs="仿宋" w:hint="eastAsia"/>
            <w:lang w:eastAsia="zh-CN"/>
          </w:rPr>
          <w:t>(二)、地方政府支持与合作</w:t>
        </w:r>
        <w:r>
          <w:tab/>
        </w:r>
        <w:r>
          <w:fldChar w:fldCharType="begin"/>
        </w:r>
        <w:r>
          <w:instrText xml:space="preserve"> PAGEREF _Toc19141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06" w:history="1">
        <w:r>
          <w:rPr>
            <w:rFonts w:ascii="仿宋" w:eastAsia="仿宋" w:hAnsi="仿宋" w:cs="仿宋" w:hint="eastAsia"/>
            <w:lang w:eastAsia="zh-CN"/>
          </w:rPr>
          <w:t>(三)、市场推广与品牌建设</w:t>
        </w:r>
        <w:r>
          <w:tab/>
        </w:r>
        <w:r>
          <w:fldChar w:fldCharType="begin"/>
        </w:r>
        <w:r>
          <w:instrText xml:space="preserve"> PAGEREF _Toc17906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94" w:history="1">
        <w:r>
          <w:rPr>
            <w:rFonts w:ascii="仿宋" w:eastAsia="仿宋" w:hAnsi="仿宋" w:cs="仿宋" w:hint="eastAsia"/>
            <w:lang w:eastAsia="zh-CN"/>
          </w:rPr>
          <w:t>(四)、社会参与与共享机制</w:t>
        </w:r>
        <w:r>
          <w:tab/>
        </w:r>
        <w:r>
          <w:fldChar w:fldCharType="begin"/>
        </w:r>
        <w:r>
          <w:instrText xml:space="preserve"> PAGEREF _Toc9694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631" w:history="1">
        <w:r>
          <w:rPr>
            <w:rFonts w:ascii="仿宋" w:eastAsia="仿宋" w:hAnsi="仿宋" w:cs="仿宋" w:hint="eastAsia"/>
            <w:lang w:eastAsia="zh-CN"/>
          </w:rPr>
          <w:t>八、砼空心砌块(承重型)项目收尾与总结</w:t>
        </w:r>
        <w:r>
          <w:tab/>
        </w:r>
        <w:r>
          <w:fldChar w:fldCharType="begin"/>
        </w:r>
        <w:r>
          <w:instrText xml:space="preserve"> PAGEREF _Toc3631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0" w:history="1">
        <w:r>
          <w:rPr>
            <w:rFonts w:ascii="仿宋" w:eastAsia="仿宋" w:hAnsi="仿宋" w:cs="仿宋" w:hint="eastAsia"/>
            <w:lang w:eastAsia="zh-CN"/>
          </w:rPr>
          <w:t>(一)、砼空心砌块(承重型)项目总结与经验分享</w:t>
        </w:r>
        <w:r>
          <w:tab/>
        </w:r>
        <w:r>
          <w:fldChar w:fldCharType="begin"/>
        </w:r>
        <w:r>
          <w:instrText xml:space="preserve"> PAGEREF _Toc1970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23" w:history="1">
        <w:r>
          <w:rPr>
            <w:rFonts w:ascii="仿宋" w:eastAsia="仿宋" w:hAnsi="仿宋" w:cs="仿宋" w:hint="eastAsia"/>
            <w:lang w:eastAsia="zh-CN"/>
          </w:rPr>
          <w:t>(二)、砼空心砌块(承重型)项目报告与归档</w:t>
        </w:r>
        <w:r>
          <w:tab/>
        </w:r>
        <w:r>
          <w:fldChar w:fldCharType="begin"/>
        </w:r>
        <w:r>
          <w:instrText xml:space="preserve"> PAGEREF _Toc25523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98" w:history="1">
        <w:r>
          <w:rPr>
            <w:rFonts w:ascii="仿宋" w:eastAsia="仿宋" w:hAnsi="仿宋" w:cs="仿宋" w:hint="eastAsia"/>
            <w:lang w:eastAsia="zh-CN"/>
          </w:rPr>
          <w:t>(三)、砼空心砌块(承重型)项目收尾与结算</w:t>
        </w:r>
        <w:r>
          <w:tab/>
        </w:r>
        <w:r>
          <w:fldChar w:fldCharType="begin"/>
        </w:r>
        <w:r>
          <w:instrText xml:space="preserve"> PAGEREF _Toc5698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3" w:history="1">
        <w:r>
          <w:rPr>
            <w:rFonts w:ascii="仿宋" w:eastAsia="仿宋" w:hAnsi="仿宋" w:cs="仿宋" w:hint="eastAsia"/>
            <w:lang w:eastAsia="zh-CN"/>
          </w:rPr>
          <w:t>(四)、团队人员调整与反馈</w:t>
        </w:r>
        <w:r>
          <w:tab/>
        </w:r>
        <w:r>
          <w:fldChar w:fldCharType="begin"/>
        </w:r>
        <w:r>
          <w:instrText xml:space="preserve"> PAGEREF _Toc2643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418" w:history="1">
        <w:r>
          <w:rPr>
            <w:rFonts w:ascii="仿宋" w:eastAsia="仿宋" w:hAnsi="仿宋" w:cs="仿宋" w:hint="eastAsia"/>
            <w:lang w:eastAsia="zh-CN"/>
          </w:rPr>
          <w:t>九、供应链管理</w:t>
        </w:r>
        <w:r>
          <w:tab/>
        </w:r>
        <w:r>
          <w:fldChar w:fldCharType="begin"/>
        </w:r>
        <w:r>
          <w:instrText xml:space="preserve"> PAGEREF _Toc11418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43" w:history="1">
        <w:r>
          <w:rPr>
            <w:rFonts w:ascii="仿宋" w:eastAsia="仿宋" w:hAnsi="仿宋" w:cs="仿宋" w:hint="eastAsia"/>
            <w:lang w:eastAsia="zh-CN"/>
          </w:rPr>
          <w:t>(一)、供应链战略规划</w:t>
        </w:r>
        <w:r>
          <w:tab/>
        </w:r>
        <w:r>
          <w:fldChar w:fldCharType="begin"/>
        </w:r>
        <w:r>
          <w:instrText xml:space="preserve"> PAGEREF _Toc9543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33" w:history="1">
        <w:r>
          <w:rPr>
            <w:rFonts w:ascii="仿宋" w:eastAsia="仿宋" w:hAnsi="仿宋" w:cs="仿宋" w:hint="eastAsia"/>
            <w:lang w:eastAsia="zh-CN"/>
          </w:rPr>
          <w:t>(二)、供应商选择与评估</w:t>
        </w:r>
        <w:r>
          <w:tab/>
        </w:r>
        <w:r>
          <w:fldChar w:fldCharType="begin"/>
        </w:r>
        <w:r>
          <w:instrText xml:space="preserve"> PAGEREF _Toc19433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44" w:history="1">
        <w:r>
          <w:rPr>
            <w:rFonts w:ascii="仿宋" w:eastAsia="仿宋" w:hAnsi="仿宋" w:cs="仿宋" w:hint="eastAsia"/>
            <w:lang w:eastAsia="zh-CN"/>
          </w:rPr>
          <w:t>(三)、物流与库存管理</w:t>
        </w:r>
        <w:r>
          <w:tab/>
        </w:r>
        <w:r>
          <w:fldChar w:fldCharType="begin"/>
        </w:r>
        <w:r>
          <w:instrText xml:space="preserve"> PAGEREF _Toc22644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086" w:history="1">
        <w:r>
          <w:rPr>
            <w:rFonts w:ascii="仿宋" w:eastAsia="仿宋" w:hAnsi="仿宋" w:cs="仿宋" w:hint="eastAsia"/>
            <w:lang w:eastAsia="zh-CN"/>
          </w:rPr>
          <w:t>(四)、供应链风险管理</w:t>
        </w:r>
        <w:r>
          <w:tab/>
        </w:r>
        <w:r>
          <w:fldChar w:fldCharType="begin"/>
        </w:r>
        <w:r>
          <w:instrText xml:space="preserve"> PAGEREF _Toc23086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445" w:history="1">
        <w:r>
          <w:rPr>
            <w:rFonts w:ascii="仿宋" w:eastAsia="仿宋" w:hAnsi="仿宋" w:cs="仿宋" w:hint="eastAsia"/>
            <w:lang w:eastAsia="zh-CN"/>
          </w:rPr>
          <w:t>十、市场营销与品牌推广</w:t>
        </w:r>
        <w:r>
          <w:tab/>
        </w:r>
        <w:r>
          <w:fldChar w:fldCharType="begin"/>
        </w:r>
        <w:r>
          <w:instrText xml:space="preserve"> PAGEREF _Toc9445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14" w:history="1">
        <w:r>
          <w:rPr>
            <w:rFonts w:ascii="仿宋" w:eastAsia="仿宋" w:hAnsi="仿宋" w:cs="仿宋" w:hint="eastAsia"/>
            <w:lang w:eastAsia="zh-CN"/>
          </w:rPr>
          <w:t>(一)、市场调研与定位</w:t>
        </w:r>
        <w:r>
          <w:tab/>
        </w:r>
        <w:r>
          <w:fldChar w:fldCharType="begin"/>
        </w:r>
        <w:r>
          <w:instrText xml:space="preserve"> PAGEREF _Toc17214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26" w:history="1">
        <w:r>
          <w:rPr>
            <w:rFonts w:ascii="仿宋" w:eastAsia="仿宋" w:hAnsi="仿宋" w:cs="仿宋" w:hint="eastAsia"/>
            <w:lang w:eastAsia="zh-CN"/>
          </w:rPr>
          <w:t>(二)、营销策略与推广计划</w:t>
        </w:r>
        <w:r>
          <w:tab/>
        </w:r>
        <w:r>
          <w:fldChar w:fldCharType="begin"/>
        </w:r>
        <w:r>
          <w:instrText xml:space="preserve"> PAGEREF _Toc25126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32" w:history="1">
        <w:r>
          <w:rPr>
            <w:rFonts w:ascii="仿宋" w:eastAsia="仿宋" w:hAnsi="仿宋" w:cs="仿宋" w:hint="eastAsia"/>
            <w:lang w:eastAsia="zh-CN"/>
          </w:rPr>
          <w:t>(三)、客户关系管理</w:t>
        </w:r>
        <w:r>
          <w:tab/>
        </w:r>
        <w:r>
          <w:fldChar w:fldCharType="begin"/>
        </w:r>
        <w:r>
          <w:instrText xml:space="preserve"> PAGEREF _Toc30532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2" w:history="1">
        <w:r>
          <w:rPr>
            <w:rFonts w:ascii="仿宋" w:eastAsia="仿宋" w:hAnsi="仿宋" w:cs="仿宋" w:hint="eastAsia"/>
            <w:lang w:eastAsia="zh-CN"/>
          </w:rPr>
          <w:t>(四)、品牌建设与维护</w:t>
        </w:r>
        <w:r>
          <w:tab/>
        </w:r>
        <w:r>
          <w:fldChar w:fldCharType="begin"/>
        </w:r>
        <w:r>
          <w:instrText xml:space="preserve"> PAGEREF _Toc862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007" w:history="1">
        <w:r>
          <w:rPr>
            <w:rFonts w:ascii="仿宋" w:eastAsia="仿宋" w:hAnsi="仿宋" w:cs="仿宋" w:hint="eastAsia"/>
            <w:lang w:eastAsia="zh-CN"/>
          </w:rPr>
          <w:t>十一、合规与风险管理</w:t>
        </w:r>
        <w:r>
          <w:tab/>
        </w:r>
        <w:r>
          <w:fldChar w:fldCharType="begin"/>
        </w:r>
        <w:r>
          <w:instrText xml:space="preserve"> PAGEREF _Toc23007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79" w:history="1">
        <w:r>
          <w:rPr>
            <w:rFonts w:ascii="仿宋" w:eastAsia="仿宋" w:hAnsi="仿宋" w:cs="仿宋" w:hint="eastAsia"/>
            <w:lang w:eastAsia="zh-CN"/>
          </w:rPr>
          <w:t>(一)、法律法规合规体系</w:t>
        </w:r>
        <w:r>
          <w:tab/>
        </w:r>
        <w:r>
          <w:fldChar w:fldCharType="begin"/>
        </w:r>
        <w:r>
          <w:instrText xml:space="preserve"> PAGEREF _Toc3679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75" w:history="1">
        <w:r>
          <w:rPr>
            <w:rFonts w:ascii="仿宋" w:eastAsia="仿宋" w:hAnsi="仿宋" w:cs="仿宋" w:hint="eastAsia"/>
            <w:lang w:eastAsia="zh-CN"/>
          </w:rPr>
          <w:t>(二)、内部控制与风险评估</w:t>
        </w:r>
        <w:r>
          <w:tab/>
        </w:r>
        <w:r>
          <w:fldChar w:fldCharType="begin"/>
        </w:r>
        <w:r>
          <w:instrText xml:space="preserve"> PAGEREF _Toc3975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69" w:history="1">
        <w:r>
          <w:rPr>
            <w:rFonts w:ascii="仿宋" w:eastAsia="仿宋" w:hAnsi="仿宋" w:cs="仿宋" w:hint="eastAsia"/>
            <w:lang w:eastAsia="zh-CN"/>
          </w:rPr>
          <w:t>(三)、合规培训与执行</w:t>
        </w:r>
        <w:r>
          <w:tab/>
        </w:r>
        <w:r>
          <w:fldChar w:fldCharType="begin"/>
        </w:r>
        <w:r>
          <w:instrText xml:space="preserve"> PAGEREF _Toc7169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36" w:history="1">
        <w:r>
          <w:rPr>
            <w:rFonts w:ascii="仿宋" w:eastAsia="仿宋" w:hAnsi="仿宋" w:cs="仿宋" w:hint="eastAsia"/>
            <w:lang w:eastAsia="zh-CN"/>
          </w:rPr>
          <w:t>(四)、合规监测与修正机制</w:t>
        </w:r>
        <w:r>
          <w:tab/>
        </w:r>
        <w:r>
          <w:fldChar w:fldCharType="begin"/>
        </w:r>
        <w:r>
          <w:instrText xml:space="preserve"> PAGEREF _Toc17136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30636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当今激烈的市场竞争中，项目合作是激发创新、优化资源配置、实现共赢战略的关键手段。因而，在制定本文档时，我们注重细致分析合作双方的实力、技术特色与市场前景，旨在设计一套全面、高效的合作方案。本计划书既是合作框架的明确表述，也是搭建信任基础的有形载体，特此声明，其所有内容均仅用于非商业性的学习与交流目的，以确保知识产权及数据信息的保密性与安全性。本着专业、诚信的原则，我们期待与合作伙伴携手共创，共同开拓市场，实现双赢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9887"/>
      <w:r>
        <w:rPr>
          <w:rFonts w:ascii="仿宋" w:eastAsia="仿宋" w:hAnsi="仿宋" w:cs="仿宋" w:hint="eastAsia"/>
          <w:sz w:val="28"/>
          <w:lang w:eastAsia="zh-CN"/>
        </w:rPr>
        <w:t>一、后期运营与管理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8980"/>
      <w:r>
        <w:rPr>
          <w:rFonts w:ascii="仿宋" w:eastAsia="仿宋" w:hAnsi="仿宋" w:cs="仿宋" w:hint="eastAsia"/>
          <w:lang w:eastAsia="zh-CN"/>
        </w:rPr>
        <w:t>(一)、砼空心砌块(承重型)项目运营管理机制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在砼空心砌块(承重型)项目运营阶段，我们将建立完善的运营管理机制，以确保砼空心砌块(承重型)项目稳健运行和高效管理。关键要点包括：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运营团队组建：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 成立专业化的运营团队，囊括各领域专业人才，确保对砼空心砌块(承重型)项目各方面进行全面管理。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 设立明确的职责和权限，建立协同工作的团队氛围。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运营计划与执行：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 xml:space="preserve">    制定详细的运营计划，包括生产计划、人力资源计划、设备维护计划等，确保运营活动有序展开。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 实施有效的执行机制，监督运营计划的执行，并根据实际情况及时调整。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质量与安全管理：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 建立质量管理体系，确保产品符合质量标准，提高客户满意度。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 强化安全管理，制定安全操作规程，保障员工安全与生产环境的安全。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15412"/>
      <w:r>
        <w:rPr>
          <w:rFonts w:ascii="仿宋" w:eastAsia="仿宋" w:hAnsi="仿宋" w:cs="仿宋" w:hint="eastAsia"/>
          <w:sz w:val="28"/>
          <w:lang w:eastAsia="zh-CN"/>
        </w:rPr>
        <w:t>(二)、人员培训与知识转移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为确保团队的持续发展和知识积累，我们将实施全面的人员培训与知识转移计划：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培训计划设计：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 制定全员培训计划，包括技术培训、管理培训、安全培训等，提高团队整体素质。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 根据个人发展需要，制定个性化培训计划，促使员工在职业生涯中不断成长。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知识转移机制：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 建立知识分享平台，鼓励团队成员分享专业知识和经验。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 xml:space="preserve">    实施xxx制度，促使老员工将经验传承给新员工，实现知识的有机延续。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1990"/>
      <w:r>
        <w:rPr>
          <w:rFonts w:ascii="仿宋" w:eastAsia="仿宋" w:hAnsi="仿宋" w:cs="仿宋" w:hint="eastAsia"/>
          <w:sz w:val="28"/>
          <w:lang w:eastAsia="zh-CN"/>
        </w:rPr>
        <w:t>(三)、设备维护与保养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为确保设备的稳定运行和寿命的延长，我们将采取科学的设备维护与保养策略：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制定维护计划：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 制定设备维护计划，包括定期保养、预防性维护和紧急维修，确保设备运行的可靠性和稳定性。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 通过先进的维护管理系统，实现对设备状态的实时监测和分析。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培训维护人员：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 对设备维护人员进行专业培训，提高其技能水平，确保能够独立完成设备维护和故障排除。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 强调维护人员的责任心和紧急响应能力，以快速应对设备突发问题。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5709"/>
      <w:r>
        <w:rPr>
          <w:rFonts w:ascii="仿宋" w:eastAsia="仿宋" w:hAnsi="仿宋" w:cs="仿宋" w:hint="eastAsia"/>
          <w:sz w:val="28"/>
          <w:lang w:eastAsia="zh-CN"/>
        </w:rPr>
        <w:t>(四)、定期检查与评估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为保持砼空心砌块(承重型)项目的高效运行和不断改进，我们将定期进行检查与评估：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定期运营检查：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 建立定期的运营检查机制，对生产过程、质量控制、安全环保等方面进行全面检查。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 及时发现问题并提出改进意见，确保运营过程的稳定性。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2. 绩效评估与持续改进：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 进行全员绩效评估，激励员工的工作积极性。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 进行定期的管理评估，通过数据分析和反馈，实施持续改进，提升整体管理水平。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29234"/>
      <w:r>
        <w:rPr>
          <w:rFonts w:ascii="仿宋" w:eastAsia="仿宋" w:hAnsi="仿宋" w:cs="仿宋" w:hint="eastAsia"/>
          <w:sz w:val="28"/>
          <w:lang w:eastAsia="zh-CN"/>
        </w:rPr>
        <w:t>二、风险应对评估</w:t>
      </w:r>
      <w:bookmarkEnd w:id="7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8" w:name="_Toc30343"/>
      <w:r>
        <w:rPr>
          <w:rFonts w:ascii="仿宋" w:eastAsia="仿宋" w:hAnsi="仿宋" w:cs="仿宋" w:hint="eastAsia"/>
          <w:lang w:eastAsia="zh-CN"/>
        </w:rPr>
        <w:t>(一)、政策风险分析</w:t>
      </w:r>
      <w:bookmarkEnd w:id="8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砼空心砌块(承重型)项目实施过程中，政策因素可能对砼空心砌块(承重型)项目产生一定的影响。为了应对潜在的政策风险，我们将密切关注国家和地方相关政策的变化。与相关政府部门建立良好的沟通渠道，及时获取政策信息，确保砼空心砌块(承重型)项目能够顺利推进。同时，制定灵活的应对方案，以适应政策环境的变化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9" w:name="_Toc22056"/>
      <w:r>
        <w:rPr>
          <w:rFonts w:ascii="仿宋" w:eastAsia="仿宋" w:hAnsi="仿宋" w:cs="仿宋" w:hint="eastAsia"/>
          <w:sz w:val="28"/>
          <w:lang w:eastAsia="zh-CN"/>
        </w:rPr>
        <w:t>(二)、社会风险分析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社会风险主要包括社会舆论、公共关系等方面的风险。我们将建立健全的社会风险监测机制，定期评估社会反馈和舆情动态。通过积极参与社会责任活动，维护公司良好形象，减轻社会风险的影响。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0" w:name="_Toc4949"/>
      <w:r>
        <w:rPr>
          <w:rFonts w:ascii="仿宋" w:eastAsia="仿宋" w:hAnsi="仿宋" w:cs="仿宋" w:hint="eastAsia"/>
          <w:sz w:val="28"/>
          <w:lang w:eastAsia="zh-CN"/>
        </w:rPr>
        <w:t>(三)、市场风险分析</w:t>
      </w:r>
      <w:bookmarkEnd w:id="10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市场风险是砼空心砌块(承重型)项目面临的重要挑战之一。我们将进行全面的市场调研，了解目标市场的需求和竞争格局。同时，制定灵活的市场推广策略，以适应市场变化。建立多层次、多元化的市场渠道，降低单一市场对砼空心砌块(承重型)项目的风险影响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1" w:name="_Toc8652"/>
      <w:r>
        <w:rPr>
          <w:rFonts w:ascii="仿宋" w:eastAsia="仿宋" w:hAnsi="仿宋" w:cs="仿宋" w:hint="eastAsia"/>
          <w:sz w:val="28"/>
          <w:lang w:eastAsia="zh-CN"/>
        </w:rPr>
        <w:t>(四)、资金风险分析</w:t>
      </w:r>
      <w:bookmarkEnd w:id="1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资金风险是砼空心砌块(承重型)项目成功实施的基础。我们将建立健全的资金管理制度，定期进行资金流量分析，确保砼空心砌块(承重型)项目运营资金的充足。与金融机构建立良好的合作关系，提前制定应对资金紧张的预案，以确保砼空心砌块(承重型)项目的资金安全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2" w:name="_Toc21982"/>
      <w:r>
        <w:rPr>
          <w:rFonts w:ascii="仿宋" w:eastAsia="仿宋" w:hAnsi="仿宋" w:cs="仿宋" w:hint="eastAsia"/>
          <w:sz w:val="28"/>
          <w:lang w:eastAsia="zh-CN"/>
        </w:rPr>
        <w:t>(五)、技术风险分析</w:t>
      </w:r>
      <w:bookmarkEnd w:id="12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技术风险是砼空心砌块(承重型)项目实施中不可避免的挑战。我们将进行全面的技术评估，确保所采用的技术方案是成熟、可行的。与专业技术团队建立良好的合作关系，及时解决技术难题，确保砼空心砌块(承重型)项目按计划进行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3" w:name="_Toc18164"/>
      <w:r>
        <w:rPr>
          <w:rFonts w:ascii="仿宋" w:eastAsia="仿宋" w:hAnsi="仿宋" w:cs="仿宋" w:hint="eastAsia"/>
          <w:sz w:val="28"/>
          <w:lang w:eastAsia="zh-CN"/>
        </w:rPr>
        <w:t>(六)、财务风险分析</w:t>
      </w:r>
      <w:bookmarkEnd w:id="1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财务风险是砼空心砌块(承重型)项目运营中需要高度重视的方面。我们将建立健全的财务管理体系，严格执行财务制度。通过多元化投资，降低财务风险集中度。及时调整财务战略，确保砼空心砌块(承重型)项目财务运作的健康发展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4" w:name="_Toc2242"/>
      <w:r>
        <w:rPr>
          <w:rFonts w:ascii="仿宋" w:eastAsia="仿宋" w:hAnsi="仿宋" w:cs="仿宋" w:hint="eastAsia"/>
          <w:sz w:val="28"/>
          <w:lang w:eastAsia="zh-CN"/>
        </w:rPr>
        <w:t>(七)、管理风险分析</w:t>
      </w:r>
      <w:bookmarkEnd w:id="14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管理风险主要涉及团队管理、砼空心砌块(承重型)项目进度管理等方面。我们将通过建设高效的管理团队，提升管理水平。建立科学的砼空心砌块(承重型)项目管理体系，确保砼空心砌块(承重型)项目进度的掌控。通过培训和学习，提高团队应对管理风险的能力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5" w:name="_Toc3414"/>
      <w:r>
        <w:rPr>
          <w:rFonts w:ascii="仿宋" w:eastAsia="仿宋" w:hAnsi="仿宋" w:cs="仿宋" w:hint="eastAsia"/>
          <w:sz w:val="28"/>
          <w:lang w:eastAsia="zh-CN"/>
        </w:rPr>
        <w:t>(八)、其它风险分析</w:t>
      </w:r>
      <w:bookmarkEnd w:id="1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砼空心砌块(承重型)项目实施中可能还存在其他各种意外风险，我们将建立综合的风险管理机制，及时评估、响应和应对各类潜在风险。通过建设风险管理团队，提高应对不确定性的能力。灵活调整砼空心砌块(承重型)项目计划，确保砼空心砌块(承重型)项目始终处于可控的状态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6" w:name="_Toc17936"/>
      <w:r>
        <w:rPr>
          <w:rFonts w:ascii="仿宋" w:eastAsia="仿宋" w:hAnsi="仿宋" w:cs="仿宋" w:hint="eastAsia"/>
          <w:sz w:val="28"/>
          <w:lang w:eastAsia="zh-CN"/>
        </w:rPr>
        <w:t>三、工程设计说明</w:t>
      </w:r>
      <w:bookmarkEnd w:id="16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17" w:name="_Toc6961"/>
      <w:r>
        <w:rPr>
          <w:rFonts w:ascii="仿宋" w:eastAsia="仿宋" w:hAnsi="仿宋" w:cs="仿宋" w:hint="eastAsia"/>
          <w:lang w:eastAsia="zh-CN"/>
        </w:rPr>
        <w:t>(一)、建筑工程设计原则</w:t>
      </w:r>
      <w:bookmarkEnd w:id="1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工程设计的核心在于确保建筑结构的稳定性、功能的实用性、美学的合理性以及施工和运维的经济性。在设计过程中，需要综合考虑建筑的用途、环境特征、可持续性等方面，确立科学合理的设计原则。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8" w:name="_Toc26059"/>
      <w:r>
        <w:rPr>
          <w:rFonts w:ascii="仿宋" w:eastAsia="仿宋" w:hAnsi="仿宋" w:cs="仿宋" w:hint="eastAsia"/>
          <w:sz w:val="28"/>
          <w:lang w:eastAsia="zh-CN"/>
        </w:rPr>
        <w:t>(二)、砼空心砌块(承重型)项目工程建设标准规范</w:t>
      </w:r>
      <w:bookmarkEnd w:id="18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砼空心砌块(承重型)项目的建设需要符合国家和地方的相关标准规范，确保施工过程和建成后的设施符合安全、环保、质量等方面的要求。各项建设标准规范将在设计中得到充分考虑和遵循。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9" w:name="_Toc4153"/>
      <w:r>
        <w:rPr>
          <w:rFonts w:ascii="仿宋" w:eastAsia="仿宋" w:hAnsi="仿宋" w:cs="仿宋" w:hint="eastAsia"/>
          <w:sz w:val="28"/>
          <w:lang w:eastAsia="zh-CN"/>
        </w:rPr>
        <w:t>(三)、砼空心砌块(承重型)项目总平面设计要求</w:t>
      </w:r>
      <w:bookmarkEnd w:id="1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砼空心砌块(承重型)项目总平面设计要求将包括对砼空心砌块(承重型)项目用地的科学规划，确保合理的场地利用和各功能区域的合理布局。这涉及到交通流线、景观绿化、建筑分布等方面的综合考虑。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0" w:name="_Toc31150"/>
      <w:r>
        <w:rPr>
          <w:rFonts w:ascii="仿宋" w:eastAsia="仿宋" w:hAnsi="仿宋" w:cs="仿宋" w:hint="eastAsia"/>
          <w:sz w:val="28"/>
          <w:lang w:eastAsia="zh-CN"/>
        </w:rPr>
        <w:t>(四)、建筑设计规范和标准</w:t>
      </w:r>
      <w:bookmarkEnd w:id="20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建筑设计规范和标准将详细规定建筑物的各项技术指标，包括但不限于结构设计、电气设计、给排水设计等，确保建筑的安全性和功能性。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1" w:name="_Toc11459"/>
      <w:r>
        <w:rPr>
          <w:rFonts w:ascii="仿宋" w:eastAsia="仿宋" w:hAnsi="仿宋" w:cs="仿宋" w:hint="eastAsia"/>
          <w:sz w:val="28"/>
          <w:lang w:eastAsia="zh-CN"/>
        </w:rPr>
        <w:t>(五)、土建工程设计年限及安全等级</w:t>
      </w:r>
      <w:bookmarkEnd w:id="2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土建工程的设计年限和安全等级将在设计中被准确明确。这涉及到建筑物的使用寿命和抗震等级等方面的规定，以确保建筑的长期稳定运行。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2" w:name="_Toc2072"/>
      <w:r>
        <w:rPr>
          <w:rFonts w:ascii="仿宋" w:eastAsia="仿宋" w:hAnsi="仿宋" w:cs="仿宋" w:hint="eastAsia"/>
          <w:sz w:val="28"/>
          <w:lang w:eastAsia="zh-CN"/>
        </w:rPr>
        <w:t>(六)、建筑工程设计总体要求</w:t>
      </w:r>
      <w:bookmarkEnd w:id="22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建筑工程设计总体要求将对整个设计过程进行概括，包括设计的整体目标、实施步骤、关键节点等，为设计团队提供明确的工作指导。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3" w:name="_Toc3981"/>
      <w:r>
        <w:rPr>
          <w:rFonts w:ascii="仿宋" w:eastAsia="仿宋" w:hAnsi="仿宋" w:cs="仿宋" w:hint="eastAsia"/>
          <w:sz w:val="28"/>
          <w:lang w:eastAsia="zh-CN"/>
        </w:rPr>
        <w:t>四、砼空心砌块(承重型)项目建设地分析</w:t>
      </w:r>
      <w:bookmarkEnd w:id="23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24" w:name="_Toc1857"/>
      <w:r>
        <w:rPr>
          <w:rFonts w:ascii="仿宋" w:eastAsia="仿宋" w:hAnsi="仿宋" w:cs="仿宋" w:hint="eastAsia"/>
          <w:lang w:eastAsia="zh-CN"/>
        </w:rPr>
        <w:t>(一)、砼空心砌块(承重型)项目选址原则</w:t>
      </w:r>
      <w:bookmarkEnd w:id="2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确保砼空心砌块(承重型)项目建设不会对周围环境造成污染，或者任何潜在的污染都将控制在国家法律和标准允许的范围内。砼空心砌块(承重型)项目建设的区域将依据城市总体规划，以确保布局相对独立，便于进行科研、生产经营和管理活动。同时，砼空心砌块(承重型)项目建设区域与城市建设地的联系也将得到全面考虑，以促使砼空心砌块(承重型)项目与城市的发展更为协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砼空心砌块(承重型)项目建设方案将在满足砼空心砌块(承重型)项目产品生产工艺、消防安全、环境保护卫生等要求的前提下，尽量合并建筑，以提高资源利用效率。在布置方面，将充分利用自然空间，贯彻执行“十分珍惜和合理利用土地”的基本国策，根据具体情况因地制宜，合理布置砼空心砌块(承重型)项目建设，确保土地利用的合理性和可持续性。这样的砼空心砌块(承重型)项目规划将确保在砼空心砌块(承重型)项目建设和运营过程中对当地居民和社会不会造成不满和不良影响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5" w:name="_Toc9882"/>
      <w:r>
        <w:rPr>
          <w:rFonts w:ascii="仿宋" w:eastAsia="仿宋" w:hAnsi="仿宋" w:cs="仿宋" w:hint="eastAsia"/>
          <w:sz w:val="28"/>
          <w:lang w:eastAsia="zh-CN"/>
        </w:rPr>
        <w:t>(二)、砼空心砌块(承重型)项目选址</w:t>
      </w:r>
      <w:bookmarkEnd w:id="2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砼空心砌块(承重型)项目选址在</w:t>
      </w:r>
      <w:r>
        <w:rPr>
          <w:rFonts w:ascii="仿宋" w:eastAsia="仿宋" w:hAnsi="仿宋" w:cs="仿宋" w:hint="eastAsia"/>
          <w:sz w:val="28"/>
          <w:lang w:eastAsia="zh-CN"/>
        </w:rPr>
        <w:t xml:space="preserve"> xxx</w:t>
      </w:r>
      <w:r>
        <w:rPr>
          <w:rFonts w:ascii="仿宋" w:eastAsia="仿宋" w:hAnsi="仿宋" w:cs="仿宋" w:hint="eastAsia"/>
          <w:sz w:val="28"/>
          <w:lang w:eastAsia="zh-CN"/>
        </w:rPr>
        <w:t xml:space="preserve"> 产业示范园区，这一选址的决定经过了充分的论证和考量。首先，xxx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产业示范园区作为地区内产业发展的重要引擎，具备了先进的基础设施和产业配套条件，为砼空心砌块(承重型)项目的顺利开展提供了有力支持。其次，该示范园区拥有便捷的交通网络和优越的地理位置，有利于原材料供应、产品流通以及人员往来，提高了砼空心砌块(承重型)项目的运营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此外，xxx 产业示范园区还注重生态环保和绿色发展，与砼空心砌块(承重型)项目的环保理念高度契合。选址于示范园区，不仅可以有效整合各类资源，降低砼空心砌块(承重型)项目建设和运营的成本，同时也有助于提升砼空心砌块(承重型)项目的整体竞争力。综合考虑产业集聚效应、交通便捷性以及生态环保等多方面因素，选址于 xxx 产业示范园区对砼空心砌块(承重型)项目的可持续发展具有积极的促进作用。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6" w:name="_Toc25382"/>
      <w:r>
        <w:rPr>
          <w:rFonts w:ascii="仿宋" w:eastAsia="仿宋" w:hAnsi="仿宋" w:cs="仿宋" w:hint="eastAsia"/>
          <w:sz w:val="28"/>
          <w:lang w:eastAsia="zh-CN"/>
        </w:rPr>
        <w:t>(三)、建设条件分析</w:t>
      </w:r>
      <w:bookmarkEnd w:id="2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砼空心砌块(承重型)项目承办单位目前资产运营状况良好，财务管理制度健全且完善，企业财务雄厚。凭借卓越的产品质量、科学的管理模式以及灵活畅通的销售网络，该单位连年实现盈利，为砼空心砌块(承重型)项目建设提供充足的计划自筹资金。当地人民政府和主管部门高度重视砼空心砌块(承重型)项目建设，土地、规划、建设等管理部门提出了切实可行的实施方案和保障措施，并给予充分的认可。此外，砼空心砌块(承重型)项目建设区域拥有充足的水、电、气等资源供给，足以满足砼空心砌块(承重型)项目正常生产的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6"/>
          <w:footerReference w:type="default" r:id="rId27"/>
          <w:type w:val="nextPage"/>
          <w:pgSz w:w="11906" w:h="16838"/>
          <w:pgMar w:top="1440" w:right="1800" w:bottom="1440" w:left="1800" w:header="851" w:footer="992" w:gutter="0"/>
          <w:pgNumType w:start="12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投资砼空心砌块(承重型)项目可依托砼空心砌块(承重型)项目建设地成熟的公用工程、辅助工程、储运设施等富余资源，同时拥有丰富的劳动力资源和完善的社会服务体系。这将有助于加速砼空心砌块(承重型)项目建设进度，降低建设成本，实现砼空心砌块(承重型)项目投资的节约，提升砼空心砌块(承重型)项目承办单位的综合经济效益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砼空心砌块(承重型)项目承办单位具备一大批丰富经验的砼空心砌块(承重型)项目产品生产专业技术和管理人才。通过引进和内部培养，形成了一个研究方向多元、完整的专业研发团队，包括核心技术专家、关键技术骨干和一般技术人员，构建了完整的人才梯队。该单位在当地相关行业拥有显著的人才优势。与此同时，砼空心砌块(承重型)项目承办单位还与多家科研院所建立了长期的合作关系，并设立了向科研开发倾斜的奖励机制，每年投入专项资金用于重点产品和关键工艺的研发奖励。这为砼空心砌块(承重型)项目的科研创新提供了有力的支持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7" w:name="_Toc5099"/>
      <w:r>
        <w:rPr>
          <w:rFonts w:ascii="仿宋" w:eastAsia="仿宋" w:hAnsi="仿宋" w:cs="仿宋" w:hint="eastAsia"/>
          <w:sz w:val="28"/>
          <w:lang w:eastAsia="zh-CN"/>
        </w:rPr>
        <w:t>(四)、用地控制指标</w:t>
      </w:r>
      <w:bookmarkEnd w:id="2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砼空心砌块(承重型)项目选址于 xxx 产业示范园区，关于用地控制指标的规划与管理，本砼空心砌块(承重型)项目将严格遵循国家和地方的相关法规和标准。用地控制指标包括但不限于以下几个方面：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8"/>
          <w:footerReference w:type="default" r:id="rId29"/>
          <w:type w:val="nextPage"/>
          <w:pgSz w:w="11906" w:h="16838"/>
          <w:pgMar w:top="1440" w:right="1800" w:bottom="1440" w:left="1800" w:header="851" w:footer="992" w:gutter="0"/>
          <w:pgNumType w:start="13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1. 建筑物基底占地面积： 砼空心砌块(承重型)项目将严格按照规划建设主体工程的需要，确保建筑物基底占地面积在符合法规的范围内，以最大限度地利用土地，提高用地利用效率。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建筑密度： 根据示范园区的总体规划，砼空心砌块(承重型)项目将遵循相应的建筑密度标准，合理规划建设，保障砼空心砌块(承重型)项目建设的紧凑性和高效性。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绿化率： 在砼空心砌块(承重型)项目建设中，将注重绿化工作，确保绿化率达到或超过规划要求。通过科学合理的绿化设计，提升砼空心砌块(承重型)项目周边的生态环境，使其更加宜居宜业。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建筑高度： 遵循规划规定的建筑高度限制，确保建筑在垂直空间的合理利用，不超过规划范围，保持与周边建筑的协调性。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地上层数和地下层数： 砼空心砌块(承重型)项目将根据规划要求，合理规划地上和地下层数，确保建设的稳定性和安全性。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6. 其他控制要素： 根据示范园区的具体规划和相关法规，砼空心砌块(承重型)项目还将遵循其他用地控制指标，如建筑线、退让线等，确保砼空心砌块(承重型)项目的建设与周边环境的和谐相处。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8" w:name="_Toc27602"/>
      <w:r>
        <w:rPr>
          <w:rFonts w:ascii="仿宋" w:eastAsia="仿宋" w:hAnsi="仿宋" w:cs="仿宋" w:hint="eastAsia"/>
          <w:sz w:val="28"/>
          <w:lang w:eastAsia="zh-CN"/>
        </w:rPr>
        <w:t>(五)、用地总体要求</w:t>
      </w:r>
      <w:bookmarkEnd w:id="28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在本期工程砼空心砌块(承重型)项目的建设规划中，涉及到一系列关键的建设指标，这些指标将有助于确保砼空心砌块(承重型)项目的合理规划和高效建设。具体而言：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30"/>
          <w:footerReference w:type="default" r:id="rId31"/>
          <w:type w:val="nextPage"/>
          <w:pgSz w:w="11906" w:h="16838"/>
          <w:pgMar w:top="1440" w:right="1800" w:bottom="1440" w:left="1800" w:header="851" w:footer="992" w:gutter="0"/>
          <w:pgNumType w:start="1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1.</w:t>
      </w:r>
      <w:r>
        <w:rPr>
          <w:rFonts w:ascii="仿宋" w:eastAsia="仿宋" w:hAnsi="仿宋" w:cs="仿宋" w:hint="eastAsia"/>
          <w:sz w:val="28"/>
          <w:lang w:eastAsia="zh-CN"/>
        </w:rPr>
        <w:t xml:space="preserve"> 建筑系数：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本期工程砼空心砌块(承重型)项目的建筑系数为XXX%。该系数是对砼空心砌块(承重型)项目建筑面积与用地面积的比例控制，通过设定合理的建筑系数，可以确保砼空心砌块(承重型)项目在有限的用地资源下实现最大的建筑利用率，达到用地经济效益的最佳平衡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建筑容积率： 砼空心砌块(承重型)项目的建筑容积率为XXX。该率值衡量了建筑物总体积与用地面积的比例，是规划中用来控制建筑高度和密度的关键参数。通过合理控制建筑容积率，可以在确保建筑物结构合理的同时，使砼空心砌块(承重型)项目整体外观更协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绿化覆盖率： 为保护自然环境和提升砼空心砌块(承重型)项目的生态品质，本期工程砼空心砌块(承重型)项目将严格执行绿化覆盖率标准，目标值为XXX%。这意味着在砼空心砌块(承重型)项目建设区域，将有相应的绿化面积，以促进生态平衡、改善空气质量，并提供良好的休闲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固定资产投资强度： 本期工程砼空心砌块(承重型)项目的固定资产投资强度为XXX万元/亩。该指标表征了每亩土地上的固定资产投资额，是评估砼空心砌块(承重型)项目投资规模的重要参考。通过科学合理地控制投资强度，可以实现资金的有效利用，确保砼空心砌块(承重型)项目的投资回报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这些建设规划指标将有助于砼空心砌块(承重型)项目在建设过程中充分考虑资源利用效率、环境保护、投资效益等多个方面，实现可持续发展的目标。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9" w:name="_Toc3369"/>
      <w:r>
        <w:rPr>
          <w:rFonts w:ascii="仿宋" w:eastAsia="仿宋" w:hAnsi="仿宋" w:cs="仿宋" w:hint="eastAsia"/>
          <w:sz w:val="28"/>
          <w:lang w:eastAsia="zh-CN"/>
        </w:rPr>
        <w:t>(六)、节约用地措施</w:t>
      </w:r>
      <w:bookmarkEnd w:id="29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32"/>
          <w:footerReference w:type="default" r:id="rId33"/>
          <w:type w:val="nextPage"/>
          <w:pgSz w:w="11906" w:h="16838"/>
          <w:pgMar w:top="1440" w:right="1800" w:bottom="1440" w:left="1800" w:header="851" w:footer="992" w:gutter="0"/>
          <w:pgNumType w:start="1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为有效利用土地资源，采取以下措施：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大跨度连跨厂房设计：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采用大跨度连跨厂房布局，有助于方便生产设备的布置，提高厂房面积的利用率。这种设计能够最大程度地减少结构支撑柱，从而节约土地资源。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简易货架优化仓库布局：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在原料及辅助材料仓库采用简易货架，通过合理布局提高库房的面积和空间利用率。这不仅有效地优化了仓库存储结构，还达到了节约土地资源的目的。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外协(外购)方式降低建设需求：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砼空心砌块(承重型)项目建设坚持专业化生产原则，将主要生产过程和关键工序由砼空心砌块(承重型)项目承办单位实施，而其他附属商品则采用外协(外购)的方式。通过这种方式，能够避免重复建设，达到节约资金、能源和土地资源的效果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高效生产工艺和设备布局：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砼空心砌块(承重型)项目采用高效的生产工艺，通过科学的设备布局，最大程度地提高生产效率，减少生产空间的浪费。这包括合理的生产流程设计，避免不必要的物料运输和仓储空间占用。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绿色建筑和生态环境保护：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34"/>
          <w:footerReference w:type="default" r:id="rId35"/>
          <w:type w:val="nextPage"/>
          <w:pgSz w:w="11906" w:h="16838"/>
          <w:pgMar w:top="1440" w:right="1800" w:bottom="1440" w:left="1800" w:header="851" w:footer="992" w:gutter="0"/>
          <w:pgNumType w:start="1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 xml:space="preserve">   在土地利用的同时，砼空心砌块(承重型)项目建设将考虑采用绿色建筑理念，以减少对周边自然环境的影响。通过科学规划和环保措施，确保生产过程中的废弃物处理和排放均符合环保标准，最小化对土地生态的冲击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6. 资源综合利用：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在生产过程中，砼空心砌块(承重型)项目将注重资源的综合利用，减少废弃物的产生。通过回收再利用、能源回收等手段，最大化地减少对新资源的依赖，实现对土地资源的更为有效的利用。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7. 智能化管理系统的引入：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引入智能化的生产管理系统，通过精准的数据分析和优化，降低生产中的浪费，包括原材料、能源和生产空间的浪费。这有助于更加智能、高效地利用土地资源。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以上综合措施的有机结合，砼空心砌块(承重型)项目建设在土地资源的规划和使用上不仅注重高效性和科技性，同时保持对生态环境的尊重。这种全方位的土地资源节约措施将有助于砼空心砌块(承重型)项目的可持续发展和为社会创造更多的经济效益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30" w:name="_Toc14060"/>
      <w:r>
        <w:rPr>
          <w:rFonts w:ascii="仿宋" w:eastAsia="仿宋" w:hAnsi="仿宋" w:cs="仿宋" w:hint="eastAsia"/>
          <w:sz w:val="28"/>
          <w:lang w:eastAsia="zh-CN"/>
        </w:rPr>
        <w:t>(七)、总图布置方案</w:t>
      </w:r>
      <w:bookmarkEnd w:id="30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在砼空心砌块(承重型)项目规划中，总图布置方案是确保各个组成部分协调有序、高效运作的关键。以下是总图布置方案的主要考虑因素：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整体布局设计：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 砼空心砌块(承重型)项目整体布局应基于高效生产流程和员工流动，确保各功能区域之间协调有序。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36"/>
          <w:footerReference w:type="default" r:id="rId37"/>
          <w:type w:val="nextPage"/>
          <w:pgSz w:w="11906" w:h="16838"/>
          <w:pgMar w:top="1440" w:right="1800" w:bottom="1440" w:left="1800" w:header="851" w:footer="992" w:gutter="0"/>
          <w:pgNumType w:start="17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 xml:space="preserve">    确定主要生产区、仓储区、办公区、设备区等功能分区，使得生产过程流畅无阻。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生产设备配置：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 根据生产工艺和流程，合理配置生产设备，确保设备之间的协同作业，提高生产效率。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 采用智能化设备和自动化生产线，最大限度地减少人力介入，提高生产精度和速度。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绿色空间和环保设计：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 在总图布置中考虑绿色空间，例如绿化带和景观区域，提升工作环境质量，有助于员工的生产效率和生活舒适度。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 引入环保设计理念，设置废弃物处理区域和环保设施，确保砼空心砌块(承重型)项目对环境的影响最小化。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交通与物流通道规划：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 设计合理的交通通道，确保原材料、半成品和成品之间的便捷运输，减少内部物流时间。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 考虑员工出行和物流车辆的通行，制定合理的交通规划，确保交通流畅。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安全与紧急应对：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 设置安全通道和紧急疏散通道，确保在紧急情况下员工能够快速有序地撤离。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 安排紧急设备和安全设备的布局，提高应急处理效率，确保砼空心砌块(承重型)项目安全运行。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6. 未来扩建和更新考虑：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38"/>
          <w:footerReference w:type="default" r:id="rId39"/>
          <w:type w:val="nextPage"/>
          <w:pgSz w:w="11906" w:h="16838"/>
          <w:pgMar w:top="1440" w:right="1800" w:bottom="1440" w:left="1800" w:header="851" w:footer="992" w:gutter="0"/>
          <w:pgNumType w:start="18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 xml:space="preserve">  </w:t>
      </w:r>
      <w:r>
        <w:rPr>
          <w:rFonts w:ascii="仿宋" w:eastAsia="仿宋" w:hAnsi="仿宋" w:cs="仿宋" w:hint="eastAsia"/>
          <w:sz w:val="28"/>
          <w:lang w:eastAsia="zh-CN"/>
        </w:rPr>
        <w:t xml:space="preserve"> 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留出足够的空间，以便未来砼空心砌块(承重型)项目扩建和设备更新。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 采用模块化设计，方便未来根据业务需求进行灵活调整和拓展。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总图布置方案应充分考虑以上因素，以确保砼空心砌块(承重型)项目在运作中能够高效、安全、可持续地发展。该方案的设计应符合砼空心砌块(承重型)项目的整体战略规划和长期发展目标。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31" w:name="_Toc13692"/>
      <w:r>
        <w:rPr>
          <w:rFonts w:ascii="仿宋" w:eastAsia="仿宋" w:hAnsi="仿宋" w:cs="仿宋" w:hint="eastAsia"/>
          <w:sz w:val="28"/>
          <w:lang w:eastAsia="zh-CN"/>
        </w:rPr>
        <w:t>(八)、运输组成</w:t>
      </w:r>
      <w:bookmarkEnd w:id="3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物流系统整体设计：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在砼空心砌块(承重型)项目建设规划区，注重实现物料流向的合理布局，使内部和外部运输形成高效的工作系统。通过统一考虑场内外运输、接卸和贮存，确保整个物流链条的连贯性和连续性。特别强调将场内外运输与车间内部运输紧密结合，以形成有机的整体物流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采用送货制，选择合适的运输方式和路线，优化企业的物流组成。通过将企业的物料流动，从原材料输入到产品外运，以及车间内部各工序之间的物料流动作为整体系统进行设计，打造有机而高效的全场物料运输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场内运输系统设计：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40"/>
          <w:footerReference w:type="default" r:id="rId41"/>
          <w:type w:val="nextPage"/>
          <w:pgSz w:w="11906" w:h="16838"/>
          <w:pgMar w:top="1440" w:right="1800" w:bottom="1440" w:left="1800" w:header="851" w:footer="992" w:gutter="0"/>
          <w:pgNumType w:start="19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1.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场内运输系统的设计应注重物料支撑状态的选择，以确保物料不落地，有利于搬运。运输线路的布置应最小化货流与人流的交叉，确保运输操作的安全。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场内运输主要包括原材料的卸车进库、生产过程中的原材料、半成品和成品的转运，以及成品的装车外运。这些任务由装载机、叉车和胶轮车承担，费用计入主车间设备配套费用中。本期工程砼空心砌块(承重型)项目资源配置可满足场内运输的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场外运输系统设计：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场外运输主要包括原材料的供给和产品的外运。远距离运输采用汽车或铁路解决，而区域内社会运输力量充足，可以满足本期工程砼空心砌块(承重型)项目场外远距离运输需求。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短距离运输将利用社会运力解决，不考虑增加汽车运输设备。外部运输应充分依托社会运输力量，降低固定资产投资。主要产成品和大宗原材料的运输避免多次倒运，降低运输成本并提高效率。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(四) 运输方式选择：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考虑到XX产品所涉及的原辅材料和成品运输需求较大，初步采用铁路运输与公路运输相结合的方式。此方式有望在运输成本和效率上取得平衡，确保原辅材料的顺畅运入和成品的高效运出。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(五) 运输安全和效率：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为确保运输的安全性，将采用合适的物料支撑状态，使搬运过程中物料不落地。在场内运输线路的设计中，注重降低货流与人流的交叉，从而保障运输操作的安全。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https://d.book118.com/997135152046006043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43"/>
      <w:footerReference w:type="default" r:id="rId44"/>
      <w:type w:val="nextPage"/>
      <w:pgSz w:w="11906" w:h="16838"/>
      <w:pgMar w:top="1440" w:right="1800" w:bottom="1440" w:left="1800" w:header="851" w:footer="992" w:gutter="0"/>
      <w:pgNumType w:start="20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14</w:t>
    </w:r>
    <w:r>
      <w:rPr>
        <w:rStyle w:val="PageNumber"/>
      </w:rPr>
      <w:fldChar w:fldCharType="end"/>
    </w:r>
  </w:p>
  <w:p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14</w:t>
    </w:r>
    <w:r>
      <w:rPr>
        <w:rStyle w:val="PageNumber"/>
      </w:rPr>
      <w:fldChar w:fldCharType="end"/>
    </w:r>
  </w:p>
  <w:p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16</w:t>
    </w:r>
    <w:r>
      <w:rPr>
        <w:rStyle w:val="PageNumber"/>
      </w:rPr>
      <w:fldChar w:fldCharType="end"/>
    </w:r>
  </w:p>
  <w:p>
    <w:pPr>
      <w:pStyle w:val="Footer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16</w:t>
    </w:r>
    <w:r>
      <w:rPr>
        <w:rStyle w:val="PageNumber"/>
      </w:rPr>
      <w:fldChar w:fldCharType="end"/>
    </w:r>
  </w:p>
  <w:p>
    <w:pPr>
      <w:pStyle w:val="Footer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17</w:t>
    </w:r>
    <w:r>
      <w:rPr>
        <w:rStyle w:val="PageNumber"/>
      </w:rPr>
      <w:fldChar w:fldCharType="end"/>
    </w:r>
  </w:p>
  <w:p>
    <w:pPr>
      <w:pStyle w:val="Footer"/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18</w:t>
    </w:r>
    <w:r>
      <w:rPr>
        <w:rStyle w:val="PageNumber"/>
      </w:rPr>
      <w:fldChar w:fldCharType="end"/>
    </w:r>
  </w:p>
  <w:p>
    <w:pPr>
      <w:pStyle w:val="Footer"/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19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21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砼空心砌块(承重型)合作协议书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砼空心砌块(承重型)合作协议书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砼空心砌块(承重型)合作协议书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砼空心砌块(承重型)合作协议书</w: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砼空心砌块(承重型)合作协议书</w: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砼空心砌块(承重型)合作协议书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砼空心砌块(承重型)合作协议书</w: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砼空心砌块(承重型)合作协议书</w: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砼空心砌块(承重型)合作协议书</w: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砼空心砌块(承重型)合作协议书</w: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砼空心砌块(承重型)合作协议书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砼空心砌块(承重型)合作协议书</w:t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砼空心砌块(承重型)合作协议书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砼空心砌块(承重型)合作协议书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砼空心砌块(承重型)合作协议书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砼空心砌块(承重型)合作协议书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砼空心砌块(承重型)合作协议书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砼空心砌块(承重型)合作协议书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砼空心砌块(承重型)合作协议书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砼空心砌块(承重型)合作协议书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1"/>
  <w:doNotDisplayPageBoundaries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9986D22"/>
    <w:rsid w:val="2CCA2C19"/>
    <w:rsid w:val="79986D22"/>
    <w:rsid w:val="79F24EA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eader" Target="header13.xml" /><Relationship Id="rId29" Type="http://schemas.openxmlformats.org/officeDocument/2006/relationships/footer" Target="footer13.xml" /><Relationship Id="rId3" Type="http://schemas.openxmlformats.org/officeDocument/2006/relationships/fontTable" Target="fontTable.xml" /><Relationship Id="rId30" Type="http://schemas.openxmlformats.org/officeDocument/2006/relationships/header" Target="header14.xml" /><Relationship Id="rId31" Type="http://schemas.openxmlformats.org/officeDocument/2006/relationships/footer" Target="footer14.xml" /><Relationship Id="rId32" Type="http://schemas.openxmlformats.org/officeDocument/2006/relationships/header" Target="header15.xml" /><Relationship Id="rId33" Type="http://schemas.openxmlformats.org/officeDocument/2006/relationships/footer" Target="footer15.xml" /><Relationship Id="rId34" Type="http://schemas.openxmlformats.org/officeDocument/2006/relationships/header" Target="header16.xml" /><Relationship Id="rId35" Type="http://schemas.openxmlformats.org/officeDocument/2006/relationships/footer" Target="footer16.xml" /><Relationship Id="rId36" Type="http://schemas.openxmlformats.org/officeDocument/2006/relationships/header" Target="header17.xml" /><Relationship Id="rId37" Type="http://schemas.openxmlformats.org/officeDocument/2006/relationships/footer" Target="footer17.xml" /><Relationship Id="rId38" Type="http://schemas.openxmlformats.org/officeDocument/2006/relationships/header" Target="header18.xml" /><Relationship Id="rId39" Type="http://schemas.openxmlformats.org/officeDocument/2006/relationships/footer" Target="footer18.xml" /><Relationship Id="rId4" Type="http://schemas.openxmlformats.org/officeDocument/2006/relationships/header" Target="header1.xml" /><Relationship Id="rId40" Type="http://schemas.openxmlformats.org/officeDocument/2006/relationships/header" Target="header19.xml" /><Relationship Id="rId41" Type="http://schemas.openxmlformats.org/officeDocument/2006/relationships/footer" Target="footer19.xml" /><Relationship Id="rId42" Type="http://schemas.openxmlformats.org/officeDocument/2006/relationships/hyperlink" Target="https://d.book118.com/997135152046006043" TargetMode="External" /><Relationship Id="rId43" Type="http://schemas.openxmlformats.org/officeDocument/2006/relationships/header" Target="header20.xml" /><Relationship Id="rId44" Type="http://schemas.openxmlformats.org/officeDocument/2006/relationships/footer" Target="footer20.xml" /><Relationship Id="rId45" Type="http://schemas.openxmlformats.org/officeDocument/2006/relationships/theme" Target="theme/theme1.xml" /><Relationship Id="rId46" Type="http://schemas.openxmlformats.org/officeDocument/2006/relationships/styles" Target="styles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小丑</dc:creator>
  <cp:lastModifiedBy>小丑</cp:lastModifiedBy>
  <cp:revision>1</cp:revision>
  <dcterms:created xsi:type="dcterms:W3CDTF">2024-02-05T12:11:00Z</dcterms:created>
  <dcterms:modified xsi:type="dcterms:W3CDTF">2024-02-05T12:11:46Z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EAD52461A99647E18FAE00BC3DF8AC51_11</vt:lpwstr>
  </property>
  <property fmtid="{D5CDD505-2E9C-101B-9397-08002B2CF9AE}" pid="3" name="KSOProductBuildVer">
    <vt:lpwstr>2052-12.1.0.16250</vt:lpwstr>
  </property>
</Properties>
</file>