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F7C67" w:rsidP="009F7C67" w14:paraId="45C4932D" w14:textId="77777777">
      <w:pPr>
        <w:spacing w:before="48" w:beforeLines="20" w:after="360" w:afterLines="150" w:line="360" w:lineRule="auto"/>
        <w:jc w:val="center"/>
        <w:rPr>
          <w:rFonts w:ascii="华文中宋" w:eastAsia="华文中宋" w:hAnsi="华文中宋"/>
          <w:b/>
          <w:sz w:val="30"/>
        </w:rPr>
      </w:pPr>
      <w:r w:rsidRPr="009F7C67">
        <w:rPr>
          <w:rFonts w:ascii="华文中宋" w:eastAsia="华文中宋" w:hAnsi="华文中宋"/>
          <w:b/>
          <w:sz w:val="30"/>
        </w:rPr>
        <w:t>2024</w:t>
      </w:r>
      <w:r w:rsidRPr="009F7C67">
        <w:rPr>
          <w:rFonts w:ascii="华文中宋" w:eastAsia="华文中宋" w:hAnsi="华文中宋"/>
          <w:b/>
          <w:sz w:val="30"/>
        </w:rPr>
        <w:t>福建泉州市公安局洛江分局招聘警务辅助人员（</w:t>
      </w:r>
      <w:r w:rsidRPr="009F7C67">
        <w:rPr>
          <w:rFonts w:ascii="华文中宋" w:eastAsia="华文中宋" w:hAnsi="华文中宋"/>
          <w:b/>
          <w:sz w:val="30"/>
        </w:rPr>
        <w:t>140</w:t>
      </w:r>
      <w:r w:rsidRPr="009F7C67">
        <w:rPr>
          <w:rFonts w:ascii="华文中宋" w:eastAsia="华文中宋" w:hAnsi="华文中宋"/>
          <w:b/>
          <w:sz w:val="30"/>
        </w:rPr>
        <w:t>人）笔试备考试题及答案解析</w:t>
      </w:r>
    </w:p>
    <w:p w:rsidR="00A77B3E" w14:paraId="214EF50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D19B7B2" w14:textId="77777777">
      <w:pPr>
        <w:spacing w:after="260" w:line="360" w:lineRule="auto"/>
      </w:pPr>
      <w:r>
        <w:rPr>
          <w:rFonts w:ascii="微软雅黑" w:eastAsia="微软雅黑" w:cs="微软雅黑"/>
        </w:rPr>
        <w:t>一、选择题</w:t>
      </w:r>
    </w:p>
    <w:p w:rsidR="006D34C4" w14:paraId="0EA9186F"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81B1C0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130F6A9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5178530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10172F2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6477E62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6C5F00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52958E9C"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4E8CE99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0EEAF7F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67368C1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32A99A1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2F89134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8B4BFF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093448C9"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35D8FE6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60A4251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142F7FE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7D4AA29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334DA89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548B7C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11BF968E"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7DFF74B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4C2D73F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06C76CC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2BA4ED2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712AC95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17BA03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4EBF51D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1CB3DE2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p>
    <w:p w:rsidR="006D34C4" w14:paraId="3B5F573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、意识活动本身可以改变客观世界</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https://d.book118.com/998010077134006032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paraId="58E885C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C67" w14:paraId="6426D5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paraId="6B624637" w14:textId="499765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F7C67" w14:paraId="11F4DC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paraId="1F0165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C6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textId="499765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F7C6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F7C6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rsidP="00B77510" w14:textId="499765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F7C6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paraId="041914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paraId="7CC934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paraId="1C23C7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C6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9F7C67"/>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FC884AC"/>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9F7C6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F7C67"/>
    <w:rPr>
      <w:sz w:val="18"/>
      <w:szCs w:val="18"/>
    </w:rPr>
  </w:style>
  <w:style w:type="paragraph" w:styleId="Footer">
    <w:name w:val="footer"/>
    <w:basedOn w:val="Normal"/>
    <w:link w:val="a0"/>
    <w:rsid w:val="009F7C67"/>
    <w:pPr>
      <w:tabs>
        <w:tab w:val="center" w:pos="4153"/>
        <w:tab w:val="right" w:pos="8306"/>
      </w:tabs>
      <w:snapToGrid w:val="0"/>
    </w:pPr>
    <w:rPr>
      <w:sz w:val="18"/>
      <w:szCs w:val="18"/>
    </w:rPr>
  </w:style>
  <w:style w:type="character" w:customStyle="1" w:styleId="a0">
    <w:name w:val="页脚 字符"/>
    <w:basedOn w:val="DefaultParagraphFont"/>
    <w:link w:val="Footer"/>
    <w:rsid w:val="009F7C67"/>
    <w:rPr>
      <w:sz w:val="18"/>
      <w:szCs w:val="18"/>
    </w:rPr>
  </w:style>
  <w:style w:type="character" w:styleId="PageNumber">
    <w:name w:val="page number"/>
    <w:basedOn w:val="DefaultParagraphFont"/>
    <w:rsid w:val="009F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98010077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