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数字经济相关行业公司成立方案及可行性研究报告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二、数字经济项目概况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4" w:history="1">
        <w:r>
          <w:rPr>
            <w:rFonts w:ascii="仿宋" w:eastAsia="仿宋" w:hAnsi="仿宋" w:cs="仿宋" w:hint="eastAsia"/>
            <w:lang w:eastAsia="zh-CN"/>
          </w:rPr>
          <w:t>(二)、数字经济项目提出的理由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9" w:history="1">
        <w:r>
          <w:rPr>
            <w:rFonts w:ascii="仿宋" w:eastAsia="仿宋" w:hAnsi="仿宋" w:cs="仿宋" w:hint="eastAsia"/>
            <w:lang w:eastAsia="zh-CN"/>
          </w:rPr>
          <w:t>(三)、数字经济项目选址</w:t>
        </w:r>
        <w:r>
          <w:tab/>
        </w:r>
        <w:r>
          <w:fldChar w:fldCharType="begin"/>
        </w:r>
        <w:r>
          <w:instrText xml:space="preserve"> PAGEREF _Toc27829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(六)、数字经济项目投资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(七)、数字经济项目进度规划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(九)、数字经济项目综合评价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_Toc29880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_Toc28032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(一)、数字经济项目进度安排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(二)、数字经济项目实施保障措施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(一)、数字经济项目背景分析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(二)、数字经济项目建设必要性分析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九、数字经济项目风险分析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(一)、数字经济项目风险分析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(二)、数字经济项目风险对策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(五)、数字经济项目总投资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十二、数字经济项目总结分析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1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9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00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https://d.book118.com/998015137054006032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数字经济相关行业公司成立方案及可行性研究报告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数字经济相关行业公司成立方案及可行性研究报告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数字经济相关行业公司成立方案及可行性研究报告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数字经济相关行业公司成立方案及可行性研究报告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数字经济相关行业公司成立方案及可行性研究报告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01513705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2024-01-20T19:06:00Z</dcterms:created>
  <dcterms:modified xsi:type="dcterms:W3CDTF">2024-01-20T19:07:01Z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8DB0D8FEDFB2470580FF6B6F772F4446_11</vt:lpwstr>
  </property>
  <property fmtid="{D5CDD505-2E9C-101B-9397-08002B2CF9AE}" pid="3" name="KSOProductBuildVer">
    <vt:lpwstr>2052-12.1.0.16120</vt:lpwstr>
  </property>
</Properties>
</file>