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2018-2023年唐山科技职业技术学院高职单招（数学／语文／英语）历年常考试题库含答案解析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下列带点字，解释错误的是（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62816" cy="147653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2816" cy="14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“有毅力者成，反是者败”这段话所用的论证方法是（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鲁迅《灯下漫笔》中“假使真有谁能够替他们决定，定下什么奴隶规则来，自然就‘皇恩浩荡’了”一句运用的修辞手法是（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下列语句中，论述“大同世界”特点的是（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A.各亲其亲，各子其子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B.以正君臣，以笃父子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C.刑仁讲让，示民有常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D.男有分，女有归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《论快乐》选自钱锺书的散文集（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A.《随感录》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B.《写在人生边上》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C.《人·兽·鬼》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D.《谈艺录》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“知识就是力量”这句名言出自（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B.罗素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下列句子中，不是词类活用的是（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333640"/>
            <wp:effectExtent l="0" t="0" r="0" b="0"/>
            <wp:docPr id="1937296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9605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下列选项中，不属于辛弃疾《水龙吟·登建康赏心亭》表现手法的一项是（）。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B.用典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D.叠字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下列诗句中，表现方法与“脱帽著峭头”相同的是（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B.缃绮为下裙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C.冉冉府中趋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10.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下列词句中，运用了比拟手法的是（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我国先秦时期，认为“民为贵，社稷次之，君为轻”的思想家是（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茅盾的《香市》一文选自他著名的散文集（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B.《速写与随笔》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C.《话匣子》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D.《印象·感想·回忆》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《苦恼》一文的作者契诃夫是下列哪国的作家（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A.英国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https://d.book118.com/998056045132006040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98056045132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image" Target="media/image2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