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豪华客车项目规划设计蓝图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89" w:history="1">
        <w:r>
          <w:rPr>
            <w:rFonts w:ascii="仿宋" w:eastAsia="仿宋" w:hAnsi="仿宋" w:cs="仿宋" w:hint="eastAsia"/>
            <w:lang w:eastAsia="zh-CN"/>
          </w:rPr>
          <w:t>概论</w:t>
        </w:r>
        <w:r>
          <w:tab/>
        </w:r>
        <w:r>
          <w:fldChar w:fldCharType="begin"/>
        </w:r>
        <w:r>
          <w:instrText xml:space="preserve"> PAGEREF _Toc6289 \h </w:instrText>
        </w:r>
        <w:r>
          <w:fldChar w:fldCharType="separate"/>
        </w:r>
        <w:r>
          <w:t>3</w:t>
        </w:r>
        <w:r>
          <w:fldChar w:fldCharType="end"/>
        </w:r>
      </w:hyperlink>
    </w:p>
    <w:p>
      <w:pPr>
        <w:pStyle w:val="TOC1"/>
        <w:tabs>
          <w:tab w:val="right" w:leader="dot" w:pos="8306"/>
        </w:tabs>
      </w:pPr>
      <w:hyperlink w:anchor="_Toc10635" w:history="1">
        <w:r>
          <w:rPr>
            <w:rFonts w:ascii="仿宋" w:eastAsia="仿宋" w:hAnsi="仿宋" w:cs="仿宋" w:hint="eastAsia"/>
            <w:lang w:eastAsia="zh-CN"/>
          </w:rPr>
          <w:t>一、豪华客车项目文档管理</w:t>
        </w:r>
        <w:r>
          <w:tab/>
        </w:r>
        <w:r>
          <w:fldChar w:fldCharType="begin"/>
        </w:r>
        <w:r>
          <w:instrText xml:space="preserve"> PAGEREF _Toc10635 \h </w:instrText>
        </w:r>
        <w:r>
          <w:fldChar w:fldCharType="separate"/>
        </w:r>
        <w:r>
          <w:t>3</w:t>
        </w:r>
        <w:r>
          <w:fldChar w:fldCharType="end"/>
        </w:r>
      </w:hyperlink>
    </w:p>
    <w:p>
      <w:pPr>
        <w:pStyle w:val="TOC2"/>
        <w:tabs>
          <w:tab w:val="right" w:leader="dot" w:pos="8306"/>
        </w:tabs>
      </w:pPr>
      <w:hyperlink w:anchor="_Toc23149" w:history="1">
        <w:r>
          <w:rPr>
            <w:rFonts w:ascii="仿宋" w:eastAsia="仿宋" w:hAnsi="仿宋" w:cs="仿宋" w:hint="eastAsia"/>
            <w:lang w:eastAsia="zh-CN"/>
          </w:rPr>
          <w:t>(一)、文档编制与审查</w:t>
        </w:r>
        <w:r>
          <w:tab/>
        </w:r>
        <w:r>
          <w:fldChar w:fldCharType="begin"/>
        </w:r>
        <w:r>
          <w:instrText xml:space="preserve"> PAGEREF _Toc23149 \h </w:instrText>
        </w:r>
        <w:r>
          <w:fldChar w:fldCharType="separate"/>
        </w:r>
        <w:r>
          <w:t>3</w:t>
        </w:r>
        <w:r>
          <w:fldChar w:fldCharType="end"/>
        </w:r>
      </w:hyperlink>
    </w:p>
    <w:p>
      <w:pPr>
        <w:pStyle w:val="TOC2"/>
        <w:tabs>
          <w:tab w:val="right" w:leader="dot" w:pos="8306"/>
        </w:tabs>
      </w:pPr>
      <w:hyperlink w:anchor="_Toc16266" w:history="1">
        <w:r>
          <w:rPr>
            <w:rFonts w:ascii="仿宋" w:eastAsia="仿宋" w:hAnsi="仿宋" w:cs="仿宋" w:hint="eastAsia"/>
            <w:lang w:eastAsia="zh-CN"/>
          </w:rPr>
          <w:t>(二)、文档发布与分发</w:t>
        </w:r>
        <w:r>
          <w:tab/>
        </w:r>
        <w:r>
          <w:fldChar w:fldCharType="begin"/>
        </w:r>
        <w:r>
          <w:instrText xml:space="preserve"> PAGEREF _Toc16266 \h </w:instrText>
        </w:r>
        <w:r>
          <w:fldChar w:fldCharType="separate"/>
        </w:r>
        <w:r>
          <w:t>4</w:t>
        </w:r>
        <w:r>
          <w:fldChar w:fldCharType="end"/>
        </w:r>
      </w:hyperlink>
    </w:p>
    <w:p>
      <w:pPr>
        <w:pStyle w:val="TOC2"/>
        <w:tabs>
          <w:tab w:val="right" w:leader="dot" w:pos="8306"/>
        </w:tabs>
      </w:pPr>
      <w:hyperlink w:anchor="_Toc32602" w:history="1">
        <w:r>
          <w:rPr>
            <w:rFonts w:ascii="仿宋" w:eastAsia="仿宋" w:hAnsi="仿宋" w:cs="仿宋" w:hint="eastAsia"/>
            <w:lang w:eastAsia="zh-CN"/>
          </w:rPr>
          <w:t>(三)、文档存档与归档</w:t>
        </w:r>
        <w:r>
          <w:tab/>
        </w:r>
        <w:r>
          <w:fldChar w:fldCharType="begin"/>
        </w:r>
        <w:r>
          <w:instrText xml:space="preserve"> PAGEREF _Toc32602 \h </w:instrText>
        </w:r>
        <w:r>
          <w:fldChar w:fldCharType="separate"/>
        </w:r>
        <w:r>
          <w:t>5</w:t>
        </w:r>
        <w:r>
          <w:fldChar w:fldCharType="end"/>
        </w:r>
      </w:hyperlink>
    </w:p>
    <w:p>
      <w:pPr>
        <w:pStyle w:val="TOC1"/>
        <w:tabs>
          <w:tab w:val="right" w:leader="dot" w:pos="8306"/>
        </w:tabs>
      </w:pPr>
      <w:hyperlink w:anchor="_Toc12066" w:history="1">
        <w:r>
          <w:rPr>
            <w:rFonts w:ascii="仿宋" w:eastAsia="仿宋" w:hAnsi="仿宋" w:cs="仿宋" w:hint="eastAsia"/>
            <w:lang w:eastAsia="zh-CN"/>
          </w:rPr>
          <w:t>二、市场分析、调研</w:t>
        </w:r>
        <w:r>
          <w:tab/>
        </w:r>
        <w:r>
          <w:fldChar w:fldCharType="begin"/>
        </w:r>
        <w:r>
          <w:instrText xml:space="preserve"> PAGEREF _Toc12066 \h </w:instrText>
        </w:r>
        <w:r>
          <w:fldChar w:fldCharType="separate"/>
        </w:r>
        <w:r>
          <w:t>6</w:t>
        </w:r>
        <w:r>
          <w:fldChar w:fldCharType="end"/>
        </w:r>
      </w:hyperlink>
    </w:p>
    <w:p>
      <w:pPr>
        <w:pStyle w:val="TOC2"/>
        <w:tabs>
          <w:tab w:val="right" w:leader="dot" w:pos="8306"/>
        </w:tabs>
      </w:pPr>
      <w:hyperlink w:anchor="_Toc23566" w:history="1">
        <w:r>
          <w:rPr>
            <w:rFonts w:ascii="仿宋" w:eastAsia="仿宋" w:hAnsi="仿宋" w:cs="仿宋" w:hint="eastAsia"/>
            <w:lang w:eastAsia="zh-CN"/>
          </w:rPr>
          <w:t>(一)、豪华客车行业分析</w:t>
        </w:r>
        <w:r>
          <w:tab/>
        </w:r>
        <w:r>
          <w:fldChar w:fldCharType="begin"/>
        </w:r>
        <w:r>
          <w:instrText xml:space="preserve"> PAGEREF _Toc23566 \h </w:instrText>
        </w:r>
        <w:r>
          <w:fldChar w:fldCharType="separate"/>
        </w:r>
        <w:r>
          <w:t>6</w:t>
        </w:r>
        <w:r>
          <w:fldChar w:fldCharType="end"/>
        </w:r>
      </w:hyperlink>
    </w:p>
    <w:p>
      <w:pPr>
        <w:pStyle w:val="TOC2"/>
        <w:tabs>
          <w:tab w:val="right" w:leader="dot" w:pos="8306"/>
        </w:tabs>
      </w:pPr>
      <w:hyperlink w:anchor="_Toc17074" w:history="1">
        <w:r>
          <w:rPr>
            <w:rFonts w:ascii="仿宋" w:eastAsia="仿宋" w:hAnsi="仿宋" w:cs="仿宋" w:hint="eastAsia"/>
            <w:lang w:eastAsia="zh-CN"/>
          </w:rPr>
          <w:t>(二)、豪华客车市场分析预测</w:t>
        </w:r>
        <w:r>
          <w:tab/>
        </w:r>
        <w:r>
          <w:fldChar w:fldCharType="begin"/>
        </w:r>
        <w:r>
          <w:instrText xml:space="preserve"> PAGEREF _Toc17074 \h </w:instrText>
        </w:r>
        <w:r>
          <w:fldChar w:fldCharType="separate"/>
        </w:r>
        <w:r>
          <w:t>7</w:t>
        </w:r>
        <w:r>
          <w:fldChar w:fldCharType="end"/>
        </w:r>
      </w:hyperlink>
    </w:p>
    <w:p>
      <w:pPr>
        <w:pStyle w:val="TOC1"/>
        <w:tabs>
          <w:tab w:val="right" w:leader="dot" w:pos="8306"/>
        </w:tabs>
      </w:pPr>
      <w:hyperlink w:anchor="_Toc8189" w:history="1">
        <w:r>
          <w:rPr>
            <w:rFonts w:ascii="仿宋" w:eastAsia="仿宋" w:hAnsi="仿宋" w:cs="仿宋" w:hint="eastAsia"/>
            <w:lang w:eastAsia="zh-CN"/>
          </w:rPr>
          <w:t>三、豪华客车项目选址可行性分析</w:t>
        </w:r>
        <w:r>
          <w:tab/>
        </w:r>
        <w:r>
          <w:fldChar w:fldCharType="begin"/>
        </w:r>
        <w:r>
          <w:instrText xml:space="preserve"> PAGEREF _Toc8189 \h </w:instrText>
        </w:r>
        <w:r>
          <w:fldChar w:fldCharType="separate"/>
        </w:r>
        <w:r>
          <w:t>8</w:t>
        </w:r>
        <w:r>
          <w:fldChar w:fldCharType="end"/>
        </w:r>
      </w:hyperlink>
    </w:p>
    <w:p>
      <w:pPr>
        <w:pStyle w:val="TOC2"/>
        <w:tabs>
          <w:tab w:val="right" w:leader="dot" w:pos="8306"/>
        </w:tabs>
      </w:pPr>
      <w:hyperlink w:anchor="_Toc2081" w:history="1">
        <w:r>
          <w:rPr>
            <w:rFonts w:ascii="仿宋" w:eastAsia="仿宋" w:hAnsi="仿宋" w:cs="仿宋" w:hint="eastAsia"/>
            <w:lang w:eastAsia="zh-CN"/>
          </w:rPr>
          <w:t>(一)、豪华客车项目选址</w:t>
        </w:r>
        <w:r>
          <w:tab/>
        </w:r>
        <w:r>
          <w:fldChar w:fldCharType="begin"/>
        </w:r>
        <w:r>
          <w:instrText xml:space="preserve"> PAGEREF _Toc2081 \h </w:instrText>
        </w:r>
        <w:r>
          <w:fldChar w:fldCharType="separate"/>
        </w:r>
        <w:r>
          <w:t>8</w:t>
        </w:r>
        <w:r>
          <w:fldChar w:fldCharType="end"/>
        </w:r>
      </w:hyperlink>
    </w:p>
    <w:p>
      <w:pPr>
        <w:pStyle w:val="TOC2"/>
        <w:tabs>
          <w:tab w:val="right" w:leader="dot" w:pos="8306"/>
        </w:tabs>
      </w:pPr>
      <w:hyperlink w:anchor="_Toc29848" w:history="1">
        <w:r>
          <w:rPr>
            <w:rFonts w:ascii="仿宋" w:eastAsia="仿宋" w:hAnsi="仿宋" w:cs="仿宋" w:hint="eastAsia"/>
            <w:lang w:eastAsia="zh-CN"/>
          </w:rPr>
          <w:t>(二)、用地控制指标</w:t>
        </w:r>
        <w:r>
          <w:tab/>
        </w:r>
        <w:r>
          <w:fldChar w:fldCharType="begin"/>
        </w:r>
        <w:r>
          <w:instrText xml:space="preserve"> PAGEREF _Toc29848 \h </w:instrText>
        </w:r>
        <w:r>
          <w:fldChar w:fldCharType="separate"/>
        </w:r>
        <w:r>
          <w:t>8</w:t>
        </w:r>
        <w:r>
          <w:fldChar w:fldCharType="end"/>
        </w:r>
      </w:hyperlink>
    </w:p>
    <w:p>
      <w:pPr>
        <w:pStyle w:val="TOC2"/>
        <w:tabs>
          <w:tab w:val="right" w:leader="dot" w:pos="8306"/>
        </w:tabs>
      </w:pPr>
      <w:hyperlink w:anchor="_Toc4540" w:history="1">
        <w:r>
          <w:rPr>
            <w:rFonts w:ascii="仿宋" w:eastAsia="仿宋" w:hAnsi="仿宋" w:cs="仿宋" w:hint="eastAsia"/>
            <w:lang w:eastAsia="zh-CN"/>
          </w:rPr>
          <w:t>(三)、节约用地措施</w:t>
        </w:r>
        <w:r>
          <w:tab/>
        </w:r>
        <w:r>
          <w:fldChar w:fldCharType="begin"/>
        </w:r>
        <w:r>
          <w:instrText xml:space="preserve"> PAGEREF _Toc4540 \h </w:instrText>
        </w:r>
        <w:r>
          <w:fldChar w:fldCharType="separate"/>
        </w:r>
        <w:r>
          <w:t>10</w:t>
        </w:r>
        <w:r>
          <w:fldChar w:fldCharType="end"/>
        </w:r>
      </w:hyperlink>
    </w:p>
    <w:p>
      <w:pPr>
        <w:pStyle w:val="TOC2"/>
        <w:tabs>
          <w:tab w:val="right" w:leader="dot" w:pos="8306"/>
        </w:tabs>
      </w:pPr>
      <w:hyperlink w:anchor="_Toc24360" w:history="1">
        <w:r>
          <w:rPr>
            <w:rFonts w:ascii="仿宋" w:eastAsia="仿宋" w:hAnsi="仿宋" w:cs="仿宋" w:hint="eastAsia"/>
            <w:lang w:eastAsia="zh-CN"/>
          </w:rPr>
          <w:t>(四)、总图布置方案</w:t>
        </w:r>
        <w:r>
          <w:tab/>
        </w:r>
        <w:r>
          <w:fldChar w:fldCharType="begin"/>
        </w:r>
        <w:r>
          <w:instrText xml:space="preserve"> PAGEREF _Toc24360 \h </w:instrText>
        </w:r>
        <w:r>
          <w:fldChar w:fldCharType="separate"/>
        </w:r>
        <w:r>
          <w:t>11</w:t>
        </w:r>
        <w:r>
          <w:fldChar w:fldCharType="end"/>
        </w:r>
      </w:hyperlink>
    </w:p>
    <w:p>
      <w:pPr>
        <w:pStyle w:val="TOC2"/>
        <w:tabs>
          <w:tab w:val="right" w:leader="dot" w:pos="8306"/>
        </w:tabs>
      </w:pPr>
      <w:hyperlink w:anchor="_Toc25358" w:history="1">
        <w:r>
          <w:rPr>
            <w:rFonts w:ascii="仿宋" w:eastAsia="仿宋" w:hAnsi="仿宋" w:cs="仿宋" w:hint="eastAsia"/>
            <w:lang w:eastAsia="zh-CN"/>
          </w:rPr>
          <w:t>(五)、选址综合评价</w:t>
        </w:r>
        <w:r>
          <w:tab/>
        </w:r>
        <w:r>
          <w:fldChar w:fldCharType="begin"/>
        </w:r>
        <w:r>
          <w:instrText xml:space="preserve"> PAGEREF _Toc25358 \h </w:instrText>
        </w:r>
        <w:r>
          <w:fldChar w:fldCharType="separate"/>
        </w:r>
        <w:r>
          <w:t>12</w:t>
        </w:r>
        <w:r>
          <w:fldChar w:fldCharType="end"/>
        </w:r>
      </w:hyperlink>
    </w:p>
    <w:p>
      <w:pPr>
        <w:pStyle w:val="TOC1"/>
        <w:tabs>
          <w:tab w:val="right" w:leader="dot" w:pos="8306"/>
        </w:tabs>
      </w:pPr>
      <w:hyperlink w:anchor="_Toc17097" w:history="1">
        <w:r>
          <w:rPr>
            <w:rFonts w:ascii="仿宋" w:eastAsia="仿宋" w:hAnsi="仿宋" w:cs="仿宋" w:hint="eastAsia"/>
            <w:lang w:eastAsia="zh-CN"/>
          </w:rPr>
          <w:t>四、豪华客车项目可持续发展</w:t>
        </w:r>
        <w:r>
          <w:tab/>
        </w:r>
        <w:r>
          <w:fldChar w:fldCharType="begin"/>
        </w:r>
        <w:r>
          <w:instrText xml:space="preserve"> PAGEREF _Toc17097 \h </w:instrText>
        </w:r>
        <w:r>
          <w:fldChar w:fldCharType="separate"/>
        </w:r>
        <w:r>
          <w:t>13</w:t>
        </w:r>
        <w:r>
          <w:fldChar w:fldCharType="end"/>
        </w:r>
      </w:hyperlink>
    </w:p>
    <w:p>
      <w:pPr>
        <w:pStyle w:val="TOC2"/>
        <w:tabs>
          <w:tab w:val="right" w:leader="dot" w:pos="8306"/>
        </w:tabs>
      </w:pPr>
      <w:hyperlink w:anchor="_Toc4478" w:history="1">
        <w:r>
          <w:rPr>
            <w:rFonts w:ascii="仿宋" w:eastAsia="仿宋" w:hAnsi="仿宋" w:cs="仿宋" w:hint="eastAsia"/>
            <w:lang w:eastAsia="zh-CN"/>
          </w:rPr>
          <w:t>(一)、可持续战略与实践</w:t>
        </w:r>
        <w:r>
          <w:tab/>
        </w:r>
        <w:r>
          <w:fldChar w:fldCharType="begin"/>
        </w:r>
        <w:r>
          <w:instrText xml:space="preserve"> PAGEREF _Toc4478 \h </w:instrText>
        </w:r>
        <w:r>
          <w:fldChar w:fldCharType="separate"/>
        </w:r>
        <w:r>
          <w:t>13</w:t>
        </w:r>
        <w:r>
          <w:fldChar w:fldCharType="end"/>
        </w:r>
      </w:hyperlink>
    </w:p>
    <w:p>
      <w:pPr>
        <w:pStyle w:val="TOC2"/>
        <w:tabs>
          <w:tab w:val="right" w:leader="dot" w:pos="8306"/>
        </w:tabs>
      </w:pPr>
      <w:hyperlink w:anchor="_Toc2847" w:history="1">
        <w:r>
          <w:rPr>
            <w:rFonts w:ascii="仿宋" w:eastAsia="仿宋" w:hAnsi="仿宋" w:cs="仿宋" w:hint="eastAsia"/>
            <w:lang w:eastAsia="zh-CN"/>
          </w:rPr>
          <w:t>(二)、环保与社会责任</w:t>
        </w:r>
        <w:r>
          <w:tab/>
        </w:r>
        <w:r>
          <w:fldChar w:fldCharType="begin"/>
        </w:r>
        <w:r>
          <w:instrText xml:space="preserve"> PAGEREF _Toc2847 \h </w:instrText>
        </w:r>
        <w:r>
          <w:fldChar w:fldCharType="separate"/>
        </w:r>
        <w:r>
          <w:t>14</w:t>
        </w:r>
        <w:r>
          <w:fldChar w:fldCharType="end"/>
        </w:r>
      </w:hyperlink>
    </w:p>
    <w:p>
      <w:pPr>
        <w:pStyle w:val="TOC1"/>
        <w:tabs>
          <w:tab w:val="right" w:leader="dot" w:pos="8306"/>
        </w:tabs>
      </w:pPr>
      <w:hyperlink w:anchor="_Toc7850" w:history="1">
        <w:r>
          <w:rPr>
            <w:rFonts w:ascii="仿宋" w:eastAsia="仿宋" w:hAnsi="仿宋" w:cs="仿宋" w:hint="eastAsia"/>
            <w:lang w:eastAsia="zh-CN"/>
          </w:rPr>
          <w:t>五、豪华客车项目土建工程</w:t>
        </w:r>
        <w:r>
          <w:tab/>
        </w:r>
        <w:r>
          <w:fldChar w:fldCharType="begin"/>
        </w:r>
        <w:r>
          <w:instrText xml:space="preserve"> PAGEREF _Toc7850 \h </w:instrText>
        </w:r>
        <w:r>
          <w:fldChar w:fldCharType="separate"/>
        </w:r>
        <w:r>
          <w:t>15</w:t>
        </w:r>
        <w:r>
          <w:fldChar w:fldCharType="end"/>
        </w:r>
      </w:hyperlink>
    </w:p>
    <w:p>
      <w:pPr>
        <w:pStyle w:val="TOC2"/>
        <w:tabs>
          <w:tab w:val="right" w:leader="dot" w:pos="8306"/>
        </w:tabs>
      </w:pPr>
      <w:hyperlink w:anchor="_Toc3503" w:history="1">
        <w:r>
          <w:rPr>
            <w:rFonts w:ascii="仿宋" w:eastAsia="仿宋" w:hAnsi="仿宋" w:cs="仿宋" w:hint="eastAsia"/>
            <w:lang w:eastAsia="zh-CN"/>
          </w:rPr>
          <w:t>(一)、建筑工程设计原则</w:t>
        </w:r>
        <w:r>
          <w:tab/>
        </w:r>
        <w:r>
          <w:fldChar w:fldCharType="begin"/>
        </w:r>
        <w:r>
          <w:instrText xml:space="preserve"> PAGEREF _Toc3503 \h </w:instrText>
        </w:r>
        <w:r>
          <w:fldChar w:fldCharType="separate"/>
        </w:r>
        <w:r>
          <w:t>15</w:t>
        </w:r>
        <w:r>
          <w:fldChar w:fldCharType="end"/>
        </w:r>
      </w:hyperlink>
    </w:p>
    <w:p>
      <w:pPr>
        <w:pStyle w:val="TOC2"/>
        <w:tabs>
          <w:tab w:val="right" w:leader="dot" w:pos="8306"/>
        </w:tabs>
      </w:pPr>
      <w:hyperlink w:anchor="_Toc736" w:history="1">
        <w:r>
          <w:rPr>
            <w:rFonts w:ascii="仿宋" w:eastAsia="仿宋" w:hAnsi="仿宋" w:cs="仿宋" w:hint="eastAsia"/>
            <w:lang w:eastAsia="zh-CN"/>
          </w:rPr>
          <w:t>(二)、土建工程设计年限及安全等级</w:t>
        </w:r>
        <w:r>
          <w:tab/>
        </w:r>
        <w:r>
          <w:fldChar w:fldCharType="begin"/>
        </w:r>
        <w:r>
          <w:instrText xml:space="preserve"> PAGEREF _Toc736 \h </w:instrText>
        </w:r>
        <w:r>
          <w:fldChar w:fldCharType="separate"/>
        </w:r>
        <w:r>
          <w:t>16</w:t>
        </w:r>
        <w:r>
          <w:fldChar w:fldCharType="end"/>
        </w:r>
      </w:hyperlink>
    </w:p>
    <w:p>
      <w:pPr>
        <w:pStyle w:val="TOC2"/>
        <w:tabs>
          <w:tab w:val="right" w:leader="dot" w:pos="8306"/>
        </w:tabs>
      </w:pPr>
      <w:hyperlink w:anchor="_Toc24324" w:history="1">
        <w:r>
          <w:rPr>
            <w:rFonts w:ascii="仿宋" w:eastAsia="仿宋" w:hAnsi="仿宋" w:cs="仿宋" w:hint="eastAsia"/>
            <w:lang w:eastAsia="zh-CN"/>
          </w:rPr>
          <w:t>(三)、建筑工程设计总体要求</w:t>
        </w:r>
        <w:r>
          <w:tab/>
        </w:r>
        <w:r>
          <w:fldChar w:fldCharType="begin"/>
        </w:r>
        <w:r>
          <w:instrText xml:space="preserve"> PAGEREF _Toc24324 \h </w:instrText>
        </w:r>
        <w:r>
          <w:fldChar w:fldCharType="separate"/>
        </w:r>
        <w:r>
          <w:t>17</w:t>
        </w:r>
        <w:r>
          <w:fldChar w:fldCharType="end"/>
        </w:r>
      </w:hyperlink>
    </w:p>
    <w:p>
      <w:pPr>
        <w:pStyle w:val="TOC2"/>
        <w:tabs>
          <w:tab w:val="right" w:leader="dot" w:pos="8306"/>
        </w:tabs>
      </w:pPr>
      <w:hyperlink w:anchor="_Toc20516" w:history="1">
        <w:r>
          <w:rPr>
            <w:rFonts w:ascii="仿宋" w:eastAsia="仿宋" w:hAnsi="仿宋" w:cs="仿宋" w:hint="eastAsia"/>
            <w:lang w:eastAsia="zh-CN"/>
          </w:rPr>
          <w:t>(四)、土建工程建设指标</w:t>
        </w:r>
        <w:r>
          <w:tab/>
        </w:r>
        <w:r>
          <w:fldChar w:fldCharType="begin"/>
        </w:r>
        <w:r>
          <w:instrText xml:space="preserve"> PAGEREF _Toc20516 \h </w:instrText>
        </w:r>
        <w:r>
          <w:fldChar w:fldCharType="separate"/>
        </w:r>
        <w:r>
          <w:t>18</w:t>
        </w:r>
        <w:r>
          <w:fldChar w:fldCharType="end"/>
        </w:r>
      </w:hyperlink>
    </w:p>
    <w:p>
      <w:pPr>
        <w:pStyle w:val="TOC1"/>
        <w:tabs>
          <w:tab w:val="right" w:leader="dot" w:pos="8306"/>
        </w:tabs>
      </w:pPr>
      <w:hyperlink w:anchor="_Toc525" w:history="1">
        <w:r>
          <w:rPr>
            <w:rFonts w:ascii="仿宋" w:eastAsia="仿宋" w:hAnsi="仿宋" w:cs="仿宋" w:hint="eastAsia"/>
            <w:lang w:eastAsia="zh-CN"/>
          </w:rPr>
          <w:t>六、产品规划分析</w:t>
        </w:r>
        <w:r>
          <w:tab/>
        </w:r>
        <w:r>
          <w:fldChar w:fldCharType="begin"/>
        </w:r>
        <w:r>
          <w:instrText xml:space="preserve"> PAGEREF _Toc525 \h </w:instrText>
        </w:r>
        <w:r>
          <w:fldChar w:fldCharType="separate"/>
        </w:r>
        <w:r>
          <w:t>18</w:t>
        </w:r>
        <w:r>
          <w:fldChar w:fldCharType="end"/>
        </w:r>
      </w:hyperlink>
    </w:p>
    <w:p>
      <w:pPr>
        <w:pStyle w:val="TOC2"/>
        <w:tabs>
          <w:tab w:val="right" w:leader="dot" w:pos="8306"/>
        </w:tabs>
      </w:pPr>
      <w:hyperlink w:anchor="_Toc23205" w:history="1">
        <w:r>
          <w:rPr>
            <w:rFonts w:ascii="仿宋" w:eastAsia="仿宋" w:hAnsi="仿宋" w:cs="仿宋" w:hint="eastAsia"/>
            <w:lang w:eastAsia="zh-CN"/>
          </w:rPr>
          <w:t>(一)、产品规划</w:t>
        </w:r>
        <w:r>
          <w:tab/>
        </w:r>
        <w:r>
          <w:fldChar w:fldCharType="begin"/>
        </w:r>
        <w:r>
          <w:instrText xml:space="preserve"> PAGEREF _Toc23205 \h </w:instrText>
        </w:r>
        <w:r>
          <w:fldChar w:fldCharType="separate"/>
        </w:r>
        <w:r>
          <w:t>18</w:t>
        </w:r>
        <w:r>
          <w:fldChar w:fldCharType="end"/>
        </w:r>
      </w:hyperlink>
    </w:p>
    <w:p>
      <w:pPr>
        <w:pStyle w:val="TOC2"/>
        <w:tabs>
          <w:tab w:val="right" w:leader="dot" w:pos="8306"/>
        </w:tabs>
      </w:pPr>
      <w:hyperlink w:anchor="_Toc19285" w:history="1">
        <w:r>
          <w:rPr>
            <w:rFonts w:ascii="仿宋" w:eastAsia="仿宋" w:hAnsi="仿宋" w:cs="仿宋" w:hint="eastAsia"/>
            <w:lang w:eastAsia="zh-CN"/>
          </w:rPr>
          <w:t>(二)、建设规模</w:t>
        </w:r>
        <w:r>
          <w:tab/>
        </w:r>
        <w:r>
          <w:fldChar w:fldCharType="begin"/>
        </w:r>
        <w:r>
          <w:instrText xml:space="preserve"> PAGEREF _Toc19285 \h </w:instrText>
        </w:r>
        <w:r>
          <w:fldChar w:fldCharType="separate"/>
        </w:r>
        <w:r>
          <w:t>19</w:t>
        </w:r>
        <w:r>
          <w:fldChar w:fldCharType="end"/>
        </w:r>
      </w:hyperlink>
    </w:p>
    <w:p>
      <w:pPr>
        <w:pStyle w:val="TOC1"/>
        <w:tabs>
          <w:tab w:val="right" w:leader="dot" w:pos="8306"/>
        </w:tabs>
      </w:pPr>
      <w:hyperlink w:anchor="_Toc31116" w:history="1">
        <w:r>
          <w:rPr>
            <w:rFonts w:ascii="仿宋" w:eastAsia="仿宋" w:hAnsi="仿宋" w:cs="仿宋" w:hint="eastAsia"/>
            <w:lang w:eastAsia="zh-CN"/>
          </w:rPr>
          <w:t>七、生产安全保护</w:t>
        </w:r>
        <w:r>
          <w:tab/>
        </w:r>
        <w:r>
          <w:fldChar w:fldCharType="begin"/>
        </w:r>
        <w:r>
          <w:instrText xml:space="preserve"> PAGEREF _Toc31116 \h </w:instrText>
        </w:r>
        <w:r>
          <w:fldChar w:fldCharType="separate"/>
        </w:r>
        <w:r>
          <w:t>20</w:t>
        </w:r>
        <w:r>
          <w:fldChar w:fldCharType="end"/>
        </w:r>
      </w:hyperlink>
    </w:p>
    <w:p>
      <w:pPr>
        <w:pStyle w:val="TOC2"/>
        <w:tabs>
          <w:tab w:val="right" w:leader="dot" w:pos="8306"/>
        </w:tabs>
      </w:pPr>
      <w:hyperlink w:anchor="_Toc24320" w:history="1">
        <w:r>
          <w:rPr>
            <w:rFonts w:ascii="仿宋" w:eastAsia="仿宋" w:hAnsi="仿宋" w:cs="仿宋" w:hint="eastAsia"/>
            <w:lang w:eastAsia="zh-CN"/>
          </w:rPr>
          <w:t>(一)、消防安全</w:t>
        </w:r>
        <w:r>
          <w:tab/>
        </w:r>
        <w:r>
          <w:fldChar w:fldCharType="begin"/>
        </w:r>
        <w:r>
          <w:instrText xml:space="preserve"> PAGEREF _Toc24320 \h </w:instrText>
        </w:r>
        <w:r>
          <w:fldChar w:fldCharType="separate"/>
        </w:r>
        <w:r>
          <w:t>20</w:t>
        </w:r>
        <w:r>
          <w:fldChar w:fldCharType="end"/>
        </w:r>
      </w:hyperlink>
    </w:p>
    <w:p>
      <w:pPr>
        <w:pStyle w:val="TOC2"/>
        <w:tabs>
          <w:tab w:val="right" w:leader="dot" w:pos="8306"/>
        </w:tabs>
      </w:pPr>
      <w:hyperlink w:anchor="_Toc19336" w:history="1">
        <w:r>
          <w:rPr>
            <w:rFonts w:ascii="仿宋" w:eastAsia="仿宋" w:hAnsi="仿宋" w:cs="仿宋" w:hint="eastAsia"/>
            <w:lang w:eastAsia="zh-CN"/>
          </w:rPr>
          <w:t>(二)、防火防爆总图布置措施</w:t>
        </w:r>
        <w:r>
          <w:tab/>
        </w:r>
        <w:r>
          <w:fldChar w:fldCharType="begin"/>
        </w:r>
        <w:r>
          <w:instrText xml:space="preserve"> PAGEREF _Toc19336 \h </w:instrText>
        </w:r>
        <w:r>
          <w:fldChar w:fldCharType="separate"/>
        </w:r>
        <w:r>
          <w:t>21</w:t>
        </w:r>
        <w:r>
          <w:fldChar w:fldCharType="end"/>
        </w:r>
      </w:hyperlink>
    </w:p>
    <w:p>
      <w:pPr>
        <w:pStyle w:val="TOC2"/>
        <w:tabs>
          <w:tab w:val="right" w:leader="dot" w:pos="8306"/>
        </w:tabs>
      </w:pPr>
      <w:hyperlink w:anchor="_Toc10166" w:history="1">
        <w:r>
          <w:rPr>
            <w:rFonts w:ascii="仿宋" w:eastAsia="仿宋" w:hAnsi="仿宋" w:cs="仿宋" w:hint="eastAsia"/>
            <w:lang w:eastAsia="zh-CN"/>
          </w:rPr>
          <w:t>(三)、自然灾害防范措施</w:t>
        </w:r>
        <w:r>
          <w:tab/>
        </w:r>
        <w:r>
          <w:fldChar w:fldCharType="begin"/>
        </w:r>
        <w:r>
          <w:instrText xml:space="preserve"> PAGEREF _Toc10166 \h </w:instrText>
        </w:r>
        <w:r>
          <w:fldChar w:fldCharType="separate"/>
        </w:r>
        <w:r>
          <w:t>22</w:t>
        </w:r>
        <w:r>
          <w:fldChar w:fldCharType="end"/>
        </w:r>
      </w:hyperlink>
    </w:p>
    <w:p>
      <w:pPr>
        <w:pStyle w:val="TOC2"/>
        <w:tabs>
          <w:tab w:val="right" w:leader="dot" w:pos="8306"/>
        </w:tabs>
      </w:pPr>
      <w:hyperlink w:anchor="_Toc1162" w:history="1">
        <w:r>
          <w:rPr>
            <w:rFonts w:ascii="仿宋" w:eastAsia="仿宋" w:hAnsi="仿宋" w:cs="仿宋" w:hint="eastAsia"/>
            <w:lang w:eastAsia="zh-CN"/>
          </w:rPr>
          <w:t>(四)、安全色及安全标志使用要求</w:t>
        </w:r>
        <w:r>
          <w:tab/>
        </w:r>
        <w:r>
          <w:fldChar w:fldCharType="begin"/>
        </w:r>
        <w:r>
          <w:instrText xml:space="preserve"> PAGEREF _Toc1162 \h </w:instrText>
        </w:r>
        <w:r>
          <w:fldChar w:fldCharType="separate"/>
        </w:r>
        <w:r>
          <w:t>23</w:t>
        </w:r>
        <w:r>
          <w:fldChar w:fldCharType="end"/>
        </w:r>
      </w:hyperlink>
    </w:p>
    <w:p>
      <w:pPr>
        <w:pStyle w:val="TOC2"/>
        <w:tabs>
          <w:tab w:val="right" w:leader="dot" w:pos="8306"/>
        </w:tabs>
      </w:pPr>
      <w:hyperlink w:anchor="_Toc21986" w:history="1">
        <w:r>
          <w:rPr>
            <w:rFonts w:ascii="仿宋" w:eastAsia="仿宋" w:hAnsi="仿宋" w:cs="仿宋" w:hint="eastAsia"/>
            <w:lang w:eastAsia="zh-CN"/>
          </w:rPr>
          <w:t>(五)、防尘防毒措施</w:t>
        </w:r>
        <w:r>
          <w:tab/>
        </w:r>
        <w:r>
          <w:fldChar w:fldCharType="begin"/>
        </w:r>
        <w:r>
          <w:instrText xml:space="preserve"> PAGEREF _Toc21986 \h </w:instrText>
        </w:r>
        <w:r>
          <w:fldChar w:fldCharType="separate"/>
        </w:r>
        <w:r>
          <w:t>24</w:t>
        </w:r>
        <w:r>
          <w:fldChar w:fldCharType="end"/>
        </w:r>
      </w:hyperlink>
    </w:p>
    <w:p>
      <w:pPr>
        <w:pStyle w:val="TOC2"/>
        <w:tabs>
          <w:tab w:val="right" w:leader="dot" w:pos="8306"/>
        </w:tabs>
      </w:pPr>
      <w:hyperlink w:anchor="_Toc13963" w:history="1">
        <w:r>
          <w:rPr>
            <w:rFonts w:ascii="仿宋" w:eastAsia="仿宋" w:hAnsi="仿宋" w:cs="仿宋" w:hint="eastAsia"/>
            <w:lang w:eastAsia="zh-CN"/>
          </w:rPr>
          <w:t>(六)、防静电、触电防护及防雷措施</w:t>
        </w:r>
        <w:r>
          <w:tab/>
        </w:r>
        <w:r>
          <w:fldChar w:fldCharType="begin"/>
        </w:r>
        <w:r>
          <w:instrText xml:space="preserve"> PAGEREF _Toc13963 \h </w:instrText>
        </w:r>
        <w:r>
          <w:fldChar w:fldCharType="separate"/>
        </w:r>
        <w:r>
          <w:t>25</w:t>
        </w:r>
        <w:r>
          <w:fldChar w:fldCharType="end"/>
        </w:r>
      </w:hyperlink>
    </w:p>
    <w:p>
      <w:pPr>
        <w:pStyle w:val="TOC2"/>
        <w:tabs>
          <w:tab w:val="right" w:leader="dot" w:pos="8306"/>
        </w:tabs>
      </w:pPr>
      <w:hyperlink w:anchor="_Toc12785" w:history="1">
        <w:r>
          <w:rPr>
            <w:rFonts w:ascii="仿宋" w:eastAsia="仿宋" w:hAnsi="仿宋" w:cs="仿宋" w:hint="eastAsia"/>
            <w:lang w:eastAsia="zh-CN"/>
          </w:rPr>
          <w:t>(七)、机械设备安全保障措施</w:t>
        </w:r>
        <w:r>
          <w:tab/>
        </w:r>
        <w:r>
          <w:fldChar w:fldCharType="begin"/>
        </w:r>
        <w:r>
          <w:instrText xml:space="preserve"> PAGEREF _Toc12785 \h </w:instrText>
        </w:r>
        <w:r>
          <w:fldChar w:fldCharType="separate"/>
        </w:r>
        <w:r>
          <w:t>26</w:t>
        </w:r>
        <w:r>
          <w:fldChar w:fldCharType="end"/>
        </w:r>
      </w:hyperlink>
    </w:p>
    <w:p>
      <w:pPr>
        <w:pStyle w:val="TOC1"/>
        <w:tabs>
          <w:tab w:val="right" w:leader="dot" w:pos="8306"/>
        </w:tabs>
      </w:pPr>
      <w:hyperlink w:anchor="_Toc21840" w:history="1">
        <w:r>
          <w:rPr>
            <w:rFonts w:ascii="仿宋" w:eastAsia="仿宋" w:hAnsi="仿宋" w:cs="仿宋" w:hint="eastAsia"/>
            <w:lang w:eastAsia="zh-CN"/>
          </w:rPr>
          <w:t>八、豪华客车项目经营效益</w:t>
        </w:r>
        <w:r>
          <w:tab/>
        </w:r>
        <w:r>
          <w:fldChar w:fldCharType="begin"/>
        </w:r>
        <w:r>
          <w:instrText xml:space="preserve"> PAGEREF _Toc21840 \h </w:instrText>
        </w:r>
        <w:r>
          <w:fldChar w:fldCharType="separate"/>
        </w:r>
        <w:r>
          <w:t>28</w:t>
        </w:r>
        <w:r>
          <w:fldChar w:fldCharType="end"/>
        </w:r>
      </w:hyperlink>
    </w:p>
    <w:p>
      <w:pPr>
        <w:pStyle w:val="TOC2"/>
        <w:tabs>
          <w:tab w:val="right" w:leader="dot" w:pos="8306"/>
        </w:tabs>
      </w:pPr>
      <w:hyperlink w:anchor="_Toc8559" w:history="1">
        <w:r>
          <w:rPr>
            <w:rFonts w:ascii="仿宋" w:eastAsia="仿宋" w:hAnsi="仿宋" w:cs="仿宋" w:hint="eastAsia"/>
            <w:lang w:eastAsia="zh-CN"/>
          </w:rPr>
          <w:t>(一)、经济评价财务测算</w:t>
        </w:r>
        <w:r>
          <w:tab/>
        </w:r>
        <w:r>
          <w:fldChar w:fldCharType="begin"/>
        </w:r>
        <w:r>
          <w:instrText xml:space="preserve"> PAGEREF _Toc8559 \h </w:instrText>
        </w:r>
        <w:r>
          <w:fldChar w:fldCharType="separate"/>
        </w:r>
        <w:r>
          <w:t>28</w:t>
        </w:r>
        <w:r>
          <w:fldChar w:fldCharType="end"/>
        </w:r>
      </w:hyperlink>
    </w:p>
    <w:p>
      <w:pPr>
        <w:pStyle w:val="TOC2"/>
        <w:tabs>
          <w:tab w:val="right" w:leader="dot" w:pos="8306"/>
        </w:tabs>
      </w:pPr>
      <w:hyperlink w:anchor="_Toc30092" w:history="1">
        <w:r>
          <w:rPr>
            <w:rFonts w:ascii="仿宋" w:eastAsia="仿宋" w:hAnsi="仿宋" w:cs="仿宋" w:hint="eastAsia"/>
            <w:lang w:eastAsia="zh-CN"/>
          </w:rPr>
          <w:t>(二)、豪华客车项目盈利能力分析</w:t>
        </w:r>
        <w:r>
          <w:tab/>
        </w:r>
        <w:r>
          <w:fldChar w:fldCharType="begin"/>
        </w:r>
        <w:r>
          <w:instrText xml:space="preserve"> PAGEREF _Toc30092 \h </w:instrText>
        </w:r>
        <w:r>
          <w:fldChar w:fldCharType="separate"/>
        </w:r>
        <w:r>
          <w:t>29</w:t>
        </w:r>
        <w:r>
          <w:fldChar w:fldCharType="end"/>
        </w:r>
      </w:hyperlink>
    </w:p>
    <w:p>
      <w:pPr>
        <w:pStyle w:val="TOC1"/>
        <w:tabs>
          <w:tab w:val="right" w:leader="dot" w:pos="8306"/>
        </w:tabs>
      </w:pPr>
      <w:hyperlink w:anchor="_Toc32315" w:history="1">
        <w:r>
          <w:rPr>
            <w:rFonts w:ascii="仿宋" w:eastAsia="仿宋" w:hAnsi="仿宋" w:cs="仿宋" w:hint="eastAsia"/>
            <w:lang w:eastAsia="zh-CN"/>
          </w:rPr>
          <w:t>九、豪华客车项目创新与研发</w:t>
        </w:r>
        <w:r>
          <w:tab/>
        </w:r>
        <w:r>
          <w:fldChar w:fldCharType="begin"/>
        </w:r>
        <w:r>
          <w:instrText xml:space="preserve"> PAGEREF _Toc32315 \h </w:instrText>
        </w:r>
        <w:r>
          <w:fldChar w:fldCharType="separate"/>
        </w:r>
        <w:r>
          <w:t>30</w:t>
        </w:r>
        <w:r>
          <w:fldChar w:fldCharType="end"/>
        </w:r>
      </w:hyperlink>
    </w:p>
    <w:p>
      <w:pPr>
        <w:pStyle w:val="TOC2"/>
        <w:tabs>
          <w:tab w:val="right" w:leader="dot" w:pos="8306"/>
        </w:tabs>
      </w:pPr>
      <w:hyperlink w:anchor="_Toc2509" w:history="1">
        <w:r>
          <w:rPr>
            <w:rFonts w:ascii="仿宋" w:eastAsia="仿宋" w:hAnsi="仿宋" w:cs="仿宋" w:hint="eastAsia"/>
            <w:lang w:eastAsia="zh-CN"/>
          </w:rPr>
          <w:t>(一)、创新策略与方向</w:t>
        </w:r>
        <w:r>
          <w:tab/>
        </w:r>
        <w:r>
          <w:fldChar w:fldCharType="begin"/>
        </w:r>
        <w:r>
          <w:instrText xml:space="preserve"> PAGEREF _Toc2509 \h </w:instrText>
        </w:r>
        <w:r>
          <w:fldChar w:fldCharType="separate"/>
        </w:r>
        <w:r>
          <w:t>30</w:t>
        </w:r>
        <w:r>
          <w:fldChar w:fldCharType="end"/>
        </w:r>
      </w:hyperlink>
    </w:p>
    <w:p>
      <w:pPr>
        <w:pStyle w:val="TOC2"/>
        <w:tabs>
          <w:tab w:val="right" w:leader="dot" w:pos="8306"/>
        </w:tabs>
      </w:pPr>
      <w:hyperlink w:anchor="_Toc6182" w:history="1">
        <w:r>
          <w:rPr>
            <w:rFonts w:ascii="仿宋" w:eastAsia="仿宋" w:hAnsi="仿宋" w:cs="仿宋" w:hint="eastAsia"/>
            <w:lang w:eastAsia="zh-CN"/>
          </w:rPr>
          <w:t>(二)、研发规划与投入</w:t>
        </w:r>
        <w:r>
          <w:tab/>
        </w:r>
        <w:r>
          <w:fldChar w:fldCharType="begin"/>
        </w:r>
        <w:r>
          <w:instrText xml:space="preserve"> PAGEREF _Toc6182 \h </w:instrText>
        </w:r>
        <w:r>
          <w:fldChar w:fldCharType="separate"/>
        </w:r>
        <w:r>
          <w:t>31</w:t>
        </w:r>
        <w:r>
          <w:fldChar w:fldCharType="end"/>
        </w:r>
      </w:hyperlink>
    </w:p>
    <w:p>
      <w:pPr>
        <w:pStyle w:val="TOC1"/>
        <w:tabs>
          <w:tab w:val="right" w:leader="dot" w:pos="8306"/>
        </w:tabs>
      </w:pPr>
      <w:hyperlink w:anchor="_Toc13337" w:history="1">
        <w:r>
          <w:rPr>
            <w:rFonts w:ascii="仿宋" w:eastAsia="仿宋" w:hAnsi="仿宋" w:cs="仿宋" w:hint="eastAsia"/>
            <w:lang w:eastAsia="zh-CN"/>
          </w:rPr>
          <w:t>十、豪华客车项目财务管理</w:t>
        </w:r>
        <w:r>
          <w:tab/>
        </w:r>
        <w:r>
          <w:fldChar w:fldCharType="begin"/>
        </w:r>
        <w:r>
          <w:instrText xml:space="preserve"> PAGEREF _Toc13337 \h </w:instrText>
        </w:r>
        <w:r>
          <w:fldChar w:fldCharType="separate"/>
        </w:r>
        <w:r>
          <w:t>33</w:t>
        </w:r>
        <w:r>
          <w:fldChar w:fldCharType="end"/>
        </w:r>
      </w:hyperlink>
    </w:p>
    <w:p>
      <w:pPr>
        <w:pStyle w:val="TOC2"/>
        <w:tabs>
          <w:tab w:val="right" w:leader="dot" w:pos="8306"/>
        </w:tabs>
      </w:pPr>
      <w:hyperlink w:anchor="_Toc15545" w:history="1">
        <w:r>
          <w:rPr>
            <w:rFonts w:ascii="仿宋" w:eastAsia="仿宋" w:hAnsi="仿宋" w:cs="仿宋" w:hint="eastAsia"/>
            <w:lang w:eastAsia="zh-CN"/>
          </w:rPr>
          <w:t>(一)、资金需求大</w:t>
        </w:r>
        <w:r>
          <w:tab/>
        </w:r>
        <w:r>
          <w:fldChar w:fldCharType="begin"/>
        </w:r>
        <w:r>
          <w:instrText xml:space="preserve"> PAGEREF _Toc15545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28" w:history="1">
        <w:r>
          <w:rPr>
            <w:rFonts w:ascii="仿宋" w:eastAsia="仿宋" w:hAnsi="仿宋" w:cs="仿宋" w:hint="eastAsia"/>
            <w:lang w:eastAsia="zh-CN"/>
          </w:rPr>
          <w:t>(二)、研发周期长</w:t>
        </w:r>
        <w:r>
          <w:tab/>
        </w:r>
        <w:r>
          <w:fldChar w:fldCharType="begin"/>
        </w:r>
        <w:r>
          <w:instrText xml:space="preserve"> PAGEREF _Toc14628 \h </w:instrText>
        </w:r>
        <w:r>
          <w:fldChar w:fldCharType="separate"/>
        </w:r>
        <w:r>
          <w:t>34</w:t>
        </w:r>
        <w:r>
          <w:fldChar w:fldCharType="end"/>
        </w:r>
      </w:hyperlink>
    </w:p>
    <w:p>
      <w:pPr>
        <w:pStyle w:val="TOC2"/>
        <w:tabs>
          <w:tab w:val="right" w:leader="dot" w:pos="8306"/>
        </w:tabs>
      </w:pPr>
      <w:hyperlink w:anchor="_Toc15858" w:history="1">
        <w:r>
          <w:rPr>
            <w:rFonts w:ascii="仿宋" w:eastAsia="仿宋" w:hAnsi="仿宋" w:cs="仿宋" w:hint="eastAsia"/>
            <w:lang w:eastAsia="zh-CN"/>
          </w:rPr>
          <w:t>(三)、市场风险大</w:t>
        </w:r>
        <w:r>
          <w:tab/>
        </w:r>
        <w:r>
          <w:fldChar w:fldCharType="begin"/>
        </w:r>
        <w:r>
          <w:instrText xml:space="preserve"> PAGEREF _Toc15858 \h </w:instrText>
        </w:r>
        <w:r>
          <w:fldChar w:fldCharType="separate"/>
        </w:r>
        <w:r>
          <w:t>35</w:t>
        </w:r>
        <w:r>
          <w:fldChar w:fldCharType="end"/>
        </w:r>
      </w:hyperlink>
    </w:p>
    <w:p>
      <w:pPr>
        <w:pStyle w:val="TOC2"/>
        <w:tabs>
          <w:tab w:val="right" w:leader="dot" w:pos="8306"/>
        </w:tabs>
      </w:pPr>
      <w:hyperlink w:anchor="_Toc19077" w:history="1">
        <w:r>
          <w:rPr>
            <w:rFonts w:ascii="仿宋" w:eastAsia="仿宋" w:hAnsi="仿宋" w:cs="仿宋" w:hint="eastAsia"/>
            <w:lang w:eastAsia="zh-CN"/>
          </w:rPr>
          <w:t>(四)、利润率高</w:t>
        </w:r>
        <w:r>
          <w:tab/>
        </w:r>
        <w:r>
          <w:fldChar w:fldCharType="begin"/>
        </w:r>
        <w:r>
          <w:instrText xml:space="preserve"> PAGEREF _Toc19077 \h </w:instrText>
        </w:r>
        <w:r>
          <w:fldChar w:fldCharType="separate"/>
        </w:r>
        <w:r>
          <w:t>38</w:t>
        </w:r>
        <w:r>
          <w:fldChar w:fldCharType="end"/>
        </w:r>
      </w:hyperlink>
    </w:p>
    <w:p>
      <w:pPr>
        <w:pStyle w:val="TOC1"/>
        <w:tabs>
          <w:tab w:val="right" w:leader="dot" w:pos="8306"/>
        </w:tabs>
      </w:pPr>
      <w:hyperlink w:anchor="_Toc30786" w:history="1">
        <w:r>
          <w:rPr>
            <w:rFonts w:ascii="仿宋" w:eastAsia="仿宋" w:hAnsi="仿宋" w:cs="仿宋" w:hint="eastAsia"/>
            <w:lang w:eastAsia="zh-CN"/>
          </w:rPr>
          <w:t>十一、豪华客车项目人力资源管理</w:t>
        </w:r>
        <w:r>
          <w:tab/>
        </w:r>
        <w:r>
          <w:fldChar w:fldCharType="begin"/>
        </w:r>
        <w:r>
          <w:instrText xml:space="preserve"> PAGEREF _Toc30786 \h </w:instrText>
        </w:r>
        <w:r>
          <w:fldChar w:fldCharType="separate"/>
        </w:r>
        <w:r>
          <w:t>40</w:t>
        </w:r>
        <w:r>
          <w:fldChar w:fldCharType="end"/>
        </w:r>
      </w:hyperlink>
    </w:p>
    <w:p>
      <w:pPr>
        <w:pStyle w:val="TOC2"/>
        <w:tabs>
          <w:tab w:val="right" w:leader="dot" w:pos="8306"/>
        </w:tabs>
      </w:pPr>
      <w:hyperlink w:anchor="_Toc18268" w:history="1">
        <w:r>
          <w:rPr>
            <w:rFonts w:ascii="仿宋" w:eastAsia="仿宋" w:hAnsi="仿宋" w:cs="仿宋" w:hint="eastAsia"/>
            <w:lang w:eastAsia="zh-CN"/>
          </w:rPr>
          <w:t>(一)、建立健全的预算管理制度</w:t>
        </w:r>
        <w:r>
          <w:tab/>
        </w:r>
        <w:r>
          <w:fldChar w:fldCharType="begin"/>
        </w:r>
        <w:r>
          <w:instrText xml:space="preserve"> PAGEREF _Toc18268 \h </w:instrText>
        </w:r>
        <w:r>
          <w:fldChar w:fldCharType="separate"/>
        </w:r>
        <w:r>
          <w:t>40</w:t>
        </w:r>
        <w:r>
          <w:fldChar w:fldCharType="end"/>
        </w:r>
      </w:hyperlink>
    </w:p>
    <w:p>
      <w:pPr>
        <w:pStyle w:val="TOC2"/>
        <w:tabs>
          <w:tab w:val="right" w:leader="dot" w:pos="8306"/>
        </w:tabs>
      </w:pPr>
      <w:hyperlink w:anchor="_Toc6410" w:history="1">
        <w:r>
          <w:rPr>
            <w:rFonts w:ascii="仿宋" w:eastAsia="仿宋" w:hAnsi="仿宋" w:cs="仿宋" w:hint="eastAsia"/>
            <w:lang w:eastAsia="zh-CN"/>
          </w:rPr>
          <w:t>(二)、加强资金流动监控</w:t>
        </w:r>
        <w:r>
          <w:tab/>
        </w:r>
        <w:r>
          <w:fldChar w:fldCharType="begin"/>
        </w:r>
        <w:r>
          <w:instrText xml:space="preserve"> PAGEREF _Toc6410 \h </w:instrText>
        </w:r>
        <w:r>
          <w:fldChar w:fldCharType="separate"/>
        </w:r>
        <w:r>
          <w:t>41</w:t>
        </w:r>
        <w:r>
          <w:fldChar w:fldCharType="end"/>
        </w:r>
      </w:hyperlink>
    </w:p>
    <w:p>
      <w:pPr>
        <w:pStyle w:val="TOC2"/>
        <w:tabs>
          <w:tab w:val="right" w:leader="dot" w:pos="8306"/>
        </w:tabs>
      </w:pPr>
      <w:hyperlink w:anchor="_Toc20283" w:history="1">
        <w:r>
          <w:rPr>
            <w:rFonts w:ascii="仿宋" w:eastAsia="仿宋" w:hAnsi="仿宋" w:cs="仿宋" w:hint="eastAsia"/>
            <w:lang w:eastAsia="zh-CN"/>
          </w:rPr>
          <w:t>(三)、制定完善的风险控制机制</w:t>
        </w:r>
        <w:r>
          <w:tab/>
        </w:r>
        <w:r>
          <w:fldChar w:fldCharType="begin"/>
        </w:r>
        <w:r>
          <w:instrText xml:space="preserve"> PAGEREF _Toc20283 \h </w:instrText>
        </w:r>
        <w:r>
          <w:fldChar w:fldCharType="separate"/>
        </w:r>
        <w:r>
          <w:t>42</w:t>
        </w:r>
        <w:r>
          <w:fldChar w:fldCharType="end"/>
        </w:r>
      </w:hyperlink>
    </w:p>
    <w:p>
      <w:pPr>
        <w:pStyle w:val="TOC2"/>
        <w:tabs>
          <w:tab w:val="right" w:leader="dot" w:pos="8306"/>
        </w:tabs>
      </w:pPr>
      <w:hyperlink w:anchor="_Toc12903" w:history="1">
        <w:r>
          <w:rPr>
            <w:rFonts w:ascii="仿宋" w:eastAsia="仿宋" w:hAnsi="仿宋" w:cs="仿宋" w:hint="eastAsia"/>
            <w:lang w:eastAsia="zh-CN"/>
          </w:rPr>
          <w:t>(四)、优化成本管理</w:t>
        </w:r>
        <w:r>
          <w:tab/>
        </w:r>
        <w:r>
          <w:fldChar w:fldCharType="begin"/>
        </w:r>
        <w:r>
          <w:instrText xml:space="preserve"> PAGEREF _Toc12903 \h </w:instrText>
        </w:r>
        <w:r>
          <w:fldChar w:fldCharType="separate"/>
        </w:r>
        <w:r>
          <w:t>44</w:t>
        </w:r>
        <w:r>
          <w:fldChar w:fldCharType="end"/>
        </w:r>
      </w:hyperlink>
    </w:p>
    <w:p>
      <w:pPr>
        <w:pStyle w:val="TOC1"/>
        <w:tabs>
          <w:tab w:val="right" w:leader="dot" w:pos="8306"/>
        </w:tabs>
      </w:pPr>
      <w:hyperlink w:anchor="_Toc8537" w:history="1">
        <w:r>
          <w:rPr>
            <w:rFonts w:ascii="仿宋" w:eastAsia="仿宋" w:hAnsi="仿宋" w:cs="仿宋" w:hint="eastAsia"/>
            <w:lang w:eastAsia="zh-CN"/>
          </w:rPr>
          <w:t>十二、豪华客车项目社会影响</w:t>
        </w:r>
        <w:r>
          <w:tab/>
        </w:r>
        <w:r>
          <w:fldChar w:fldCharType="begin"/>
        </w:r>
        <w:r>
          <w:instrText xml:space="preserve"> PAGEREF _Toc8537 \h </w:instrText>
        </w:r>
        <w:r>
          <w:fldChar w:fldCharType="separate"/>
        </w:r>
        <w:r>
          <w:t>45</w:t>
        </w:r>
        <w:r>
          <w:fldChar w:fldCharType="end"/>
        </w:r>
      </w:hyperlink>
    </w:p>
    <w:p>
      <w:pPr>
        <w:pStyle w:val="TOC2"/>
        <w:tabs>
          <w:tab w:val="right" w:leader="dot" w:pos="8306"/>
        </w:tabs>
      </w:pPr>
      <w:hyperlink w:anchor="_Toc19990" w:history="1">
        <w:r>
          <w:rPr>
            <w:rFonts w:ascii="仿宋" w:eastAsia="仿宋" w:hAnsi="仿宋" w:cs="仿宋" w:hint="eastAsia"/>
            <w:lang w:eastAsia="zh-CN"/>
          </w:rPr>
          <w:t>(一)、社会责任与义务</w:t>
        </w:r>
        <w:r>
          <w:tab/>
        </w:r>
        <w:r>
          <w:fldChar w:fldCharType="begin"/>
        </w:r>
        <w:r>
          <w:instrText xml:space="preserve"> PAGEREF _Toc19990 \h </w:instrText>
        </w:r>
        <w:r>
          <w:fldChar w:fldCharType="separate"/>
        </w:r>
        <w:r>
          <w:t>45</w:t>
        </w:r>
        <w:r>
          <w:fldChar w:fldCharType="end"/>
        </w:r>
      </w:hyperlink>
    </w:p>
    <w:p>
      <w:pPr>
        <w:pStyle w:val="TOC2"/>
        <w:tabs>
          <w:tab w:val="right" w:leader="dot" w:pos="8306"/>
        </w:tabs>
      </w:pPr>
      <w:hyperlink w:anchor="_Toc21075" w:history="1">
        <w:r>
          <w:rPr>
            <w:rFonts w:ascii="仿宋" w:eastAsia="仿宋" w:hAnsi="仿宋" w:cs="仿宋" w:hint="eastAsia"/>
            <w:lang w:eastAsia="zh-CN"/>
          </w:rPr>
          <w:t>(二)、社会参与与沟通</w:t>
        </w:r>
        <w:r>
          <w:tab/>
        </w:r>
        <w:r>
          <w:fldChar w:fldCharType="begin"/>
        </w:r>
        <w:r>
          <w:instrText xml:space="preserve"> PAGEREF _Toc21075 \h </w:instrText>
        </w:r>
        <w:r>
          <w:fldChar w:fldCharType="separate"/>
        </w:r>
        <w:r>
          <w:t>46</w:t>
        </w:r>
        <w:r>
          <w:fldChar w:fldCharType="end"/>
        </w:r>
      </w:hyperlink>
    </w:p>
    <w:p>
      <w:pPr>
        <w:pStyle w:val="TOC1"/>
        <w:tabs>
          <w:tab w:val="right" w:leader="dot" w:pos="8306"/>
        </w:tabs>
      </w:pPr>
      <w:hyperlink w:anchor="_Toc176" w:history="1">
        <w:r>
          <w:rPr>
            <w:rFonts w:ascii="仿宋" w:eastAsia="仿宋" w:hAnsi="仿宋" w:cs="仿宋" w:hint="eastAsia"/>
            <w:lang w:eastAsia="zh-CN"/>
          </w:rPr>
          <w:t>十三、供应链管理</w:t>
        </w:r>
        <w:r>
          <w:tab/>
        </w:r>
        <w:r>
          <w:fldChar w:fldCharType="begin"/>
        </w:r>
        <w:r>
          <w:instrText xml:space="preserve"> PAGEREF _Toc176 \h </w:instrText>
        </w:r>
        <w:r>
          <w:fldChar w:fldCharType="separate"/>
        </w:r>
        <w:r>
          <w:t>47</w:t>
        </w:r>
        <w:r>
          <w:fldChar w:fldCharType="end"/>
        </w:r>
      </w:hyperlink>
    </w:p>
    <w:p>
      <w:pPr>
        <w:pStyle w:val="TOC2"/>
        <w:tabs>
          <w:tab w:val="right" w:leader="dot" w:pos="8306"/>
        </w:tabs>
      </w:pPr>
      <w:hyperlink w:anchor="_Toc29963" w:history="1">
        <w:r>
          <w:rPr>
            <w:rFonts w:ascii="仿宋" w:eastAsia="仿宋" w:hAnsi="仿宋" w:cs="仿宋" w:hint="eastAsia"/>
            <w:lang w:eastAsia="zh-CN"/>
          </w:rPr>
          <w:t>(一)、供应链战略规划</w:t>
        </w:r>
        <w:r>
          <w:tab/>
        </w:r>
        <w:r>
          <w:fldChar w:fldCharType="begin"/>
        </w:r>
        <w:r>
          <w:instrText xml:space="preserve"> PAGEREF _Toc29963 \h </w:instrText>
        </w:r>
        <w:r>
          <w:fldChar w:fldCharType="separate"/>
        </w:r>
        <w:r>
          <w:t>47</w:t>
        </w:r>
        <w:r>
          <w:fldChar w:fldCharType="end"/>
        </w:r>
      </w:hyperlink>
    </w:p>
    <w:p>
      <w:pPr>
        <w:pStyle w:val="TOC2"/>
        <w:tabs>
          <w:tab w:val="right" w:leader="dot" w:pos="8306"/>
        </w:tabs>
      </w:pPr>
      <w:hyperlink w:anchor="_Toc18323" w:history="1">
        <w:r>
          <w:rPr>
            <w:rFonts w:ascii="仿宋" w:eastAsia="仿宋" w:hAnsi="仿宋" w:cs="仿宋" w:hint="eastAsia"/>
            <w:lang w:eastAsia="zh-CN"/>
          </w:rPr>
          <w:t>(二)、供应商选择与合作</w:t>
        </w:r>
        <w:r>
          <w:tab/>
        </w:r>
        <w:r>
          <w:fldChar w:fldCharType="begin"/>
        </w:r>
        <w:r>
          <w:instrText xml:space="preserve"> PAGEREF _Toc18323 \h </w:instrText>
        </w:r>
        <w:r>
          <w:fldChar w:fldCharType="separate"/>
        </w:r>
        <w:r>
          <w:t>48</w:t>
        </w:r>
        <w:r>
          <w:fldChar w:fldCharType="end"/>
        </w:r>
      </w:hyperlink>
    </w:p>
    <w:p>
      <w:pPr>
        <w:pStyle w:val="TOC2"/>
        <w:tabs>
          <w:tab w:val="right" w:leader="dot" w:pos="8306"/>
        </w:tabs>
      </w:pPr>
      <w:hyperlink w:anchor="_Toc30563" w:history="1">
        <w:r>
          <w:rPr>
            <w:rFonts w:ascii="仿宋" w:eastAsia="仿宋" w:hAnsi="仿宋" w:cs="仿宋" w:hint="eastAsia"/>
            <w:lang w:eastAsia="zh-CN"/>
          </w:rPr>
          <w:t>(三)、物流与库存管理</w:t>
        </w:r>
        <w:r>
          <w:tab/>
        </w:r>
        <w:r>
          <w:fldChar w:fldCharType="begin"/>
        </w:r>
        <w:r>
          <w:instrText xml:space="preserve"> PAGEREF _Toc30563 \h </w:instrText>
        </w:r>
        <w:r>
          <w:fldChar w:fldCharType="separate"/>
        </w:r>
        <w:r>
          <w:t>50</w:t>
        </w:r>
        <w:r>
          <w:fldChar w:fldCharType="end"/>
        </w:r>
      </w:hyperlink>
    </w:p>
    <w:p>
      <w:pPr>
        <w:pStyle w:val="TOC1"/>
        <w:tabs>
          <w:tab w:val="right" w:leader="dot" w:pos="8306"/>
        </w:tabs>
      </w:pPr>
      <w:hyperlink w:anchor="_Toc3881" w:history="1">
        <w:r>
          <w:rPr>
            <w:rFonts w:ascii="仿宋" w:eastAsia="仿宋" w:hAnsi="仿宋" w:cs="仿宋" w:hint="eastAsia"/>
            <w:lang w:eastAsia="zh-CN"/>
          </w:rPr>
          <w:t>十四、风险识别与分类</w:t>
        </w:r>
        <w:r>
          <w:tab/>
        </w:r>
        <w:r>
          <w:fldChar w:fldCharType="begin"/>
        </w:r>
        <w:r>
          <w:instrText xml:space="preserve"> PAGEREF _Toc3881 \h </w:instrText>
        </w:r>
        <w:r>
          <w:fldChar w:fldCharType="separate"/>
        </w:r>
        <w:r>
          <w:t>51</w:t>
        </w:r>
        <w:r>
          <w:fldChar w:fldCharType="end"/>
        </w:r>
      </w:hyperlink>
    </w:p>
    <w:p>
      <w:pPr>
        <w:pStyle w:val="TOC2"/>
        <w:tabs>
          <w:tab w:val="right" w:leader="dot" w:pos="8306"/>
        </w:tabs>
      </w:pPr>
      <w:hyperlink w:anchor="_Toc14821" w:history="1">
        <w:r>
          <w:rPr>
            <w:rFonts w:ascii="仿宋" w:eastAsia="仿宋" w:hAnsi="仿宋" w:cs="仿宋" w:hint="eastAsia"/>
            <w:lang w:eastAsia="zh-CN"/>
          </w:rPr>
          <w:t>(一)、风险识别</w:t>
        </w:r>
        <w:r>
          <w:tab/>
        </w:r>
        <w:r>
          <w:fldChar w:fldCharType="begin"/>
        </w:r>
        <w:r>
          <w:instrText xml:space="preserve"> PAGEREF _Toc14821 \h </w:instrText>
        </w:r>
        <w:r>
          <w:fldChar w:fldCharType="separate"/>
        </w:r>
        <w:r>
          <w:t>51</w:t>
        </w:r>
        <w:r>
          <w:fldChar w:fldCharType="end"/>
        </w:r>
      </w:hyperlink>
    </w:p>
    <w:p>
      <w:pPr>
        <w:pStyle w:val="TOC2"/>
        <w:tabs>
          <w:tab w:val="right" w:leader="dot" w:pos="8306"/>
        </w:tabs>
      </w:pPr>
      <w:hyperlink w:anchor="_Toc27768" w:history="1">
        <w:r>
          <w:rPr>
            <w:rFonts w:ascii="仿宋" w:eastAsia="仿宋" w:hAnsi="仿宋" w:cs="仿宋" w:hint="eastAsia"/>
            <w:lang w:eastAsia="zh-CN"/>
          </w:rPr>
          <w:t>(二)、风险分类</w:t>
        </w:r>
        <w:r>
          <w:tab/>
        </w:r>
        <w:r>
          <w:fldChar w:fldCharType="begin"/>
        </w:r>
        <w:r>
          <w:instrText xml:space="preserve"> PAGEREF _Toc27768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35"/>
      <w:r>
        <w:rPr>
          <w:rFonts w:ascii="仿宋" w:eastAsia="仿宋" w:hAnsi="仿宋" w:cs="仿宋" w:hint="eastAsia"/>
          <w:sz w:val="28"/>
          <w:lang w:eastAsia="zh-CN"/>
        </w:rPr>
        <w:t>一、豪华客车项目文档管理</w:t>
      </w:r>
      <w:bookmarkEnd w:id="2"/>
    </w:p>
    <w:p>
      <w:pPr>
        <w:pStyle w:val="Heading2"/>
        <w:rPr>
          <w:rFonts w:ascii="仿宋" w:eastAsia="仿宋" w:hAnsi="仿宋" w:cs="仿宋" w:hint="eastAsia"/>
          <w:lang w:eastAsia="zh-CN"/>
        </w:rPr>
      </w:pPr>
      <w:bookmarkStart w:id="3" w:name="_Toc2314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豪华客车项目高度重视文档的质量和准确性，以支持豪华客车项目的各项活动和决策。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客车项目文档的编制始于豪华客车项目计划的初期，我们制定了详细的文档编制计划，明确了每个文档的内容、格式和编写责任人。在豪华客车项目启动阶段，我们首先编制了豪华客车项目章程，明确定义了豪华客车项目的目标、范围、风险等关键要素。随后，豪华客车项目团队根据计划陆续编制了需求文档、设计文档、测试文档等各类文档，确保豪华客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豪华客车项目管理中的重要环节，旨在确保豪华客车项目文档符合质量标准和豪华客车项目需求。在豪华客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除了内部审查，我们还进行了外部审查，邀请豪华客车项目相关利益方和专业领域的专家对文档进行独立审查。这有助于获取更全面、客观的反馈，确保豪华客车项目文档不仅符合内部标准，也满足外部需求。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豪华客车项目在文档编制与审查方面建立了严格的管理机制，通过规范的流程和多维度的审查，确保豪华客车项目文档的质量、准确性和可靠性，为豪华客车项目的顺利推进提供了有力支持。</w:t>
      </w:r>
    </w:p>
    <w:p>
      <w:pPr>
        <w:pStyle w:val="Heading2"/>
        <w:ind w:firstLine="560" w:firstLineChars="200"/>
        <w:rPr>
          <w:rFonts w:ascii="仿宋" w:eastAsia="仿宋" w:hAnsi="仿宋" w:cs="仿宋" w:hint="eastAsia"/>
          <w:sz w:val="28"/>
          <w:lang w:eastAsia="zh-CN"/>
        </w:rPr>
      </w:pPr>
      <w:bookmarkStart w:id="4" w:name="_Toc1626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在豪华客车项目中，我们致力于优化文档发布与分发过程，以确保信息的高效传递和团队间协作的顺畅进行。以下是我们采取的关键优化策略：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我们通过多渠道发布文档，包括电子邮件、豪华客车项目管理平台、内部网站等，以满足不同团队成员的偏好和需求。多渠道发布确保了信息的全面覆盖。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我们采用了精细的权限控制，确保只有授权人员可以访问敏感信息。这种安全措施保护了豪华客车项目文档的机密性，防止了未经授权的信息泄露。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60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文档存档与归档是豪华客车项目生命周期中一个至关重要的环节，直接关系到豪华客车项目信息的长期保存和历史记录的完整性。在豪华客车项目中，我们实施了一系列有效的文档存档与归档管理策略：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06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3566"/>
      <w:r>
        <w:rPr>
          <w:rFonts w:ascii="仿宋" w:eastAsia="仿宋" w:hAnsi="仿宋" w:cs="仿宋" w:hint="eastAsia"/>
          <w:lang w:eastAsia="zh-CN"/>
        </w:rPr>
        <w:t>(一)、豪华客车行业分析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豪华客车行业一直以来都是市场的关注焦点。行业内的发展趋势、竞争态势以及潜在机会都对豪华客车项目的推进产生深远的影响。通过深入研究行业的整体概貌，我们将更好地理解行业的核心特征，为豪华客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豪华客车行业，技术一直是推动创新和发展的关键因素。我们将对当前技术趋势进行详尽分析，包括但不限于人工智能、大数据应用、先进制造技术等。这有助于豪华客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豪华客车项目成功的基础。我们将对主要竞争对手进行深入研究，包括其市场份额、产品特点、市场定位等。通过全面了解竞争对手的优势和劣势，豪华客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7074"/>
      <w:r>
        <w:rPr>
          <w:rFonts w:ascii="仿宋" w:eastAsia="仿宋" w:hAnsi="仿宋" w:cs="仿宋" w:hint="eastAsia"/>
          <w:sz w:val="28"/>
          <w:lang w:eastAsia="zh-CN"/>
        </w:rPr>
        <w:t>(二)、豪华客车市场分析预测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通过对市场规模的深入调研，我们将预测豪华客车市场未来的增长趋势。这包括市场的整体规模、各细分领域的发展趋势等。豪华客车项目可以根据市场的扩张速度和潜在机会，制定更符合市场需求的发展策略。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豪华客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豪华客车项目实施过程中需要充分考虑的因素。我们将对市场风险进行全面评估，包括但不限于政策法规风险、市场竞争风险、技术变革风险等。通过对潜在风险的深入分析，豪华客车项目可以制定相应的风险缓解策略，降低不确定性对豪华客车项目的影响。</w:t>
      </w:r>
    </w:p>
    <w:p>
      <w:pPr>
        <w:pStyle w:val="Heading1"/>
        <w:ind w:firstLine="560" w:firstLineChars="200"/>
        <w:rPr>
          <w:rFonts w:ascii="仿宋" w:eastAsia="仿宋" w:hAnsi="仿宋" w:cs="仿宋" w:hint="eastAsia"/>
          <w:sz w:val="28"/>
          <w:lang w:eastAsia="zh-CN"/>
        </w:rPr>
      </w:pPr>
      <w:bookmarkStart w:id="9" w:name="_Toc8189"/>
      <w:r>
        <w:rPr>
          <w:rFonts w:ascii="仿宋" w:eastAsia="仿宋" w:hAnsi="仿宋" w:cs="仿宋" w:hint="eastAsia"/>
          <w:sz w:val="28"/>
          <w:lang w:eastAsia="zh-CN"/>
        </w:rPr>
        <w:t>三、豪华客车项目选址可行性分析</w:t>
      </w:r>
      <w:bookmarkEnd w:id="9"/>
    </w:p>
    <w:p>
      <w:pPr>
        <w:pStyle w:val="Heading2"/>
        <w:rPr>
          <w:rFonts w:ascii="仿宋" w:eastAsia="仿宋" w:hAnsi="仿宋" w:cs="仿宋" w:hint="eastAsia"/>
          <w:lang w:eastAsia="zh-CN"/>
        </w:rPr>
      </w:pPr>
      <w:bookmarkStart w:id="10" w:name="_Toc2081"/>
      <w:r>
        <w:rPr>
          <w:rFonts w:ascii="仿宋" w:eastAsia="仿宋" w:hAnsi="仿宋" w:cs="仿宋" w:hint="eastAsia"/>
          <w:lang w:eastAsia="zh-CN"/>
        </w:rPr>
        <w:t>(一)、豪华客车项目选址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该豪华客车项目选址位于XX省XX市XX区XXX街道</w:t>
      </w:r>
    </w:p>
    <w:p>
      <w:pPr>
        <w:pStyle w:val="Heading2"/>
        <w:ind w:firstLine="560" w:firstLineChars="200"/>
        <w:rPr>
          <w:rFonts w:ascii="仿宋" w:eastAsia="仿宋" w:hAnsi="仿宋" w:cs="仿宋" w:hint="eastAsia"/>
          <w:sz w:val="28"/>
          <w:lang w:eastAsia="zh-CN"/>
        </w:rPr>
      </w:pPr>
      <w:bookmarkStart w:id="11" w:name="_Toc2984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豪华客车项目的征地面积将根据豪华客车项目的实际规模和需求进行精确规划。具体面积XXX平方米，旨在确保豪华客车项目不仅能够满足当前的发展需求，还能够预留空间以适应未来的扩展。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净用地面积是在征地面积基础上去除不可利用面积后的实际可开发用地。具体面积XXX平方米，考虑到环保、交通、安全等多方面因素，以确保豪华客车项目在整体利用效率上达到最优。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豪华客车项目计划建设的建筑总规模具体面积XXX平方米。这一规模的确定综合考虑了豪华客车项目的性质、规模，以及城市规划的相关要求，确保建筑布局与周边环境协调一致。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绿地率是豪华客车项目用地中被规划为绿地的比例。具体面积XXX平方米，旨在通过合理规划绿地，改善豪华客车项目周边环境，提升居民生活质量，并符合城市整体绿化规划。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容积率是用地上可以建设的建筑总体积与用地面积之比。具体面积XXX，通过合理的容积率规划，确保豪华客车项目建筑规模与周边环境和谐共生。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确保豪华客车项目选址与当地城市规划相一致，具体面积XXX平方米。通过与城市规划部门深入沟通，确保豪华客车项目不仅符合城市的整体发展方向，还能够融入城市的发展布局，为城市的长远发展贡献力量。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豪华客车项目选址符合当地产业政策，具体面积XXX平方米。这包括豪华客车项目对当地经济的促进作用，以及对相关产业的带动效应，确保豪华客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用地总体要求必须符合环保和可持续发展的原则，具体面积XXX平方米。通过采用绿色建筑设计、节能减排等措施，确保豪华客车项目在建设和运营过程中对环境的影响最小化，达到可持续发展的要求。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确保豪华客车项目选址具备必要的公共设施配套，具体面积XXX平方米。这包括交通便利性、教育、医疗等基础设施，以提高居民生活品质，使得豪华客车项目选址更具吸引力。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考虑用地总体要求对当地社会稳定性的影响，具体面积XXX平方米。通过深入了解当地社区反馈，确保豪华客车项目的选址和建设过程对当地社会和谐稳定产生积极作用。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豪华客车项目选址不仅符合法规和规划，还在实际操作中具有可行性。这一全面规划将为豪华客车项目的成功实施提供坚实的基础，确保豪华客车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454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豪华客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豪华客车项目的设备规划和空间设计中，我们将采取灵活设备布局的措施。设备布局将根据实际需求进行灵活设计，避免不必要的浪费。通过合理规划设备摆放位置，我们将提高设备的利用率，减少设备间距，以确保豪华客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豪华客车项目内部引入共享设施的概念，例如共享会议室、办公区等。通过这种方式，我们可以减少对资源的重复建设，提高资源共享效率，从而减小豪华客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436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豪华客车项目的总图布置中，我们将不同功能区域进行明确的规划，以最大程度满足豪华客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35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豪华客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豪华客车项目对环境的影响是综合评价的重要因素之一。我们将详细考虑选址周边的自然环境、生态保护区、水源地等情况，确保豪华客车项目的建设和运营对环境影响最小化，并符合当地的环保法规标准。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对选址的评价还需充分考虑当地政府的产业政策和法规。我们将详细了解豪华客车项目所在地的相关政策，确保豪华客车项目的规划和运营与当地法规相符，降低不必要的法律风险。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考虑到社会稳定性对企业运营的重要性，我们将评估选址地区的社会安全情况、劳工关系、社区反馈等方面，以确保豪华客车项目的建设和运营不会受到社会稳定性的负面影响。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最后，我们将综合考虑用地成本，包括土地购置费用、土地开发成本等。通过对用地成本的详细评估，我们能够做出更为精确的经济效益分析，为豪华客车项目的投资决策提供有力支持。</w:t>
      </w:r>
    </w:p>
    <w:p>
      <w:pPr>
        <w:pStyle w:val="Heading1"/>
        <w:ind w:firstLine="560" w:firstLineChars="200"/>
        <w:rPr>
          <w:rFonts w:ascii="仿宋" w:eastAsia="仿宋" w:hAnsi="仿宋" w:cs="仿宋" w:hint="eastAsia"/>
          <w:sz w:val="28"/>
          <w:lang w:eastAsia="zh-CN"/>
        </w:rPr>
      </w:pPr>
      <w:bookmarkStart w:id="15" w:name="_Toc17097"/>
      <w:r>
        <w:rPr>
          <w:rFonts w:ascii="仿宋" w:eastAsia="仿宋" w:hAnsi="仿宋" w:cs="仿宋" w:hint="eastAsia"/>
          <w:sz w:val="28"/>
          <w:lang w:eastAsia="zh-CN"/>
        </w:rPr>
        <w:t>四、豪华客车项目可持续发展</w:t>
      </w:r>
      <w:bookmarkEnd w:id="15"/>
    </w:p>
    <w:p>
      <w:pPr>
        <w:pStyle w:val="Heading2"/>
        <w:rPr>
          <w:rFonts w:ascii="仿宋" w:eastAsia="仿宋" w:hAnsi="仿宋" w:cs="仿宋" w:hint="eastAsia"/>
          <w:lang w:eastAsia="zh-CN"/>
        </w:rPr>
      </w:pPr>
      <w:bookmarkStart w:id="16" w:name="_Toc447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豪华客车项目中，豪华客车项目团队着眼于未来，明确了可持续发展的战略方向。制定的具体可持续发展目标包括降低资源使用、采用环保技术、最大化社会效益等。这一步骤不仅有助于豪华客车项目在环保和社会责任方面达到最高标准，也为未来提供了明确的指引，确保豪华客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可持续实践的融入豪华客车项目管理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豪华客车项目管理周期。从豪华客车项目规划开始，豪华客车项目团队就考虑了环境和社会的因素。在执行阶段，豪华客车项目团队积极推动绿色技术的应用，优化资源利用。此外，关注员工的社会责任，通过培训和沟通活动提高员工对可持续发展的认知，使他们能够在日常工作中践行可持续实践。这些举措不仅为豪华客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84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扎根于豪华客车项目的可持续发展理念，我们深信环保与社会责任是豪华客车项目成功的关键支柱。在豪华客车项目的每一步，我们都致力于通过创新和实践，履行对环境和社会的坚定责任。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客车项目团队通过引入先进的环保技术、建立高效的废物处理系统以及推动能源节约措施，积极履行环保责任。定期的环保监测和评估确保豪华客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客车项目不仅致力于自身可持续发展，还注重对社会的回馈。通过支持社区豪华客车项目、参与慈善事业、提供培训机会等方式，豪华客车项目积极履行社会责任。与当地社区建立积极互动，关注员工的工作与生活平衡，以及员工的身心健康，是豪华客车项目在社会责任层面的关键举措。这样的实践不仅增强了豪华客车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7850"/>
      <w:r>
        <w:rPr>
          <w:rFonts w:ascii="仿宋" w:eastAsia="仿宋" w:hAnsi="仿宋" w:cs="仿宋" w:hint="eastAsia"/>
          <w:sz w:val="28"/>
          <w:lang w:eastAsia="zh-CN"/>
        </w:rPr>
        <w:t>五、豪华客车项目土建工程</w:t>
      </w:r>
      <w:bookmarkEnd w:id="18"/>
    </w:p>
    <w:p>
      <w:pPr>
        <w:pStyle w:val="Heading2"/>
        <w:rPr>
          <w:rFonts w:ascii="仿宋" w:eastAsia="仿宋" w:hAnsi="仿宋" w:cs="仿宋" w:hint="eastAsia"/>
          <w:lang w:eastAsia="zh-CN"/>
        </w:rPr>
      </w:pPr>
      <w:bookmarkStart w:id="19" w:name="_Toc350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在豪华客车项目的建筑工程设计中，我们将秉承一系列重要的设计原则，以确保豪华客车项目建筑在功能、美观、可持续性等方面达到最佳效果。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首要原则是确保建筑的功能性得到最大化的发挥。我们将充分理解豪华客车项目的实际需求，合理布局各个功能区域，保证建筑在满足业务需求的同时，提供高效的工作环境。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在建筑设计中，我们将综合考虑建设和运营成本。通过精细的经济效益分析，确保设计方案在高效利用资源的同时，对豪华客车项目的长期盈利能力有积极的贡献。</w:t>
      </w:r>
    </w:p>
    <w:p>
      <w:pPr>
        <w:pStyle w:val="Heading2"/>
        <w:ind w:firstLine="560" w:firstLineChars="200"/>
        <w:rPr>
          <w:rFonts w:ascii="仿宋" w:eastAsia="仿宋" w:hAnsi="仿宋" w:cs="仿宋" w:hint="eastAsia"/>
          <w:sz w:val="28"/>
          <w:lang w:eastAsia="zh-CN"/>
        </w:rPr>
      </w:pPr>
      <w:bookmarkStart w:id="20" w:name="_Toc73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豪华客车项目的土建工程设计中，我们将精准设定设计年限，结合豪华客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https://d.book118.com/998057065053006045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豪华客车项目规划设计蓝图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960F58"/>
    <w:rsid w:val="07960F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57065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2024-03-01T01:02:00Z</dcterms:created>
  <dcterms:modified xsi:type="dcterms:W3CDTF">2024-03-01T01:02:17Z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5D653C0D3024442D85603C85877DAB9B_11</vt:lpwstr>
  </property>
  <property fmtid="{D5CDD505-2E9C-101B-9397-08002B2CF9AE}" pid="3" name="KSOProductBuildVer">
    <vt:lpwstr>2052-12.1.0.16388</vt:lpwstr>
  </property>
</Properties>
</file>