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微波辐射计、微波散射计、测高计行业研究报告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7089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_Toc7089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449" w:history="1">
        <w:r>
          <w:rPr>
            <w:rFonts w:ascii="仿宋" w:eastAsia="仿宋" w:hAnsi="仿宋" w:cs="仿宋" w:hint="eastAsia"/>
            <w:lang w:eastAsia="zh-CN"/>
          </w:rPr>
          <w:t>一、微波辐射计、微波散射计、测高计选址方案分析</w:t>
        </w:r>
        <w:r>
          <w:tab/>
        </w:r>
        <w:r>
          <w:fldChar w:fldCharType="begin"/>
        </w:r>
        <w:r>
          <w:instrText xml:space="preserve"> PAGEREF _Toc27449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40" w:history="1">
        <w:r>
          <w:rPr>
            <w:rFonts w:ascii="仿宋" w:eastAsia="仿宋" w:hAnsi="仿宋" w:cs="仿宋" w:hint="eastAsia"/>
            <w:lang w:eastAsia="zh-CN"/>
          </w:rPr>
          <w:t>(一)、微波辐射计、微波散射计、测高计选址影响因素</w:t>
        </w:r>
        <w:r>
          <w:tab/>
        </w:r>
        <w:r>
          <w:fldChar w:fldCharType="begin"/>
        </w:r>
        <w:r>
          <w:instrText xml:space="preserve"> PAGEREF _Toc940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105" w:history="1">
        <w:r>
          <w:rPr>
            <w:rFonts w:ascii="仿宋" w:eastAsia="仿宋" w:hAnsi="仿宋" w:cs="仿宋" w:hint="eastAsia"/>
            <w:lang w:eastAsia="zh-CN"/>
          </w:rPr>
          <w:t>(二)、微波辐射计、微波散射计、测高计选址原则</w:t>
        </w:r>
        <w:r>
          <w:tab/>
        </w:r>
        <w:r>
          <w:fldChar w:fldCharType="begin"/>
        </w:r>
        <w:r>
          <w:instrText xml:space="preserve"> PAGEREF _Toc19105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249" w:history="1">
        <w:r>
          <w:rPr>
            <w:rFonts w:ascii="仿宋" w:eastAsia="仿宋" w:hAnsi="仿宋" w:cs="仿宋" w:hint="eastAsia"/>
            <w:lang w:eastAsia="zh-CN"/>
          </w:rPr>
          <w:t>(三)、消费习惯对微波辐射计、微波散射计、测高计选址的影响</w:t>
        </w:r>
        <w:r>
          <w:tab/>
        </w:r>
        <w:r>
          <w:fldChar w:fldCharType="begin"/>
        </w:r>
        <w:r>
          <w:instrText xml:space="preserve"> PAGEREF _Toc5249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156" w:history="1">
        <w:r>
          <w:rPr>
            <w:rFonts w:ascii="仿宋" w:eastAsia="仿宋" w:hAnsi="仿宋" w:cs="仿宋" w:hint="eastAsia"/>
            <w:lang w:eastAsia="zh-CN"/>
          </w:rPr>
          <w:t>(四)、消费能力对微波辐射计、微波散射计、测高计选址的影响</w:t>
        </w:r>
        <w:r>
          <w:tab/>
        </w:r>
        <w:r>
          <w:fldChar w:fldCharType="begin"/>
        </w:r>
        <w:r>
          <w:instrText xml:space="preserve"> PAGEREF _Toc11156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878" w:history="1">
        <w:r>
          <w:rPr>
            <w:rFonts w:ascii="仿宋" w:eastAsia="仿宋" w:hAnsi="仿宋" w:cs="仿宋" w:hint="eastAsia"/>
            <w:lang w:eastAsia="zh-CN"/>
          </w:rPr>
          <w:t>(五)、经营成本对微波辐射计、微波散射计、测高计选址的影响</w:t>
        </w:r>
        <w:r>
          <w:tab/>
        </w:r>
        <w:r>
          <w:fldChar w:fldCharType="begin"/>
        </w:r>
        <w:r>
          <w:instrText xml:space="preserve"> PAGEREF _Toc21878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325" w:history="1">
        <w:r>
          <w:rPr>
            <w:rFonts w:ascii="仿宋" w:eastAsia="仿宋" w:hAnsi="仿宋" w:cs="仿宋" w:hint="eastAsia"/>
            <w:lang w:eastAsia="zh-CN"/>
          </w:rPr>
          <w:t>(六)、交通条件对微波辐射计、微波散射计、测高计选址的影响</w:t>
        </w:r>
        <w:r>
          <w:tab/>
        </w:r>
        <w:r>
          <w:fldChar w:fldCharType="begin"/>
        </w:r>
        <w:r>
          <w:instrText xml:space="preserve"> PAGEREF _Toc25325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448" w:history="1">
        <w:r>
          <w:rPr>
            <w:rFonts w:ascii="仿宋" w:eastAsia="仿宋" w:hAnsi="仿宋" w:cs="仿宋" w:hint="eastAsia"/>
            <w:lang w:eastAsia="zh-CN"/>
          </w:rPr>
          <w:t>二、微波辐射计、微波散射计、测高计投资管理策略</w:t>
        </w:r>
        <w:r>
          <w:tab/>
        </w:r>
        <w:r>
          <w:fldChar w:fldCharType="begin"/>
        </w:r>
        <w:r>
          <w:instrText xml:space="preserve"> PAGEREF _Toc20448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845" w:history="1">
        <w:r>
          <w:rPr>
            <w:rFonts w:ascii="仿宋" w:eastAsia="仿宋" w:hAnsi="仿宋" w:cs="仿宋" w:hint="eastAsia"/>
            <w:lang w:eastAsia="zh-CN"/>
          </w:rPr>
          <w:t>(一)、微波辐射计、微波散射计、测高计投资估算主要内容</w:t>
        </w:r>
        <w:r>
          <w:tab/>
        </w:r>
        <w:r>
          <w:fldChar w:fldCharType="begin"/>
        </w:r>
        <w:r>
          <w:instrText xml:space="preserve"> PAGEREF _Toc25845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285" w:history="1">
        <w:r>
          <w:rPr>
            <w:rFonts w:ascii="仿宋" w:eastAsia="仿宋" w:hAnsi="仿宋" w:cs="仿宋" w:hint="eastAsia"/>
            <w:lang w:eastAsia="zh-CN"/>
          </w:rPr>
          <w:t>(二)、微波辐射计、微波散射计、测高计设备购置投资费用管理</w:t>
        </w:r>
        <w:r>
          <w:tab/>
        </w:r>
        <w:r>
          <w:fldChar w:fldCharType="begin"/>
        </w:r>
        <w:r>
          <w:instrText xml:space="preserve"> PAGEREF _Toc32285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437" w:history="1">
        <w:r>
          <w:rPr>
            <w:rFonts w:ascii="仿宋" w:eastAsia="仿宋" w:hAnsi="仿宋" w:cs="仿宋" w:hint="eastAsia"/>
            <w:lang w:eastAsia="zh-CN"/>
          </w:rPr>
          <w:t>(三)、微波辐射计、微波散射计、测高计装修施工投资费用管理</w:t>
        </w:r>
        <w:r>
          <w:tab/>
        </w:r>
        <w:r>
          <w:fldChar w:fldCharType="begin"/>
        </w:r>
        <w:r>
          <w:instrText xml:space="preserve"> PAGEREF _Toc9437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150" w:history="1">
        <w:r>
          <w:rPr>
            <w:rFonts w:ascii="仿宋" w:eastAsia="仿宋" w:hAnsi="仿宋" w:cs="仿宋" w:hint="eastAsia"/>
            <w:lang w:eastAsia="zh-CN"/>
          </w:rPr>
          <w:t>(四)、微波辐射计、微波散射计、测高计流动资金管理</w:t>
        </w:r>
        <w:r>
          <w:tab/>
        </w:r>
        <w:r>
          <w:fldChar w:fldCharType="begin"/>
        </w:r>
        <w:r>
          <w:instrText xml:space="preserve"> PAGEREF _Toc10150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383" w:history="1">
        <w:r>
          <w:rPr>
            <w:rFonts w:ascii="仿宋" w:eastAsia="仿宋" w:hAnsi="仿宋" w:cs="仿宋" w:hint="eastAsia"/>
            <w:lang w:eastAsia="zh-CN"/>
          </w:rPr>
          <w:t>三、微波辐射计、微波散射计、测高计市场营销分析</w:t>
        </w:r>
        <w:r>
          <w:tab/>
        </w:r>
        <w:r>
          <w:fldChar w:fldCharType="begin"/>
        </w:r>
        <w:r>
          <w:instrText xml:space="preserve"> PAGEREF _Toc4383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950" w:history="1">
        <w:r>
          <w:rPr>
            <w:rFonts w:ascii="仿宋" w:eastAsia="仿宋" w:hAnsi="仿宋" w:cs="仿宋" w:hint="eastAsia"/>
            <w:lang w:eastAsia="zh-CN"/>
          </w:rPr>
          <w:t>(一)、微波辐射计、微波散射计、测高计市场营销总体思路</w:t>
        </w:r>
        <w:r>
          <w:tab/>
        </w:r>
        <w:r>
          <w:fldChar w:fldCharType="begin"/>
        </w:r>
        <w:r>
          <w:instrText xml:space="preserve"> PAGEREF _Toc14950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150" w:history="1">
        <w:r>
          <w:rPr>
            <w:rFonts w:ascii="仿宋" w:eastAsia="仿宋" w:hAnsi="仿宋" w:cs="仿宋" w:hint="eastAsia"/>
            <w:lang w:eastAsia="zh-CN"/>
          </w:rPr>
          <w:t>(二)、微波辐射计、微波散射计、测高计组织市场分析</w:t>
        </w:r>
        <w:r>
          <w:tab/>
        </w:r>
        <w:r>
          <w:fldChar w:fldCharType="begin"/>
        </w:r>
        <w:r>
          <w:instrText xml:space="preserve"> PAGEREF _Toc7150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77" w:history="1">
        <w:r>
          <w:rPr>
            <w:rFonts w:ascii="仿宋" w:eastAsia="仿宋" w:hAnsi="仿宋" w:cs="仿宋" w:hint="eastAsia"/>
            <w:lang w:eastAsia="zh-CN"/>
          </w:rPr>
          <w:t>(三)、微波辐射计、微波散射计、测高计目标市场营销战略</w:t>
        </w:r>
        <w:r>
          <w:tab/>
        </w:r>
        <w:r>
          <w:fldChar w:fldCharType="begin"/>
        </w:r>
        <w:r>
          <w:instrText xml:space="preserve"> PAGEREF _Toc29677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46" w:history="1">
        <w:r>
          <w:rPr>
            <w:rFonts w:ascii="仿宋" w:eastAsia="仿宋" w:hAnsi="仿宋" w:cs="仿宋" w:hint="eastAsia"/>
            <w:lang w:eastAsia="zh-CN"/>
          </w:rPr>
          <w:t>(四)、微波辐射计、微波散射计、测高计定价策略</w:t>
        </w:r>
        <w:r>
          <w:tab/>
        </w:r>
        <w:r>
          <w:fldChar w:fldCharType="begin"/>
        </w:r>
        <w:r>
          <w:instrText xml:space="preserve"> PAGEREF _Toc30746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8" w:history="1">
        <w:r>
          <w:rPr>
            <w:rFonts w:ascii="仿宋" w:eastAsia="仿宋" w:hAnsi="仿宋" w:cs="仿宋" w:hint="eastAsia"/>
            <w:lang w:eastAsia="zh-CN"/>
          </w:rPr>
          <w:t>(五)、微波辐射计、微波散射计、测高计促销策略</w:t>
        </w:r>
        <w:r>
          <w:tab/>
        </w:r>
        <w:r>
          <w:fldChar w:fldCharType="begin"/>
        </w:r>
        <w:r>
          <w:instrText xml:space="preserve"> PAGEREF _Toc328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838" w:history="1">
        <w:r>
          <w:rPr>
            <w:rFonts w:ascii="仿宋" w:eastAsia="仿宋" w:hAnsi="仿宋" w:cs="仿宋" w:hint="eastAsia"/>
            <w:lang w:eastAsia="zh-CN"/>
          </w:rPr>
          <w:t>(六)、微波辐射计、微波散射计、测高计品牌策略</w:t>
        </w:r>
        <w:r>
          <w:tab/>
        </w:r>
        <w:r>
          <w:fldChar w:fldCharType="begin"/>
        </w:r>
        <w:r>
          <w:instrText xml:space="preserve"> PAGEREF _Toc13838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925" w:history="1">
        <w:r>
          <w:rPr>
            <w:rFonts w:ascii="仿宋" w:eastAsia="仿宋" w:hAnsi="仿宋" w:cs="仿宋" w:hint="eastAsia"/>
            <w:lang w:eastAsia="zh-CN"/>
          </w:rPr>
          <w:t>(七)、微波辐射计、微波散射计、测高计关系营销</w:t>
        </w:r>
        <w:r>
          <w:tab/>
        </w:r>
        <w:r>
          <w:fldChar w:fldCharType="begin"/>
        </w:r>
        <w:r>
          <w:instrText xml:space="preserve"> PAGEREF _Toc12925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21" w:history="1">
        <w:r>
          <w:rPr>
            <w:rFonts w:ascii="仿宋" w:eastAsia="仿宋" w:hAnsi="仿宋" w:cs="仿宋" w:hint="eastAsia"/>
            <w:lang w:eastAsia="zh-CN"/>
          </w:rPr>
          <w:t>(八)、微波辐射计、微波散射计、测高计体验营销</w:t>
        </w:r>
        <w:r>
          <w:tab/>
        </w:r>
        <w:r>
          <w:fldChar w:fldCharType="begin"/>
        </w:r>
        <w:r>
          <w:instrText xml:space="preserve"> PAGEREF _Toc2521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89" w:history="1">
        <w:r>
          <w:rPr>
            <w:rFonts w:ascii="仿宋" w:eastAsia="仿宋" w:hAnsi="仿宋" w:cs="仿宋" w:hint="eastAsia"/>
            <w:lang w:eastAsia="zh-CN"/>
          </w:rPr>
          <w:t>(九)、微波辐射计、微波散射计、测高计互联网营销</w:t>
        </w:r>
        <w:r>
          <w:tab/>
        </w:r>
        <w:r>
          <w:fldChar w:fldCharType="begin"/>
        </w:r>
        <w:r>
          <w:instrText xml:space="preserve"> PAGEREF _Toc1789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52" w:history="1">
        <w:r>
          <w:rPr>
            <w:rFonts w:ascii="仿宋" w:eastAsia="仿宋" w:hAnsi="仿宋" w:cs="仿宋" w:hint="eastAsia"/>
            <w:lang w:eastAsia="zh-CN"/>
          </w:rPr>
          <w:t>四、微波辐射计、微波散射计、测高计财务管理分析</w:t>
        </w:r>
        <w:r>
          <w:tab/>
        </w:r>
        <w:r>
          <w:fldChar w:fldCharType="begin"/>
        </w:r>
        <w:r>
          <w:instrText xml:space="preserve"> PAGEREF _Toc2652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032" w:history="1">
        <w:r>
          <w:rPr>
            <w:rFonts w:ascii="仿宋" w:eastAsia="仿宋" w:hAnsi="仿宋" w:cs="仿宋" w:hint="eastAsia"/>
            <w:lang w:eastAsia="zh-CN"/>
          </w:rPr>
          <w:t>(一)、微波辐射计、微波散射计、测高计财务管理制度</w:t>
        </w:r>
        <w:r>
          <w:tab/>
        </w:r>
        <w:r>
          <w:fldChar w:fldCharType="begin"/>
        </w:r>
        <w:r>
          <w:instrText xml:space="preserve"> PAGEREF _Toc17032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513" w:history="1">
        <w:r>
          <w:rPr>
            <w:rFonts w:ascii="仿宋" w:eastAsia="仿宋" w:hAnsi="仿宋" w:cs="仿宋" w:hint="eastAsia"/>
            <w:lang w:eastAsia="zh-CN"/>
          </w:rPr>
          <w:t>(二)、微波辐射计、微波散射计、测高计经济效益分析</w:t>
        </w:r>
        <w:r>
          <w:tab/>
        </w:r>
        <w:r>
          <w:fldChar w:fldCharType="begin"/>
        </w:r>
        <w:r>
          <w:instrText xml:space="preserve"> PAGEREF _Toc31513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297" w:history="1">
        <w:r>
          <w:rPr>
            <w:rFonts w:ascii="仿宋" w:eastAsia="仿宋" w:hAnsi="仿宋" w:cs="仿宋" w:hint="eastAsia"/>
            <w:lang w:eastAsia="zh-CN"/>
          </w:rPr>
          <w:t>(三)、微波辐射计、微波散射计、测高计收入及成本核算</w:t>
        </w:r>
        <w:r>
          <w:tab/>
        </w:r>
        <w:r>
          <w:fldChar w:fldCharType="begin"/>
        </w:r>
        <w:r>
          <w:instrText xml:space="preserve"> PAGEREF _Toc30297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048" w:history="1">
        <w:r>
          <w:rPr>
            <w:rFonts w:ascii="仿宋" w:eastAsia="仿宋" w:hAnsi="仿宋" w:cs="仿宋" w:hint="eastAsia"/>
            <w:lang w:eastAsia="zh-CN"/>
          </w:rPr>
          <w:t>(四)、微波辐射计、微波散射计、测高计成本管理</w:t>
        </w:r>
        <w:r>
          <w:tab/>
        </w:r>
        <w:r>
          <w:fldChar w:fldCharType="begin"/>
        </w:r>
        <w:r>
          <w:instrText xml:space="preserve"> PAGEREF _Toc32048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00" w:history="1">
        <w:r>
          <w:rPr>
            <w:rFonts w:ascii="仿宋" w:eastAsia="仿宋" w:hAnsi="仿宋" w:cs="仿宋" w:hint="eastAsia"/>
            <w:lang w:eastAsia="zh-CN"/>
          </w:rPr>
          <w:t>五、项目背景与概况</w:t>
        </w:r>
        <w:r>
          <w:tab/>
        </w:r>
        <w:r>
          <w:fldChar w:fldCharType="begin"/>
        </w:r>
        <w:r>
          <w:instrText xml:space="preserve"> PAGEREF _Toc2200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636" w:history="1">
        <w:r>
          <w:rPr>
            <w:rFonts w:ascii="仿宋" w:eastAsia="仿宋" w:hAnsi="仿宋" w:cs="仿宋" w:hint="eastAsia"/>
            <w:lang w:eastAsia="zh-CN"/>
          </w:rPr>
          <w:t>(一)、项目背景介绍</w:t>
        </w:r>
        <w:r>
          <w:tab/>
        </w:r>
        <w:r>
          <w:fldChar w:fldCharType="begin"/>
        </w:r>
        <w:r>
          <w:instrText xml:space="preserve"> PAGEREF _Toc10636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95" w:history="1">
        <w:r>
          <w:rPr>
            <w:rFonts w:ascii="仿宋" w:eastAsia="仿宋" w:hAnsi="仿宋" w:cs="仿宋" w:hint="eastAsia"/>
            <w:lang w:eastAsia="zh-CN"/>
          </w:rPr>
          <w:t>(二)、项目概况与目标</w:t>
        </w:r>
        <w:r>
          <w:tab/>
        </w:r>
        <w:r>
          <w:fldChar w:fldCharType="begin"/>
        </w:r>
        <w:r>
          <w:instrText xml:space="preserve"> PAGEREF _Toc21595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947" w:history="1">
        <w:r>
          <w:rPr>
            <w:rFonts w:ascii="仿宋" w:eastAsia="仿宋" w:hAnsi="仿宋" w:cs="仿宋" w:hint="eastAsia"/>
            <w:lang w:eastAsia="zh-CN"/>
          </w:rPr>
          <w:t>(三)、微波辐射计、微波散射计、测高计行业及市场分析</w:t>
        </w:r>
        <w:r>
          <w:tab/>
        </w:r>
        <w:r>
          <w:fldChar w:fldCharType="begin"/>
        </w:r>
        <w:r>
          <w:instrText xml:space="preserve"> PAGEREF _Toc25947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781" w:history="1">
        <w:r>
          <w:rPr>
            <w:rFonts w:ascii="仿宋" w:eastAsia="仿宋" w:hAnsi="仿宋" w:cs="仿宋" w:hint="eastAsia"/>
            <w:lang w:eastAsia="zh-CN"/>
          </w:rPr>
          <w:t>六、项目运营与管理</w:t>
        </w:r>
        <w:r>
          <w:tab/>
        </w:r>
        <w:r>
          <w:fldChar w:fldCharType="begin"/>
        </w:r>
        <w:r>
          <w:instrText xml:space="preserve"> PAGEREF _Toc3781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71" w:history="1">
        <w:r>
          <w:rPr>
            <w:rFonts w:ascii="仿宋" w:eastAsia="仿宋" w:hAnsi="仿宋" w:cs="仿宋" w:hint="eastAsia"/>
            <w:lang w:eastAsia="zh-CN"/>
          </w:rPr>
          <w:t>(一)、运营模式选择</w:t>
        </w:r>
        <w:r>
          <w:tab/>
        </w:r>
        <w:r>
          <w:fldChar w:fldCharType="begin"/>
        </w:r>
        <w:r>
          <w:instrText xml:space="preserve"> PAGEREF _Toc2871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98" w:history="1">
        <w:r>
          <w:rPr>
            <w:rFonts w:ascii="仿宋" w:eastAsia="仿宋" w:hAnsi="仿宋" w:cs="仿宋" w:hint="eastAsia"/>
            <w:lang w:eastAsia="zh-CN"/>
          </w:rPr>
          <w:t>(二)、人力资源规划</w:t>
        </w:r>
        <w:r>
          <w:tab/>
        </w:r>
        <w:r>
          <w:fldChar w:fldCharType="begin"/>
        </w:r>
        <w:r>
          <w:instrText xml:space="preserve"> PAGEREF _Toc16898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808" w:history="1">
        <w:r>
          <w:rPr>
            <w:rFonts w:ascii="仿宋" w:eastAsia="仿宋" w:hAnsi="仿宋" w:cs="仿宋" w:hint="eastAsia"/>
            <w:lang w:eastAsia="zh-CN"/>
          </w:rPr>
          <w:t>(三)、财务管理计划</w:t>
        </w:r>
        <w:r>
          <w:tab/>
        </w:r>
        <w:r>
          <w:fldChar w:fldCharType="begin"/>
        </w:r>
        <w:r>
          <w:instrText xml:space="preserve"> PAGEREF _Toc5808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995" w:history="1">
        <w:r>
          <w:rPr>
            <w:rFonts w:ascii="仿宋" w:eastAsia="仿宋" w:hAnsi="仿宋" w:cs="仿宋" w:hint="eastAsia"/>
            <w:lang w:eastAsia="zh-CN"/>
          </w:rPr>
          <w:t>(四)、供应链管理</w:t>
        </w:r>
        <w:r>
          <w:tab/>
        </w:r>
        <w:r>
          <w:fldChar w:fldCharType="begin"/>
        </w:r>
        <w:r>
          <w:instrText xml:space="preserve"> PAGEREF _Toc29995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544" w:history="1">
        <w:r>
          <w:rPr>
            <w:rFonts w:ascii="仿宋" w:eastAsia="仿宋" w:hAnsi="仿宋" w:cs="仿宋" w:hint="eastAsia"/>
            <w:lang w:eastAsia="zh-CN"/>
          </w:rPr>
          <w:t>七、质量与技术管理</w:t>
        </w:r>
        <w:r>
          <w:tab/>
        </w:r>
        <w:r>
          <w:fldChar w:fldCharType="begin"/>
        </w:r>
        <w:r>
          <w:instrText xml:space="preserve"> PAGEREF _Toc11544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193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_Toc4193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147" w:history="1">
        <w:r>
          <w:rPr>
            <w:rFonts w:ascii="仿宋" w:eastAsia="仿宋" w:hAnsi="仿宋" w:cs="仿宋" w:hint="eastAsia"/>
            <w:lang w:eastAsia="zh-CN"/>
          </w:rPr>
          <w:t>(二)、技术标准与创新</w:t>
        </w:r>
        <w:r>
          <w:tab/>
        </w:r>
        <w:r>
          <w:fldChar w:fldCharType="begin"/>
        </w:r>
        <w:r>
          <w:instrText xml:space="preserve"> PAGEREF _Toc30147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075" w:history="1">
        <w:r>
          <w:rPr>
            <w:rFonts w:ascii="仿宋" w:eastAsia="仿宋" w:hAnsi="仿宋" w:cs="仿宋" w:hint="eastAsia"/>
            <w:lang w:eastAsia="zh-CN"/>
          </w:rPr>
          <w:t>八、制度运行与优化</w:t>
        </w:r>
        <w:r>
          <w:tab/>
        </w:r>
        <w:r>
          <w:fldChar w:fldCharType="begin"/>
        </w:r>
        <w:r>
          <w:instrText xml:space="preserve"> PAGEREF _Toc18075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293" w:history="1">
        <w:r>
          <w:rPr>
            <w:rFonts w:ascii="仿宋" w:eastAsia="仿宋" w:hAnsi="仿宋" w:cs="仿宋" w:hint="eastAsia"/>
            <w:lang w:eastAsia="zh-CN"/>
          </w:rPr>
          <w:t>(一)、制度执行与监督</w:t>
        </w:r>
        <w:r>
          <w:tab/>
        </w:r>
        <w:r>
          <w:fldChar w:fldCharType="begin"/>
        </w:r>
        <w:r>
          <w:instrText xml:space="preserve"> PAGEREF _Toc1293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286" w:history="1">
        <w:r>
          <w:rPr>
            <w:rFonts w:ascii="仿宋" w:eastAsia="仿宋" w:hAnsi="仿宋" w:cs="仿宋" w:hint="eastAsia"/>
            <w:lang w:eastAsia="zh-CN"/>
          </w:rPr>
          <w:t>(二)、制度优化与更新</w:t>
        </w:r>
        <w:r>
          <w:tab/>
        </w:r>
        <w:r>
          <w:fldChar w:fldCharType="begin"/>
        </w:r>
        <w:r>
          <w:instrText xml:space="preserve"> PAGEREF _Toc23286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960" w:history="1">
        <w:r>
          <w:rPr>
            <w:rFonts w:ascii="仿宋" w:eastAsia="仿宋" w:hAnsi="仿宋" w:cs="仿宋" w:hint="eastAsia"/>
            <w:lang w:eastAsia="zh-CN"/>
          </w:rPr>
          <w:t>九、项目技术流程</w:t>
        </w:r>
        <w:r>
          <w:tab/>
        </w:r>
        <w:r>
          <w:fldChar w:fldCharType="begin"/>
        </w:r>
        <w:r>
          <w:instrText xml:space="preserve"> PAGEREF _Toc30960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25" w:history="1">
        <w:r>
          <w:rPr>
            <w:rFonts w:ascii="仿宋" w:eastAsia="仿宋" w:hAnsi="仿宋" w:cs="仿宋" w:hint="eastAsia"/>
            <w:lang w:eastAsia="zh-CN"/>
          </w:rPr>
          <w:t>(一)、技术方案选择</w:t>
        </w:r>
        <w:r>
          <w:tab/>
        </w:r>
        <w:r>
          <w:fldChar w:fldCharType="begin"/>
        </w:r>
        <w:r>
          <w:instrText xml:space="preserve"> PAGEREF _Toc1425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897" w:history="1">
        <w:r>
          <w:rPr>
            <w:rFonts w:ascii="仿宋" w:eastAsia="仿宋" w:hAnsi="仿宋" w:cs="仿宋" w:hint="eastAsia"/>
            <w:lang w:eastAsia="zh-CN"/>
          </w:rPr>
          <w:t>(二)、设备选型方案</w:t>
        </w:r>
        <w:r>
          <w:tab/>
        </w:r>
        <w:r>
          <w:fldChar w:fldCharType="begin"/>
        </w:r>
        <w:r>
          <w:instrText xml:space="preserve"> PAGEREF _Toc6897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224" w:history="1">
        <w:r>
          <w:rPr>
            <w:rFonts w:ascii="仿宋" w:eastAsia="仿宋" w:hAnsi="仿宋" w:cs="仿宋" w:hint="eastAsia"/>
            <w:lang w:eastAsia="zh-CN"/>
          </w:rPr>
          <w:t>(三)、技术流程与工艺设计</w:t>
        </w:r>
        <w:r>
          <w:tab/>
        </w:r>
        <w:r>
          <w:fldChar w:fldCharType="begin"/>
        </w:r>
        <w:r>
          <w:instrText xml:space="preserve"> PAGEREF _Toc7224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007" w:history="1">
        <w:r>
          <w:rPr>
            <w:rFonts w:ascii="仿宋" w:eastAsia="仿宋" w:hAnsi="仿宋" w:cs="仿宋" w:hint="eastAsia"/>
            <w:lang w:eastAsia="zh-CN"/>
          </w:rPr>
          <w:t>十、制度建设与管理</w:t>
        </w:r>
        <w:r>
          <w:tab/>
        </w:r>
        <w:r>
          <w:fldChar w:fldCharType="begin"/>
        </w:r>
        <w:r>
          <w:instrText xml:space="preserve"> PAGEREF _Toc15007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82" w:history="1">
        <w:r>
          <w:rPr>
            <w:rFonts w:ascii="仿宋" w:eastAsia="仿宋" w:hAnsi="仿宋" w:cs="仿宋" w:hint="eastAsia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_Toc1382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720" w:history="1">
        <w:r>
          <w:rPr>
            <w:rFonts w:ascii="仿宋" w:eastAsia="仿宋" w:hAnsi="仿宋" w:cs="仿宋" w:hint="eastAsia"/>
            <w:lang w:eastAsia="zh-CN"/>
          </w:rPr>
          <w:t>(二)、内部控制与审计</w:t>
        </w:r>
        <w:r>
          <w:tab/>
        </w:r>
        <w:r>
          <w:fldChar w:fldCharType="begin"/>
        </w:r>
        <w:r>
          <w:instrText xml:space="preserve"> PAGEREF _Toc19720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783" w:history="1">
        <w:r>
          <w:rPr>
            <w:rFonts w:ascii="仿宋" w:eastAsia="仿宋" w:hAnsi="仿宋" w:cs="仿宋" w:hint="eastAsia"/>
            <w:lang w:eastAsia="zh-CN"/>
          </w:rPr>
          <w:t>(三)、法律法规合规体系</w:t>
        </w:r>
        <w:r>
          <w:tab/>
        </w:r>
        <w:r>
          <w:fldChar w:fldCharType="begin"/>
        </w:r>
        <w:r>
          <w:instrText xml:space="preserve"> PAGEREF _Toc28783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9" w:history="1">
        <w:r>
          <w:rPr>
            <w:rFonts w:ascii="仿宋" w:eastAsia="仿宋" w:hAnsi="仿宋" w:cs="仿宋" w:hint="eastAsia"/>
            <w:lang w:eastAsia="zh-CN"/>
          </w:rPr>
          <w:t>十一、安全与劳动保护</w:t>
        </w:r>
        <w:r>
          <w:tab/>
        </w:r>
        <w:r>
          <w:fldChar w:fldCharType="begin"/>
        </w:r>
        <w:r>
          <w:instrText xml:space="preserve"> PAGEREF _Toc199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43" w:history="1">
        <w:r>
          <w:rPr>
            <w:rFonts w:ascii="仿宋" w:eastAsia="仿宋" w:hAnsi="仿宋" w:cs="仿宋" w:hint="eastAsia"/>
            <w:lang w:eastAsia="zh-CN"/>
          </w:rPr>
          <w:t>(一)、设计依据与法规合规</w:t>
        </w:r>
        <w:r>
          <w:tab/>
        </w:r>
        <w:r>
          <w:fldChar w:fldCharType="begin"/>
        </w:r>
        <w:r>
          <w:instrText xml:space="preserve"> PAGEREF _Toc25543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213" w:history="1">
        <w:r>
          <w:rPr>
            <w:rFonts w:ascii="仿宋" w:eastAsia="仿宋" w:hAnsi="仿宋" w:cs="仿宋" w:hint="eastAsia"/>
            <w:lang w:eastAsia="zh-CN"/>
          </w:rPr>
          <w:t>(二)、劳动安全预期效果评价</w:t>
        </w:r>
        <w:r>
          <w:tab/>
        </w:r>
        <w:r>
          <w:fldChar w:fldCharType="begin"/>
        </w:r>
        <w:r>
          <w:instrText xml:space="preserve"> PAGEREF _Toc13213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432" w:history="1">
        <w:r>
          <w:rPr>
            <w:rFonts w:ascii="仿宋" w:eastAsia="仿宋" w:hAnsi="仿宋" w:cs="仿宋" w:hint="eastAsia"/>
            <w:lang w:eastAsia="zh-CN"/>
          </w:rPr>
          <w:t>(三)、主要防范措施</w:t>
        </w:r>
        <w:r>
          <w:tab/>
        </w:r>
        <w:r>
          <w:fldChar w:fldCharType="begin"/>
        </w:r>
        <w:r>
          <w:instrText xml:space="preserve"> PAGEREF _Toc31432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7089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微波辐射计、微波散射计、测高计行业研究报告致力于对微波辐射计、微波散射计、测高计行业进行详尽研究和分析，旨在为微波辐射计、微波散射计、测高计行业相关从业人员提供参考和借鉴。报告所包含的内容仅供学术研究和学习交流，不可用作商业用途。通过对行业发展历程、市场趋势和竞争态势的深入考察，本报告力求准确呈现行业现状和未来发展方向，为读者提供全面而有价值的行业洞察和决策支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7449"/>
      <w:r>
        <w:rPr>
          <w:rFonts w:ascii="仿宋" w:eastAsia="仿宋" w:hAnsi="仿宋" w:cs="仿宋" w:hint="eastAsia"/>
          <w:sz w:val="28"/>
          <w:lang w:eastAsia="zh-CN"/>
        </w:rPr>
        <w:t>一、微波辐射计、微波散射计、测高计选址方案分析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940"/>
      <w:r>
        <w:rPr>
          <w:rFonts w:ascii="仿宋" w:eastAsia="仿宋" w:hAnsi="仿宋" w:cs="仿宋" w:hint="eastAsia"/>
          <w:lang w:eastAsia="zh-CN"/>
        </w:rPr>
        <w:t>(一)、微波辐射计、微波散射计、测高计选址影响因素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市场需求与目标客户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选址的首要因素之一是市场需求和目标客户的分析。了解目标客户群体的特征、消费习惯以及对产品或服务的需求，有助于确定最适合的选址地点。市场需求的研究可通过调查、市场分析和消费者行为研究等手段进行，为选址提供有力的数据支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交通便利度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交通便利度是影响选址的重要因素之一。选址应考虑附近交通网络的完善程度，包括道路、公共交通和停车设施等。一个交通便利的地点有助于吸引更多的顾客，提高企业的可达性，从而增加潜在客户的流量。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(三) 周边竞争格局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周边竞争格局是选址决策的关键考量之一。了解附近竞争对手的数量、类型、规模和定位，有助于评估市场的竞争强度。避免过于密集的竞争，同时找到有利于自身业务发展的市场空白区域，是选择合适选址的重要因素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(四) 租金和成本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租金和成本是企业运营不可忽视的成本因素。在选址过程中，需要综合考虑租金水平、人工成本、税费等因素，确保选址地点的运营成本能够与预期收益相匹配。通过合理的成本控制，提高企业的盈利能力。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(五) 商业环境和消费氛围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商业环境和消费氛围直接影响到企业的形象和吸引力。选择位于商业繁华区域或具有良好商业氛围的地段，有助于提升品牌知名度，并吸引更多目标客户。良好的商业环境有助于形成良好的口碑和顾客忠诚度。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(六) 安全与便利设施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选址的安全性和周边便利设施也是重要的考虑因素。安全的选址有助于提高员工和顾客的安全感，同时便利设施如医疗机构、银行、公共服务设施等的存在，可提升周边环境的整体品质，对企业形象产生积极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(七) 未来发展潜力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https://d.book118.com/998060133142006030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微波辐射计、微波散射计、测高计行业研究报告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微波辐射计、微波散射计、测高计行业研究报告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微波辐射计、微波散射计、测高计行业研究报告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微波辐射计、微波散射计、测高计行业研究报告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微波辐射计、微波散射计、测高计行业研究报告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3220B3"/>
    <w:rsid w:val="373220B3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998060133142006030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zyk</dc:creator>
  <cp:lastModifiedBy>zyk</cp:lastModifiedBy>
  <cp:revision>1</cp:revision>
  <dcterms:created xsi:type="dcterms:W3CDTF">2023-11-30T15:28:00Z</dcterms:created>
  <dcterms:modified xsi:type="dcterms:W3CDTF">2023-11-30T15:28:55Z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1034F31D4FCE415BB7E8E1214B06A714_11</vt:lpwstr>
  </property>
  <property fmtid="{D5CDD505-2E9C-101B-9397-08002B2CF9AE}" pid="3" name="KSOProductBuildVer">
    <vt:lpwstr>2052-12.1.0.15712</vt:lpwstr>
  </property>
</Properties>
</file>