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4"/>
        <w:rPr>
          <w:rFonts w:ascii="Times New Roman"/>
          <w:sz w:val="17"/>
        </w:rPr>
      </w:pPr>
    </w:p>
    <w:p>
      <w:pPr>
        <w:spacing w:after="0"/>
        <w:rPr>
          <w:rFonts w:ascii="Times New Roman"/>
          <w:sz w:val="17"/>
        </w:rPr>
        <w:sectPr>
          <w:headerReference w:type="default" r:id="rId4"/>
          <w:footerReference w:type="default" r:id="rId5"/>
          <w:type w:val="continuous"/>
          <w:pgSz w:w="17860" w:h="25260"/>
          <w:pgMar w:top="1940" w:right="0" w:bottom="2240" w:left="0" w:header="1682" w:footer="2043"/>
          <w:cols w:space="708"/>
        </w:sectPr>
      </w:pPr>
    </w:p>
    <w:p>
      <w:pPr>
        <w:spacing w:before="46" w:line="254" w:lineRule="exact"/>
        <w:ind w:left="23" w:right="17" w:firstLine="0"/>
        <w:jc w:val="center"/>
        <w:rPr>
          <w:rFonts w:ascii="宋体" w:eastAsia="宋体" w:hint="eastAsia"/>
          <w:sz w:val="27"/>
        </w:rPr>
      </w:pPr>
      <w:r>
        <w:rPr>
          <w:rFonts w:ascii="宋体" w:eastAsia="宋体" w:hint="eastAsia"/>
          <w:sz w:val="27"/>
        </w:rPr>
        <w:t>实用文案</w:t>
      </w:r>
    </w:p>
    <w:p>
      <w:pPr>
        <w:pStyle w:val="Heading2"/>
        <w:spacing w:line="793" w:lineRule="exact"/>
        <w:ind w:left="961"/>
      </w:pPr>
      <w:r>
        <w:pict>
          <v:line id="_x0000_s1025" style="mso-position-horizontal-relative:page;position:absolute;z-index:-251658240" from="91pt,3.15pt" to="803pt,3.15pt" stroked="t" strokecolor="black" strokeweight="2pt">
            <v:stroke dashstyle="solid"/>
          </v:line>
        </w:pict>
      </w:r>
      <w:r>
        <w:t>地下管线、地上设施、周围建筑物保护措施</w:t>
      </w:r>
    </w:p>
    <w:p>
      <w:pPr>
        <w:pStyle w:val="BodyText"/>
        <w:spacing w:before="242"/>
        <w:ind w:left="2592"/>
      </w:pPr>
      <w:r>
        <w:t>一、地下管线加固措施</w:t>
      </w:r>
    </w:p>
    <w:p>
      <w:pPr>
        <w:pStyle w:val="BodyText"/>
        <w:spacing w:before="175" w:line="302" w:lineRule="auto"/>
        <w:ind w:left="1872" w:right="1944" w:firstLine="720"/>
      </w:pPr>
      <w:r>
        <w:t>按设计要求对工程范围内的地下管线加固，要求各管线单位出示地下管网图，并进行旁站指导。采取拆改和悬吊两种措施。</w:t>
      </w:r>
    </w:p>
    <w:p>
      <w:pPr>
        <w:pStyle w:val="BodyText"/>
        <w:spacing w:before="9"/>
        <w:ind w:left="2592"/>
      </w:pPr>
      <w:r>
        <w:t>(一)、拆除改移措施</w:t>
      </w:r>
    </w:p>
    <w:p>
      <w:pPr>
        <w:pStyle w:val="BodyText"/>
        <w:spacing w:before="175" w:line="302" w:lineRule="auto"/>
        <w:ind w:left="1872" w:right="1944" w:firstLine="720"/>
      </w:pPr>
      <w:r>
        <w:t>对需拆除改移的管线，由专业部门承担，我们将遵照业主及有关部门的指示，积极配合协助。</w:t>
      </w:r>
    </w:p>
    <w:p>
      <w:pPr>
        <w:pStyle w:val="BodyText"/>
        <w:spacing w:before="10"/>
        <w:ind w:left="2592"/>
      </w:pPr>
      <w:r>
        <w:t>(二)、悬吊措施</w:t>
      </w:r>
    </w:p>
    <w:p>
      <w:pPr>
        <w:pStyle w:val="ListParagraph"/>
        <w:numPr>
          <w:ilvl w:val="0"/>
          <w:numId w:val="8"/>
        </w:numPr>
        <w:tabs>
          <w:tab w:val="left" w:pos="2896"/>
        </w:tabs>
        <w:spacing w:before="175" w:after="0" w:line="302" w:lineRule="auto"/>
        <w:ind w:left="1872" w:right="2002" w:firstLine="720"/>
        <w:jc w:val="left"/>
        <w:rPr>
          <w:sz w:val="36"/>
        </w:rPr>
      </w:pPr>
      <w:r>
        <w:rPr>
          <w:spacing w:val="-1"/>
          <w:sz w:val="36"/>
        </w:rPr>
        <w:t>施工前应调查所有施工影响范围内的管线，着重查明悬吊管线种类、规格、埋深、</w:t>
      </w:r>
      <w:r>
        <w:rPr>
          <w:sz w:val="36"/>
        </w:rPr>
        <w:t>材质、接头型式、节长和管线基础等资料。</w:t>
      </w:r>
    </w:p>
    <w:p>
      <w:pPr>
        <w:pStyle w:val="ListParagraph"/>
        <w:numPr>
          <w:ilvl w:val="0"/>
          <w:numId w:val="8"/>
        </w:numPr>
        <w:tabs>
          <w:tab w:val="left" w:pos="2896"/>
        </w:tabs>
        <w:spacing w:before="9" w:after="0" w:line="302" w:lineRule="auto"/>
        <w:ind w:left="1872" w:right="2002" w:firstLine="720"/>
        <w:jc w:val="left"/>
        <w:rPr>
          <w:sz w:val="36"/>
        </w:rPr>
      </w:pPr>
      <w:r>
        <w:rPr>
          <w:spacing w:val="-1"/>
          <w:sz w:val="36"/>
        </w:rPr>
        <w:t>管线悬吊必须事先制定出详细的施工方案，并获得甲方、监理认可，同时与管线主</w:t>
      </w:r>
      <w:r>
        <w:rPr>
          <w:sz w:val="36"/>
        </w:rPr>
        <w:t>管单位共同商讨，并达成一致意见。</w:t>
      </w:r>
    </w:p>
    <w:p>
      <w:pPr>
        <w:pStyle w:val="ListParagraph"/>
        <w:numPr>
          <w:ilvl w:val="0"/>
          <w:numId w:val="8"/>
        </w:numPr>
        <w:tabs>
          <w:tab w:val="left" w:pos="2892"/>
        </w:tabs>
        <w:spacing w:before="5" w:after="0" w:line="240" w:lineRule="auto"/>
        <w:ind w:left="2891" w:right="0" w:hanging="300"/>
        <w:jc w:val="left"/>
        <w:rPr>
          <w:sz w:val="36"/>
        </w:rPr>
      </w:pPr>
      <w:r>
        <w:rPr>
          <w:sz w:val="36"/>
        </w:rPr>
        <w:t>支托结构必须座落在坚实的、稳定可靠的支墩上。</w:t>
      </w:r>
    </w:p>
    <w:p>
      <w:pPr>
        <w:pStyle w:val="ListParagraph"/>
        <w:numPr>
          <w:ilvl w:val="0"/>
          <w:numId w:val="8"/>
        </w:numPr>
        <w:tabs>
          <w:tab w:val="left" w:pos="2896"/>
        </w:tabs>
        <w:spacing w:before="180" w:after="0" w:line="302" w:lineRule="auto"/>
        <w:ind w:left="1872" w:right="2002" w:firstLine="720"/>
        <w:jc w:val="left"/>
        <w:rPr>
          <w:sz w:val="36"/>
        </w:rPr>
      </w:pPr>
      <w:r>
        <w:rPr>
          <w:spacing w:val="-1"/>
          <w:sz w:val="36"/>
        </w:rPr>
        <w:t>管线应在其下面的原状土开挖前支吊牢固，并经检查合格后，再采用人工开挖其下</w:t>
      </w:r>
      <w:r>
        <w:rPr>
          <w:sz w:val="36"/>
        </w:rPr>
        <w:t>部土方。</w:t>
      </w:r>
    </w:p>
    <w:p>
      <w:pPr>
        <w:pStyle w:val="ListParagraph"/>
        <w:numPr>
          <w:ilvl w:val="0"/>
          <w:numId w:val="8"/>
        </w:numPr>
        <w:tabs>
          <w:tab w:val="left" w:pos="2896"/>
        </w:tabs>
        <w:spacing w:before="5" w:after="0" w:line="304" w:lineRule="auto"/>
        <w:ind w:left="1872" w:right="1945" w:firstLine="720"/>
        <w:jc w:val="left"/>
        <w:rPr>
          <w:sz w:val="36"/>
        </w:rPr>
      </w:pPr>
      <w:r>
        <w:rPr>
          <w:sz w:val="36"/>
        </w:rPr>
        <w:t>在施工过程中，应对刚性悬托管线进行监测，管线上观测点的数量，应征求管线主</w:t>
      </w:r>
      <w:r>
        <w:rPr>
          <w:spacing w:val="-1"/>
          <w:sz w:val="36"/>
        </w:rPr>
        <w:t>管单位的意见，一般应在每节管线上设一观测点，观测标志可用抱箍直接固定在管线上。</w:t>
      </w:r>
    </w:p>
    <w:p>
      <w:pPr>
        <w:pStyle w:val="ListParagraph"/>
        <w:numPr>
          <w:ilvl w:val="0"/>
          <w:numId w:val="8"/>
        </w:numPr>
        <w:tabs>
          <w:tab w:val="left" w:pos="2892"/>
        </w:tabs>
        <w:spacing w:before="0" w:after="0" w:line="659" w:lineRule="exact"/>
        <w:ind w:left="2891" w:right="0" w:hanging="300"/>
        <w:jc w:val="left"/>
        <w:rPr>
          <w:sz w:val="36"/>
        </w:rPr>
      </w:pPr>
      <w:r>
        <w:rPr>
          <w:sz w:val="36"/>
        </w:rPr>
        <w:t>工程施工时，不得碰撞管道悬吊系统或利用其做起重架、脚手架或模板支撑。</w:t>
      </w:r>
    </w:p>
    <w:p>
      <w:pPr>
        <w:pStyle w:val="ListParagraph"/>
        <w:numPr>
          <w:ilvl w:val="0"/>
          <w:numId w:val="8"/>
        </w:numPr>
        <w:tabs>
          <w:tab w:val="left" w:pos="2892"/>
        </w:tabs>
        <w:spacing w:before="175" w:after="0" w:line="240" w:lineRule="auto"/>
        <w:ind w:left="2891" w:right="0" w:hanging="300"/>
        <w:jc w:val="left"/>
        <w:rPr>
          <w:sz w:val="36"/>
        </w:rPr>
      </w:pPr>
      <w:r>
        <w:rPr>
          <w:sz w:val="36"/>
        </w:rPr>
        <w:t>悬吊管线应依据管线的类型分别设立一定的安全保护区域，严禁机械设备靠近。</w:t>
      </w:r>
    </w:p>
    <w:p>
      <w:pPr>
        <w:pStyle w:val="ListParagraph"/>
        <w:numPr>
          <w:ilvl w:val="0"/>
          <w:numId w:val="8"/>
        </w:numPr>
        <w:tabs>
          <w:tab w:val="left" w:pos="2896"/>
        </w:tabs>
        <w:spacing w:before="180" w:after="0" w:line="302" w:lineRule="auto"/>
        <w:ind w:left="1872" w:right="2002" w:firstLine="720"/>
        <w:jc w:val="left"/>
        <w:rPr>
          <w:sz w:val="36"/>
        </w:rPr>
      </w:pPr>
      <w:r>
        <w:rPr>
          <w:spacing w:val="-1"/>
          <w:sz w:val="36"/>
        </w:rPr>
        <w:t>基坑回填土前，悬吊的刚性管线下应砌筑支墩加固，防止下沉，并按设计要求恢复</w:t>
      </w:r>
      <w:r>
        <w:rPr>
          <w:sz w:val="36"/>
        </w:rPr>
        <w:t>管道和回填土。</w:t>
      </w:r>
    </w:p>
    <w:p>
      <w:pPr>
        <w:pStyle w:val="ListParagraph"/>
        <w:numPr>
          <w:ilvl w:val="0"/>
          <w:numId w:val="8"/>
        </w:numPr>
        <w:tabs>
          <w:tab w:val="left" w:pos="2896"/>
        </w:tabs>
        <w:spacing w:before="6" w:after="0" w:line="304" w:lineRule="auto"/>
        <w:ind w:left="1872" w:right="2002" w:firstLine="720"/>
        <w:jc w:val="left"/>
        <w:rPr>
          <w:sz w:val="36"/>
        </w:rPr>
      </w:pPr>
      <w:r>
        <w:rPr>
          <w:spacing w:val="-1"/>
          <w:sz w:val="36"/>
        </w:rPr>
        <w:t>在具体施工阶段，加强施工监测，并通过与管线基准值的对比分析来掌握管线的实</w:t>
      </w:r>
      <w:r>
        <w:rPr>
          <w:sz w:val="36"/>
        </w:rPr>
        <w:t>际状况，并反馈信息，及时、灵活地调整施工工艺。</w:t>
      </w:r>
    </w:p>
    <w:p>
      <w:pPr>
        <w:pStyle w:val="ListParagraph"/>
        <w:numPr>
          <w:ilvl w:val="0"/>
          <w:numId w:val="8"/>
        </w:numPr>
        <w:tabs>
          <w:tab w:val="left" w:pos="3104"/>
        </w:tabs>
        <w:spacing w:before="0" w:after="0" w:line="659" w:lineRule="exact"/>
        <w:ind w:left="3103" w:right="0" w:hanging="512"/>
        <w:jc w:val="left"/>
        <w:rPr>
          <w:sz w:val="36"/>
        </w:rPr>
      </w:pPr>
      <w:r>
        <w:rPr>
          <w:sz w:val="36"/>
        </w:rPr>
        <w:t>管道附近禁止停放各种机械及堆放杂物。</w:t>
      </w:r>
    </w:p>
    <w:p>
      <w:pPr>
        <w:spacing w:after="0" w:line="659" w:lineRule="exact"/>
        <w:jc w:val="left"/>
        <w:rPr>
          <w:sz w:val="36"/>
        </w:rPr>
        <w:sectPr>
          <w:headerReference w:type="default" r:id="rId6"/>
          <w:footerReference w:type="default" r:id="rId7"/>
          <w:pgSz w:w="17860" w:h="25260"/>
          <w:pgMar w:top="1580" w:right="0" w:bottom="2240" w:left="0" w:header="0" w:footer="2043"/>
          <w:pgNumType w:start="2"/>
          <w:cols w:space="708"/>
        </w:sectPr>
      </w:pPr>
    </w:p>
    <w:p>
      <w:pPr>
        <w:pStyle w:val="BodyText"/>
        <w:spacing w:before="3"/>
        <w:rPr>
          <w:sz w:val="7"/>
        </w:rPr>
      </w:pPr>
    </w:p>
    <w:p>
      <w:pPr>
        <w:pStyle w:val="BodyText"/>
        <w:spacing w:before="6"/>
        <w:ind w:left="2592"/>
      </w:pPr>
      <w:r>
        <w:t>二、地上设施、周围建筑物保护措施</w:t>
      </w:r>
    </w:p>
    <w:p>
      <w:pPr>
        <w:pStyle w:val="BodyText"/>
        <w:spacing w:before="178" w:line="302" w:lineRule="auto"/>
        <w:ind w:left="1872" w:right="1869" w:firstLine="720"/>
        <w:jc w:val="both"/>
      </w:pPr>
      <w:r>
        <w:rPr>
          <w:spacing w:val="-14"/>
        </w:rPr>
        <w:t>(一)、进场前，积极配合发包人和监理工程师做好施工用地范围及场区范围内必须保存</w:t>
      </w:r>
      <w:r>
        <w:t>的树木、广告牌、管线、建筑物、构筑物的移交工作，并签署移交文件，采用量、测、拍照、录像等手段做好原始记录。</w:t>
      </w:r>
    </w:p>
    <w:p>
      <w:pPr>
        <w:pStyle w:val="BodyText"/>
        <w:spacing w:before="12"/>
        <w:ind w:left="2592"/>
      </w:pPr>
      <w:r>
        <w:t>(二)、建立责任制、将地面设施、建筑物的保护落实到人。</w:t>
      </w:r>
    </w:p>
    <w:p>
      <w:pPr>
        <w:pStyle w:val="BodyText"/>
        <w:spacing w:before="175" w:line="302" w:lineRule="auto"/>
        <w:ind w:left="1872" w:right="1864" w:firstLine="720"/>
      </w:pPr>
      <w:r>
        <w:rPr>
          <w:spacing w:val="-13"/>
        </w:rPr>
        <w:t>(三)、施工中加强对周围建筑物的监控量测，以掌握建筑物动态的沉降信息，及时调整</w:t>
      </w:r>
      <w:r>
        <w:t>施工方法，减少施工和降水对周围环境的影响，控制基坑周边土体位移。</w:t>
      </w:r>
    </w:p>
    <w:p>
      <w:pPr>
        <w:pStyle w:val="BodyText"/>
        <w:spacing w:before="10" w:line="302" w:lineRule="auto"/>
        <w:ind w:left="1872" w:right="1707" w:firstLine="720"/>
      </w:pPr>
      <w:r>
        <w:t>(四)、对树木、路碑、广告牌、电线杆等设立围档并挂牌，安设夜间亮光标志，确保其不被碰破、撞倒等。</w:t>
      </w:r>
    </w:p>
    <w:p>
      <w:pPr>
        <w:pStyle w:val="BodyText"/>
        <w:spacing w:before="5"/>
        <w:ind w:left="2592"/>
      </w:pPr>
      <w:r>
        <w:t>(五)、对振动较大的机械设备要做好防振措施，避免振动噪声污染以及振动破外。</w:t>
      </w:r>
    </w:p>
    <w:p>
      <w:pPr>
        <w:spacing w:after="0"/>
        <w:sectPr>
          <w:headerReference w:type="default" r:id="rId8"/>
          <w:footerReference w:type="default" r:id="rId9"/>
          <w:pgSz w:w="17860" w:h="25260"/>
          <w:pgMar w:top="1940" w:right="0" w:bottom="2240" w:left="0" w:header="1682" w:footer="2043"/>
          <w:pgNumType w:start="3"/>
          <w:cols w:space="708"/>
        </w:sectPr>
      </w:pPr>
    </w:p>
    <w:p>
      <w:pPr>
        <w:pStyle w:val="BodyText"/>
        <w:rPr>
          <w:sz w:val="20"/>
        </w:rPr>
      </w:pPr>
    </w:p>
    <w:p>
      <w:pPr>
        <w:pStyle w:val="BodyText"/>
        <w:rPr>
          <w:sz w:val="20"/>
        </w:rPr>
      </w:pPr>
    </w:p>
    <w:p>
      <w:pPr>
        <w:pStyle w:val="BodyText"/>
        <w:rPr>
          <w:sz w:val="20"/>
        </w:rPr>
      </w:pPr>
    </w:p>
    <w:p>
      <w:pPr>
        <w:pStyle w:val="BodyText"/>
        <w:spacing w:before="13"/>
        <w:rPr>
          <w:sz w:val="24"/>
        </w:rPr>
      </w:pPr>
    </w:p>
    <w:p>
      <w:pPr>
        <w:pStyle w:val="Heading2"/>
        <w:ind w:left="3"/>
      </w:pPr>
      <w:r>
        <w:t>道路工程附属设施主要施工方法或方案和施工措施</w:t>
      </w:r>
    </w:p>
    <w:p>
      <w:pPr>
        <w:pStyle w:val="BodyText"/>
        <w:spacing w:before="238"/>
        <w:ind w:left="2592"/>
      </w:pPr>
      <w:r>
        <w:t>附属设施包括：缘石、侧石和人行道花砖安装。</w:t>
      </w:r>
    </w:p>
    <w:p>
      <w:pPr>
        <w:pStyle w:val="BodyText"/>
        <w:spacing w:before="179" w:line="302" w:lineRule="auto"/>
        <w:ind w:left="1872" w:right="1944" w:firstLine="720"/>
        <w:jc w:val="both"/>
      </w:pPr>
      <w:r>
        <w:t>所有预制构件使用建设单位指定的成品。建设单位如无指定，则选用合格厂家生产的合格产品。进场后经过外观质量检验，要求色泽一致，无掉边、断裂等现象。成品构件运到现场沿路线分开摆放，避免二次倒运。</w:t>
      </w:r>
    </w:p>
    <w:p>
      <w:pPr>
        <w:pStyle w:val="ListParagraph"/>
        <w:numPr>
          <w:ilvl w:val="0"/>
          <w:numId w:val="7"/>
        </w:numPr>
        <w:tabs>
          <w:tab w:val="left" w:pos="3526"/>
        </w:tabs>
        <w:spacing w:before="12" w:after="0" w:line="240" w:lineRule="auto"/>
        <w:ind w:left="3526" w:right="0" w:hanging="934"/>
        <w:jc w:val="left"/>
        <w:rPr>
          <w:sz w:val="36"/>
        </w:rPr>
      </w:pPr>
      <w:r>
        <w:rPr>
          <w:sz w:val="36"/>
        </w:rPr>
        <w:t>人行道面块施工：</w:t>
      </w:r>
    </w:p>
    <w:p>
      <w:pPr>
        <w:pStyle w:val="BodyText"/>
        <w:spacing w:before="175" w:line="304" w:lineRule="auto"/>
        <w:ind w:left="1872" w:right="1859" w:firstLine="720"/>
        <w:jc w:val="both"/>
      </w:pPr>
      <w:r>
        <w:t>人行道面块安装过程首先定线，即挂线定出花砖边线、边部标高线，每 5m 钉钢钎并将线拉紧。用以控制面块安装时的边部位置和顶面标高。由于人行道较窄，安装面块时只两侧定线即可，从而确定了路面的横坡。施工时由一端沿路纵向安装，并随着安装沿路横向拉一根线，该线两端挂于纵线上，用以控制安装时的路面标高和横坡。</w:t>
      </w:r>
    </w:p>
    <w:p>
      <w:pPr>
        <w:pStyle w:val="BodyText"/>
        <w:spacing w:line="651" w:lineRule="exact"/>
        <w:ind w:left="2592"/>
        <w:jc w:val="both"/>
      </w:pPr>
      <w:r>
        <w:t>安装前先铺设 3cm 的水泥砂浆调平层，按照设计要求控制好调平层的平整度、压实度</w:t>
      </w:r>
    </w:p>
    <w:p>
      <w:pPr>
        <w:pStyle w:val="BodyText"/>
        <w:spacing w:before="180" w:line="302" w:lineRule="auto"/>
        <w:ind w:left="1872" w:right="1945"/>
        <w:jc w:val="both"/>
      </w:pPr>
      <w:r>
        <w:t>和顶面标高。之后安放面块，面块要用胶皮锤用力击打，使下面砂浆密实。面块接缝应严密一致，顶面应平整无错台。安装一定面积的成品后进行清扫，表面可撒布细砂，再人工扫入缝隙中，之后适当洒水养护。</w:t>
      </w:r>
    </w:p>
    <w:p>
      <w:pPr>
        <w:pStyle w:val="BodyText"/>
        <w:spacing w:before="12" w:line="302" w:lineRule="auto"/>
        <w:ind w:left="1872" w:right="1685" w:firstLine="720"/>
      </w:pPr>
      <w:r>
        <w:rPr>
          <w:spacing w:val="-6"/>
        </w:rPr>
        <w:t xml:space="preserve">人行道面块在与相邻单位入口连接部位施工时，按照设计图纸所示控制好坡度的变化， </w:t>
      </w:r>
      <w:r>
        <w:t>要做到线形美观，接口顺畅。</w:t>
      </w:r>
    </w:p>
    <w:p>
      <w:pPr>
        <w:pStyle w:val="ListParagraph"/>
        <w:numPr>
          <w:ilvl w:val="0"/>
          <w:numId w:val="7"/>
        </w:numPr>
        <w:tabs>
          <w:tab w:val="left" w:pos="3705"/>
        </w:tabs>
        <w:spacing w:before="5" w:after="0" w:line="240" w:lineRule="auto"/>
        <w:ind w:left="3705" w:right="0" w:hanging="1113"/>
        <w:jc w:val="left"/>
        <w:rPr>
          <w:sz w:val="36"/>
        </w:rPr>
      </w:pPr>
      <w:r>
        <w:rPr>
          <w:sz w:val="36"/>
        </w:rPr>
        <w:t>侧石及缘石施工：</w:t>
      </w:r>
    </w:p>
    <w:p>
      <w:pPr>
        <w:pStyle w:val="BodyText"/>
        <w:tabs>
          <w:tab w:val="left" w:pos="3312"/>
        </w:tabs>
        <w:spacing w:before="180"/>
        <w:ind w:left="2592"/>
      </w:pPr>
      <w:r>
        <w:t>①</w:t>
        <w:tab/>
        <w:t>构件制作及检验：</w:t>
      </w:r>
    </w:p>
    <w:p>
      <w:pPr>
        <w:pStyle w:val="BodyText"/>
        <w:spacing w:before="175" w:line="302" w:lineRule="auto"/>
        <w:ind w:left="1872" w:right="1944" w:firstLine="720"/>
      </w:pPr>
      <w:r>
        <w:t>侧石由花岗岩石材场预制，规格、尺寸要满足设计要求，产品运到现场后，要进行检验，要求色泽一致，无掉边、断裂等现象，检验合格的产品才能使用。</w:t>
      </w:r>
    </w:p>
    <w:p>
      <w:pPr>
        <w:pStyle w:val="BodyText"/>
        <w:tabs>
          <w:tab w:val="left" w:pos="3312"/>
        </w:tabs>
        <w:spacing w:before="9"/>
        <w:ind w:left="2592"/>
      </w:pPr>
      <w:r>
        <w:t>②</w:t>
        <w:tab/>
        <w:t>侧石的安装：</w:t>
      </w:r>
    </w:p>
    <w:p>
      <w:pPr>
        <w:pStyle w:val="BodyText"/>
        <w:spacing w:before="175"/>
        <w:ind w:left="2592"/>
      </w:pPr>
      <w:r>
        <w:t>a、侧石安装工序在石灰粉煤灰碎石下基层摊铺完成后进行。根据施工图确定的侧石平</w:t>
      </w:r>
    </w:p>
    <w:p>
      <w:pPr>
        <w:spacing w:after="0"/>
        <w:sectPr>
          <w:headerReference w:type="default" r:id="rId10"/>
          <w:footerReference w:type="default" r:id="rId11"/>
          <w:pgSz w:w="17860" w:h="25260"/>
          <w:pgMar w:top="1940" w:right="0" w:bottom="2240" w:left="0" w:header="1682" w:footer="2043"/>
          <w:pgNumType w:start="4"/>
          <w:cols w:space="708"/>
        </w:sectPr>
      </w:pPr>
    </w:p>
    <w:p>
      <w:pPr>
        <w:pStyle w:val="BodyText"/>
        <w:spacing w:before="3"/>
        <w:rPr>
          <w:sz w:val="7"/>
        </w:rPr>
      </w:pPr>
    </w:p>
    <w:p>
      <w:pPr>
        <w:pStyle w:val="BodyText"/>
        <w:spacing w:before="6" w:line="304" w:lineRule="auto"/>
        <w:ind w:left="1872" w:right="1838"/>
        <w:jc w:val="both"/>
      </w:pPr>
      <w:r>
        <w:t>面位置，依次量出路面边界，进行边线放样，定出边桩。钉桩直线部分桩距10～15m，</w:t>
      </w:r>
      <w:r>
        <w:rPr>
          <w:spacing w:val="-15"/>
        </w:rPr>
        <w:t>弯</w:t>
      </w:r>
      <w:r>
        <w:rPr>
          <w:spacing w:val="-3"/>
        </w:rPr>
        <w:t xml:space="preserve">道部分桩距 </w:t>
      </w:r>
      <w:r>
        <w:t>5～10m</w:t>
      </w:r>
      <w:r>
        <w:rPr>
          <w:spacing w:val="-5"/>
        </w:rPr>
        <w:t xml:space="preserve">，路口处桩距 </w:t>
      </w:r>
      <w:r>
        <w:t>1～5m</w:t>
      </w:r>
      <w:r>
        <w:rPr>
          <w:spacing w:val="-1"/>
        </w:rPr>
        <w:t>。按路面设计纵坡和侧石纵坡相平行的原则，计</w:t>
      </w:r>
      <w:r>
        <w:t>算出侧石顶面标高值，并在实地挂线测量放出侧石顶面基线。</w:t>
      </w:r>
    </w:p>
    <w:p>
      <w:pPr>
        <w:pStyle w:val="BodyText"/>
        <w:spacing w:line="304" w:lineRule="auto"/>
        <w:ind w:left="1872" w:right="1828" w:firstLine="720"/>
      </w:pPr>
      <w:r>
        <w:t>b、侧石用2cm 水泥砂浆铺底，支设钢模现浇C15 混凝土做后戗，模板要挂线调直并支设牢固，确保浇筑后的侧石线型顺畅，相邻侧石接缝必须平齐，缝宽一致。</w:t>
      </w:r>
    </w:p>
    <w:p>
      <w:pPr>
        <w:pStyle w:val="BodyText"/>
        <w:spacing w:line="302" w:lineRule="auto"/>
        <w:ind w:left="1872" w:right="1584" w:firstLine="720"/>
      </w:pPr>
      <w:r>
        <w:t>③、要求缘石安放稳固，做到线型直顺，曲线圆滑；顶面平整无错牙，勾缝饱满严密， 整洁坚实，无飞刺。</w:t>
      </w:r>
    </w:p>
    <w:p>
      <w:pPr>
        <w:spacing w:after="0" w:line="302" w:lineRule="auto"/>
        <w:sectPr>
          <w:headerReference w:type="default" r:id="rId12"/>
          <w:footerReference w:type="default" r:id="rId13"/>
          <w:pgSz w:w="17860" w:h="25260"/>
          <w:pgMar w:top="1940" w:right="0" w:bottom="2240" w:left="0" w:header="1682" w:footer="2043"/>
          <w:pgNumType w:start="5"/>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
        <w:rPr>
          <w:sz w:val="15"/>
        </w:rPr>
      </w:pPr>
    </w:p>
    <w:p>
      <w:pPr>
        <w:pStyle w:val="Heading2"/>
        <w:ind w:left="10"/>
      </w:pPr>
      <w:r>
        <w:t>道路工程附属设施质量保证措施</w:t>
      </w:r>
    </w:p>
    <w:p>
      <w:pPr>
        <w:pStyle w:val="BodyText"/>
        <w:spacing w:before="238" w:line="304" w:lineRule="auto"/>
        <w:ind w:left="1872" w:right="1808" w:firstLine="792"/>
        <w:jc w:val="both"/>
      </w:pPr>
      <w:r>
        <w:rPr>
          <w:spacing w:val="-4"/>
        </w:rPr>
        <w:t>一、认真审查图纸,项目各专业工程师组织质量员、各施工队技术负责人、班组长、安</w:t>
      </w:r>
      <w:r>
        <w:t>全员认真学习图纸，熟悉施工和验收规范、标准，了解设计意图，编制作业指导书，并报监理工程师审批，指导工程施工。</w:t>
      </w:r>
    </w:p>
    <w:p>
      <w:pPr>
        <w:pStyle w:val="BodyText"/>
        <w:spacing w:line="304" w:lineRule="auto"/>
        <w:ind w:left="1872" w:right="1872" w:firstLine="792"/>
        <w:jc w:val="both"/>
      </w:pPr>
      <w:r>
        <w:t>二、坚持技术交底制度，项目各专业工程师对各种管道、线路等非主体结构工程进行详细的交底，明确施工要求、技术措施、质量标准、安全目标，确保工程施工安全、质量一次达标。</w:t>
      </w:r>
    </w:p>
    <w:p>
      <w:pPr>
        <w:pStyle w:val="BodyText"/>
        <w:spacing w:line="302" w:lineRule="auto"/>
        <w:ind w:left="1872" w:right="1872" w:firstLine="792"/>
      </w:pPr>
      <w:r>
        <w:t>三、各种管道的连接严格按照设计要求、施工和验收规范规定执行，对管道连接、割口对焊，由监理工程师、专业工程师检验，发现问题立即整改。</w:t>
      </w:r>
    </w:p>
    <w:p>
      <w:pPr>
        <w:pStyle w:val="BodyText"/>
        <w:spacing w:line="302" w:lineRule="auto"/>
        <w:ind w:left="1872" w:right="1585" w:firstLine="792"/>
      </w:pPr>
      <w:r>
        <w:t>四、各种管道支架件安装，严格按照设计要求和有关规定，对管道位置要弹线放样， 支架件加工要按图、按施工部位专业加工，确保管道支架及管道安装达到质量、安全要求。</w:t>
      </w:r>
    </w:p>
    <w:p>
      <w:pPr>
        <w:pStyle w:val="BodyText"/>
        <w:spacing w:line="304" w:lineRule="auto"/>
        <w:ind w:left="1872" w:right="1872" w:firstLine="792"/>
      </w:pPr>
      <w:r>
        <w:t>五、对预埋件应根据设计图纸及规范规定，先设计后加工，确保预埋件加工质量、安全，为施工安装创造良好的基础。</w:t>
      </w:r>
    </w:p>
    <w:p>
      <w:pPr>
        <w:pStyle w:val="BodyText"/>
        <w:spacing w:line="304" w:lineRule="auto"/>
        <w:ind w:left="1872" w:right="1872" w:firstLine="792"/>
        <w:jc w:val="both"/>
      </w:pPr>
      <w:r>
        <w:t>六、合理安排施工工序，尽量减少工序间的相互干扰和影响，凡污染或损伤已完工部位的，在下道工序施工前必须采取有效的成品保护措施，并报监理工程师审批，审批合格后才可进行下道工序施工。</w:t>
      </w:r>
    </w:p>
    <w:p>
      <w:pPr>
        <w:pStyle w:val="BodyText"/>
        <w:spacing w:line="304" w:lineRule="auto"/>
        <w:ind w:left="1872" w:right="1684" w:firstLine="792"/>
      </w:pPr>
      <w:r>
        <w:rPr>
          <w:spacing w:val="-15"/>
        </w:rPr>
        <w:t xml:space="preserve">七、预埋件、预留孔位置由中心线及实测标高严格控制，中心线严格按双检制度进行， </w:t>
      </w:r>
      <w:r>
        <w:t>未经复核的中线不准使用，施工应进行测量确定预埋件、预埋孔洞的中心位置，外轮廓线要求精确到毫米。</w:t>
      </w:r>
    </w:p>
    <w:p>
      <w:pPr>
        <w:pStyle w:val="BodyText"/>
        <w:spacing w:line="655" w:lineRule="exact"/>
        <w:ind w:left="2664"/>
      </w:pPr>
      <w:r>
        <w:t>八、在浇筑砼前，对预埋件位置再次进行检查、调整，自检合格后由质量工程师进行</w:t>
      </w:r>
    </w:p>
    <w:p>
      <w:pPr>
        <w:spacing w:after="0" w:line="655" w:lineRule="exact"/>
        <w:sectPr>
          <w:headerReference w:type="default" r:id="rId14"/>
          <w:footerReference w:type="default" r:id="rId15"/>
          <w:pgSz w:w="17860" w:h="25260"/>
          <w:pgMar w:top="1940" w:right="0" w:bottom="2240" w:left="0" w:header="1682" w:footer="2043"/>
          <w:pgNumType w:start="6"/>
          <w:cols w:space="708"/>
        </w:sectPr>
      </w:pPr>
    </w:p>
    <w:p>
      <w:pPr>
        <w:pStyle w:val="BodyText"/>
        <w:spacing w:before="3"/>
        <w:rPr>
          <w:sz w:val="7"/>
        </w:rPr>
      </w:pPr>
    </w:p>
    <w:p>
      <w:pPr>
        <w:pStyle w:val="BodyText"/>
        <w:spacing w:before="6" w:line="304" w:lineRule="auto"/>
        <w:ind w:left="1872" w:right="1945"/>
      </w:pPr>
      <w:r>
        <w:t>检查，检查合格后，由总工程师会同监理工程师、设计人员进行签认合格后方可进入下道工序，在砼浇筑振捣时，不得随意碰撞预埋件，并采取措施保证孔壁砼密实。</w:t>
      </w:r>
    </w:p>
    <w:p>
      <w:pPr>
        <w:pStyle w:val="BodyText"/>
        <w:spacing w:line="302" w:lineRule="auto"/>
        <w:ind w:left="1872" w:right="1872" w:firstLine="792"/>
      </w:pPr>
      <w:r>
        <w:t>九、拆模时要认真仔细，脱模后及时做好预留件的竣工测量，对孔口尺寸、孔壁垂直误差超出规范要求的应尽早修复并随时保护。</w:t>
      </w:r>
    </w:p>
    <w:p>
      <w:pPr>
        <w:spacing w:after="0" w:line="302" w:lineRule="auto"/>
        <w:sectPr>
          <w:headerReference w:type="default" r:id="rId16"/>
          <w:footerReference w:type="default" r:id="rId17"/>
          <w:pgSz w:w="17860" w:h="25260"/>
          <w:pgMar w:top="1940" w:right="0" w:bottom="2240" w:left="0" w:header="1682" w:footer="2043"/>
          <w:pgNumType w:start="7"/>
          <w:cols w:space="708"/>
        </w:sectPr>
      </w:pPr>
    </w:p>
    <w:p>
      <w:pPr>
        <w:pStyle w:val="BodyText"/>
        <w:spacing w:before="7"/>
        <w:rPr>
          <w:sz w:val="17"/>
        </w:rPr>
      </w:pPr>
    </w:p>
    <w:p>
      <w:pPr>
        <w:pStyle w:val="Heading2"/>
        <w:ind w:left="10"/>
      </w:pPr>
      <w:r>
        <w:t>各工序的协调措施</w:t>
      </w:r>
    </w:p>
    <w:p>
      <w:pPr>
        <w:pStyle w:val="BodyText"/>
        <w:spacing w:before="238" w:line="304" w:lineRule="auto"/>
        <w:ind w:left="2700" w:right="2696" w:firstLine="719"/>
        <w:jc w:val="both"/>
      </w:pPr>
      <w:r>
        <w:rPr>
          <w:spacing w:val="-14"/>
        </w:rPr>
        <w:t>一、施工前，由建设单位组织本工程的各配套单位的协调会议，以利工程顺</w:t>
      </w:r>
      <w:r>
        <w:rPr>
          <w:spacing w:val="-13"/>
        </w:rPr>
        <w:t>利进行。组织有关人员实地勘测，搞清地上建筑和地下障碍物的位置，必要时进</w:t>
      </w:r>
      <w:r>
        <w:t>行地下物勘探工作和拿出迁改或保护方案。</w:t>
      </w:r>
    </w:p>
    <w:p>
      <w:pPr>
        <w:pStyle w:val="BodyText"/>
        <w:spacing w:line="304" w:lineRule="auto"/>
        <w:ind w:left="2700" w:right="2556" w:firstLine="719"/>
        <w:jc w:val="both"/>
      </w:pPr>
      <w:r>
        <w:rPr>
          <w:spacing w:val="-12"/>
        </w:rPr>
        <w:t>二、设计图纸和资料沿线各种地下等隐蔽设施及地上构筑物、周边建筑必须</w:t>
      </w:r>
      <w:r>
        <w:rPr>
          <w:spacing w:val="-17"/>
        </w:rPr>
        <w:t xml:space="preserve">按设计到具体单位和人员，以保障施工现场周围构筑物的完好，并留原始记录要求指定范围与有关单位联系，弄清具体种类尺寸、位置、高度、层层交待清楚， </w:t>
      </w:r>
      <w:r>
        <w:t>落实。</w:t>
      </w:r>
    </w:p>
    <w:p>
      <w:pPr>
        <w:pStyle w:val="BodyText"/>
        <w:spacing w:line="302" w:lineRule="auto"/>
        <w:ind w:left="2700" w:right="2558" w:firstLine="719"/>
      </w:pPr>
      <w:r>
        <w:t>三、由项目经理负责，工程技术部执行，专门负责工序的协调工作，工程技术部按工程的进度、现场实际情况合理安排各工序的施工。</w:t>
      </w:r>
    </w:p>
    <w:p>
      <w:pPr>
        <w:pStyle w:val="BodyText"/>
        <w:spacing w:line="304" w:lineRule="auto"/>
        <w:ind w:left="2700" w:right="2558" w:firstLine="719"/>
      </w:pPr>
      <w:r>
        <w:t>四、工程技术部随时掌握和控制施工进度，及时进行人力、材料、机械的平衡调配，保证施工进度顺利进行。</w:t>
      </w:r>
    </w:p>
    <w:p>
      <w:pPr>
        <w:pStyle w:val="BodyText"/>
        <w:spacing w:line="304" w:lineRule="auto"/>
        <w:ind w:left="2700" w:right="2697" w:firstLine="719"/>
        <w:jc w:val="both"/>
      </w:pPr>
      <w:r>
        <w:rPr>
          <w:spacing w:val="-14"/>
        </w:rPr>
        <w:t>五、合理安排施工顺序，尽量减少工序间的相互干扰和损伤，凡污染或损伤</w:t>
      </w:r>
      <w:r>
        <w:rPr>
          <w:spacing w:val="-13"/>
        </w:rPr>
        <w:t>已完工部位的，在下道工序开工前，必须制定有效的成品保护措施，报监理工程</w:t>
      </w:r>
      <w:r>
        <w:t>师审批，否则不能施工。</w:t>
      </w:r>
    </w:p>
    <w:p>
      <w:pPr>
        <w:pStyle w:val="BodyText"/>
        <w:spacing w:line="304" w:lineRule="auto"/>
        <w:ind w:left="2700" w:right="2520" w:firstLine="719"/>
        <w:jc w:val="both"/>
      </w:pPr>
      <w:r>
        <w:t>六、进场后，以确保重点，兼顾一般，先难后易，先上后下的原则进行工序</w:t>
      </w:r>
      <w:r>
        <w:rPr>
          <w:spacing w:val="-12"/>
        </w:rPr>
        <w:t xml:space="preserve">安排。按照各专业管线进场次序依次做好准备，为配套工程的顺利施工打下良好的基础，在进行出槽土方、回填、加固、清理等工作后进入道路结构层的施工， </w:t>
      </w:r>
      <w:r>
        <w:rPr>
          <w:spacing w:val="-24"/>
        </w:rPr>
        <w:t xml:space="preserve">车行道石灰土成型后再进行人行道开槽，做结构，同时配合排水施工单位做支管， </w:t>
      </w:r>
      <w:r>
        <w:t>井边回填工作，石灰粉煤灰碎石施工完成后，可码侧石、缘石、铺花岗岩面砖以及车行道铺油工作。</w:t>
      </w:r>
    </w:p>
    <w:p>
      <w:pPr>
        <w:pStyle w:val="BodyText"/>
        <w:spacing w:line="648" w:lineRule="exact"/>
        <w:ind w:left="3420"/>
      </w:pPr>
      <w:r>
        <w:t>七、在施工过程中，以统筹兼顾、快速运作、平行流水、交叉作业来协调工</w:t>
      </w:r>
    </w:p>
    <w:p>
      <w:pPr>
        <w:pStyle w:val="BodyText"/>
        <w:spacing w:before="153" w:line="304" w:lineRule="auto"/>
        <w:ind w:left="2700" w:right="2556"/>
      </w:pPr>
      <w:r>
        <w:t>序的流程。与建设单位、监理单位协调，保证工程的安全、工期及质量的目标实现。</w:t>
      </w:r>
    </w:p>
    <w:p>
      <w:pPr>
        <w:spacing w:after="0" w:line="304" w:lineRule="auto"/>
        <w:sectPr>
          <w:headerReference w:type="default" r:id="rId18"/>
          <w:footerReference w:type="default" r:id="rId19"/>
          <w:pgSz w:w="17860" w:h="25260"/>
          <w:pgMar w:top="1400" w:right="0" w:bottom="2020" w:left="0" w:header="1088" w:footer="1831"/>
          <w:pgNumType w:start="8"/>
          <w:cols w:space="708"/>
        </w:sectPr>
      </w:pPr>
    </w:p>
    <w:p>
      <w:pPr>
        <w:pStyle w:val="BodyText"/>
        <w:rPr>
          <w:sz w:val="20"/>
        </w:rPr>
      </w:pPr>
    </w:p>
    <w:p>
      <w:pPr>
        <w:pStyle w:val="BodyText"/>
        <w:rPr>
          <w:sz w:val="11"/>
        </w:rPr>
      </w:pPr>
    </w:p>
    <w:p>
      <w:pPr>
        <w:pStyle w:val="BodyText"/>
        <w:spacing w:before="6" w:line="304" w:lineRule="auto"/>
        <w:ind w:left="2700" w:right="2697" w:firstLine="719"/>
        <w:jc w:val="both"/>
      </w:pPr>
      <w:r>
        <w:rPr>
          <w:spacing w:val="-13"/>
        </w:rPr>
        <w:t>八、上一道工序完工后，由专职质量员组织该工序的责任人和下道工序的责任人联合检查该工序，合格后由相关工序责任人和专职质量员签字方可转入下道</w:t>
      </w:r>
      <w:r>
        <w:t>工序。</w:t>
      </w:r>
    </w:p>
    <w:p>
      <w:pPr>
        <w:pStyle w:val="BodyText"/>
        <w:spacing w:line="655" w:lineRule="exact"/>
        <w:ind w:left="3420"/>
      </w:pPr>
      <w:r>
        <w:t>九、各工序必须活儿完料尽，以便进行下道工序施工。</w:t>
      </w:r>
    </w:p>
    <w:p>
      <w:pPr>
        <w:pStyle w:val="BodyText"/>
        <w:spacing w:before="175"/>
        <w:ind w:left="3420"/>
      </w:pPr>
      <w:r>
        <w:t>十、工序交接时，前道工序必须与下道工序做好交底工作。</w:t>
      </w:r>
    </w:p>
    <w:p>
      <w:pPr>
        <w:spacing w:after="0"/>
        <w:sectPr>
          <w:headerReference w:type="default" r:id="rId20"/>
          <w:footerReference w:type="default" r:id="rId21"/>
          <w:pgSz w:w="17860" w:h="25260"/>
          <w:pgMar w:top="1400" w:right="0" w:bottom="2020" w:left="0" w:header="1088" w:footer="1831"/>
          <w:pgNumType w:start="9"/>
          <w:cols w:space="708"/>
        </w:sectPr>
      </w:pPr>
    </w:p>
    <w:p>
      <w:pPr>
        <w:pStyle w:val="BodyText"/>
        <w:rPr>
          <w:sz w:val="20"/>
        </w:rPr>
      </w:pPr>
    </w:p>
    <w:p>
      <w:pPr>
        <w:pStyle w:val="BodyText"/>
        <w:rPr>
          <w:sz w:val="11"/>
        </w:rPr>
      </w:pPr>
    </w:p>
    <w:p>
      <w:pPr>
        <w:pStyle w:val="Heading3"/>
        <w:ind w:left="7309"/>
      </w:pPr>
      <w:r>
        <w:t>冬季施工防护措施：</w:t>
      </w:r>
    </w:p>
    <w:p>
      <w:pPr>
        <w:pStyle w:val="BodyText"/>
        <w:spacing w:before="175"/>
        <w:ind w:left="3420"/>
      </w:pPr>
      <w:r>
        <w:t>（一） 混凝土配制和搅拌的技术要求：</w:t>
      </w:r>
    </w:p>
    <w:p>
      <w:pPr>
        <w:pStyle w:val="BodyText"/>
        <w:spacing w:before="179"/>
        <w:ind w:left="3420"/>
      </w:pPr>
      <w:r>
        <w:t>冬期施工所用砼应采用低水灰比，低坍落度其和易性好的砼。</w:t>
      </w:r>
    </w:p>
    <w:p>
      <w:pPr>
        <w:pStyle w:val="ListParagraph"/>
        <w:numPr>
          <w:ilvl w:val="1"/>
          <w:numId w:val="7"/>
        </w:numPr>
        <w:tabs>
          <w:tab w:val="left" w:pos="4080"/>
        </w:tabs>
        <w:spacing w:before="175" w:after="0" w:line="302" w:lineRule="auto"/>
        <w:ind w:left="2700" w:right="2618" w:firstLine="719"/>
        <w:jc w:val="both"/>
        <w:rPr>
          <w:sz w:val="36"/>
        </w:rPr>
      </w:pPr>
      <w:r>
        <w:rPr>
          <w:spacing w:val="-1"/>
          <w:sz w:val="36"/>
        </w:rPr>
        <w:t>配制混凝土时，宜优先选用普通硅酸盐水泥，水泥的强度等级不宜低于</w:t>
      </w:r>
      <w:r>
        <w:rPr>
          <w:sz w:val="36"/>
        </w:rPr>
        <w:t>42.5</w:t>
      </w:r>
      <w:r>
        <w:rPr>
          <w:spacing w:val="-2"/>
          <w:sz w:val="36"/>
        </w:rPr>
        <w:t xml:space="preserve">,水灰比不宜大于 </w:t>
      </w:r>
      <w:r>
        <w:rPr>
          <w:sz w:val="36"/>
        </w:rPr>
        <w:t>0.5。采用蒸汽养护时，宜优先选用矿渣硅酸盐水泥。</w:t>
      </w:r>
    </w:p>
    <w:p>
      <w:pPr>
        <w:pStyle w:val="ListParagraph"/>
        <w:numPr>
          <w:ilvl w:val="1"/>
          <w:numId w:val="7"/>
        </w:numPr>
        <w:tabs>
          <w:tab w:val="left" w:pos="3903"/>
        </w:tabs>
        <w:spacing w:before="9" w:after="0" w:line="304" w:lineRule="auto"/>
        <w:ind w:left="2700" w:right="2556" w:firstLine="719"/>
        <w:jc w:val="both"/>
        <w:rPr>
          <w:sz w:val="36"/>
        </w:rPr>
      </w:pPr>
      <w:r>
        <w:rPr>
          <w:sz w:val="36"/>
        </w:rPr>
        <w:t>拌制混凝土的各项材料的温度，应满足混凝土拌和物搅拌和成后所需要</w:t>
      </w:r>
      <w:r>
        <w:rPr>
          <w:spacing w:val="-12"/>
          <w:sz w:val="36"/>
        </w:rPr>
        <w:t>的温度。当材料原有温度不能满足需要时，应首先考虑对拌和用水加热，仍不能</w:t>
      </w:r>
      <w:r>
        <w:rPr>
          <w:spacing w:val="-13"/>
          <w:sz w:val="36"/>
        </w:rPr>
        <w:t>满足需要时，再考虑对集料加热。水泥只保温，不得加热。各项材料需加热的温</w:t>
      </w:r>
      <w:r>
        <w:rPr>
          <w:sz w:val="36"/>
        </w:rPr>
        <w:t>度不超过下表规定：</w:t>
      </w:r>
    </w:p>
    <w:p>
      <w:pPr>
        <w:pStyle w:val="BodyText"/>
        <w:spacing w:line="653" w:lineRule="exact"/>
        <w:ind w:left="736" w:right="17"/>
        <w:jc w:val="center"/>
      </w:pPr>
      <w:r>
        <w:pict>
          <v:group id="_x0000_s1026" style="width:642pt;height:181pt;margin-top:34.79pt;margin-left:126pt;mso-position-horizontal-relative:page;mso-wrap-distance-left:0;mso-wrap-distance-right:0;position:absolute;z-index:-251657216" coordorigin="2520,696" coordsize="12840,3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12840;height:3620;left:2520;position:absolute;top:695" stroked="f">
              <v:imagedata r:id="rId22" o:title=""/>
            </v:shape>
            <v:shapetype id="_x0000_t202" coordsize="21600,21600" o:spt="202" path="m,l,21600r21600,l21600,xe">
              <v:stroke joinstyle="miter"/>
              <v:path gradientshapeok="t" o:connecttype="rect"/>
            </v:shapetype>
            <v:shape id="_x0000_s1028" type="#_x0000_t202" style="width:380;height:476;left:5869;position:absolute;top:987" filled="f" stroked="f">
              <v:textbox inset="0,0,0,0">
                <w:txbxContent>
                  <w:p>
                    <w:pPr>
                      <w:spacing w:before="0" w:line="475" w:lineRule="exact"/>
                      <w:ind w:left="0" w:right="0" w:firstLine="0"/>
                      <w:jc w:val="left"/>
                      <w:rPr>
                        <w:sz w:val="36"/>
                      </w:rPr>
                    </w:pPr>
                    <w:r>
                      <w:rPr>
                        <w:sz w:val="36"/>
                      </w:rPr>
                      <w:t>项</w:t>
                    </w:r>
                  </w:p>
                </w:txbxContent>
              </v:textbox>
            </v:shape>
            <v:shape id="_x0000_s1029" type="#_x0000_t202" style="width:380;height:476;left:7849;position:absolute;top:987" filled="f" stroked="f">
              <v:textbox inset="0,0,0,0">
                <w:txbxContent>
                  <w:p>
                    <w:pPr>
                      <w:spacing w:before="0" w:line="475" w:lineRule="exact"/>
                      <w:ind w:left="0" w:right="0" w:firstLine="0"/>
                      <w:jc w:val="left"/>
                      <w:rPr>
                        <w:sz w:val="36"/>
                      </w:rPr>
                    </w:pPr>
                    <w:r>
                      <w:rPr>
                        <w:sz w:val="36"/>
                      </w:rPr>
                      <w:t>目</w:t>
                    </w:r>
                  </w:p>
                </w:txbxContent>
              </v:textbox>
            </v:shape>
            <v:shape id="_x0000_s1030" type="#_x0000_t202" style="width:1100;height:476;left:11997;position:absolute;top:987" filled="f" stroked="f">
              <v:textbox inset="0,0,0,0">
                <w:txbxContent>
                  <w:p>
                    <w:pPr>
                      <w:spacing w:before="0" w:line="475" w:lineRule="exact"/>
                      <w:ind w:left="0" w:right="0" w:firstLine="0"/>
                      <w:jc w:val="left"/>
                      <w:rPr>
                        <w:sz w:val="36"/>
                      </w:rPr>
                    </w:pPr>
                    <w:r>
                      <w:rPr>
                        <w:sz w:val="36"/>
                      </w:rPr>
                      <w:t>拌和水</w:t>
                    </w:r>
                  </w:p>
                </w:txbxContent>
              </v:textbox>
            </v:shape>
            <v:shape id="_x0000_s1031" type="#_x0000_t202" style="width:740;height:476;left:14071;position:absolute;top:987" filled="f" stroked="f">
              <v:textbox inset="0,0,0,0">
                <w:txbxContent>
                  <w:p>
                    <w:pPr>
                      <w:spacing w:before="0" w:line="475" w:lineRule="exact"/>
                      <w:ind w:left="0" w:right="0" w:firstLine="0"/>
                      <w:jc w:val="left"/>
                      <w:rPr>
                        <w:sz w:val="36"/>
                      </w:rPr>
                    </w:pPr>
                    <w:r>
                      <w:rPr>
                        <w:sz w:val="36"/>
                      </w:rPr>
                      <w:t>骨料</w:t>
                    </w:r>
                  </w:p>
                </w:txbxContent>
              </v:textbox>
            </v:shape>
            <v:shape id="_x0000_s1032" type="#_x0000_t202" style="width:8697;height:476;left:2700;position:absolute;top:1926" filled="f" stroked="f">
              <v:textbox inset="0,0,0,0">
                <w:txbxContent>
                  <w:p>
                    <w:pPr>
                      <w:spacing w:before="0" w:line="475" w:lineRule="exact"/>
                      <w:ind w:left="0" w:right="0" w:firstLine="0"/>
                      <w:jc w:val="left"/>
                      <w:rPr>
                        <w:sz w:val="36"/>
                      </w:rPr>
                    </w:pPr>
                    <w:r>
                      <w:rPr>
                        <w:spacing w:val="-3"/>
                        <w:sz w:val="36"/>
                      </w:rPr>
                      <w:t xml:space="preserve">强度等级小于 </w:t>
                    </w:r>
                    <w:r>
                      <w:rPr>
                        <w:sz w:val="36"/>
                      </w:rPr>
                      <w:t>52.5</w:t>
                    </w:r>
                    <w:r>
                      <w:rPr>
                        <w:spacing w:val="-14"/>
                        <w:sz w:val="36"/>
                      </w:rPr>
                      <w:t xml:space="preserve"> 的普通硅酸盐水泥、矿渣硅酸盐水泥</w:t>
                    </w:r>
                  </w:p>
                </w:txbxContent>
              </v:textbox>
            </v:shape>
            <v:shape id="_x0000_s1033" type="#_x0000_t202" style="width:442;height:476;left:12328;position:absolute;top:1926" filled="f" stroked="f">
              <v:textbox inset="0,0,0,0">
                <w:txbxContent>
                  <w:p>
                    <w:pPr>
                      <w:spacing w:before="0" w:line="475" w:lineRule="exact"/>
                      <w:ind w:left="0" w:right="0" w:firstLine="0"/>
                      <w:jc w:val="left"/>
                      <w:rPr>
                        <w:sz w:val="36"/>
                      </w:rPr>
                    </w:pPr>
                    <w:r>
                      <w:rPr>
                        <w:sz w:val="36"/>
                      </w:rPr>
                      <w:t>80</w:t>
                    </w:r>
                  </w:p>
                </w:txbxContent>
              </v:textbox>
            </v:shape>
            <v:shape id="_x0000_s1034" type="#_x0000_t202" style="width:442;height:476;left:14223;position:absolute;top:1926" filled="f" stroked="f">
              <v:textbox inset="0,0,0,0">
                <w:txbxContent>
                  <w:p>
                    <w:pPr>
                      <w:spacing w:before="0" w:line="475" w:lineRule="exact"/>
                      <w:ind w:left="0" w:right="0" w:firstLine="0"/>
                      <w:jc w:val="left"/>
                      <w:rPr>
                        <w:sz w:val="36"/>
                      </w:rPr>
                    </w:pPr>
                    <w:r>
                      <w:rPr>
                        <w:sz w:val="36"/>
                      </w:rPr>
                      <w:t>60</w:t>
                    </w:r>
                  </w:p>
                </w:txbxContent>
              </v:textbox>
            </v:shape>
            <v:shape id="_x0000_s1035" type="#_x0000_t202" style="width:8697;height:1315;left:2700;position:absolute;top:2819" filled="f" stroked="f">
              <v:textbox inset="0,0,0,0">
                <w:txbxContent>
                  <w:p>
                    <w:pPr>
                      <w:spacing w:before="0" w:line="569" w:lineRule="exact"/>
                      <w:ind w:left="16" w:right="35" w:firstLine="0"/>
                      <w:jc w:val="center"/>
                      <w:rPr>
                        <w:sz w:val="36"/>
                      </w:rPr>
                    </w:pPr>
                    <w:r>
                      <w:rPr>
                        <w:spacing w:val="-3"/>
                        <w:sz w:val="36"/>
                      </w:rPr>
                      <w:t xml:space="preserve">强度等级不小于 </w:t>
                    </w:r>
                    <w:r>
                      <w:rPr>
                        <w:sz w:val="36"/>
                      </w:rPr>
                      <w:t>52.5</w:t>
                    </w:r>
                    <w:r>
                      <w:rPr>
                        <w:spacing w:val="-14"/>
                        <w:sz w:val="36"/>
                      </w:rPr>
                      <w:t xml:space="preserve"> 的普通硅酸盐水泥、矿渣硅酸盐水</w:t>
                    </w:r>
                  </w:p>
                  <w:p>
                    <w:pPr>
                      <w:spacing w:before="176" w:line="569" w:lineRule="exact"/>
                      <w:ind w:left="0" w:right="17" w:firstLine="0"/>
                      <w:jc w:val="center"/>
                      <w:rPr>
                        <w:sz w:val="36"/>
                      </w:rPr>
                    </w:pPr>
                    <w:r>
                      <w:rPr>
                        <w:sz w:val="36"/>
                      </w:rPr>
                      <w:t>泥</w:t>
                    </w:r>
                  </w:p>
                </w:txbxContent>
              </v:textbox>
            </v:shape>
            <v:shape id="_x0000_s1036" type="#_x0000_t202" style="width:442;height:476;left:12328;position:absolute;top:3237" filled="f" stroked="f">
              <v:textbox inset="0,0,0,0">
                <w:txbxContent>
                  <w:p>
                    <w:pPr>
                      <w:spacing w:before="0" w:line="475" w:lineRule="exact"/>
                      <w:ind w:left="0" w:right="0" w:firstLine="0"/>
                      <w:jc w:val="left"/>
                      <w:rPr>
                        <w:sz w:val="36"/>
                      </w:rPr>
                    </w:pPr>
                    <w:r>
                      <w:rPr>
                        <w:sz w:val="36"/>
                      </w:rPr>
                      <w:t>60</w:t>
                    </w:r>
                  </w:p>
                </w:txbxContent>
              </v:textbox>
            </v:shape>
            <v:shape id="_x0000_s1037" type="#_x0000_t202" style="width:442;height:476;left:14223;position:absolute;top:3237" filled="f" stroked="f">
              <v:textbox inset="0,0,0,0">
                <w:txbxContent>
                  <w:p>
                    <w:pPr>
                      <w:spacing w:before="0" w:line="475" w:lineRule="exact"/>
                      <w:ind w:left="0" w:right="0" w:firstLine="0"/>
                      <w:jc w:val="left"/>
                      <w:rPr>
                        <w:sz w:val="36"/>
                      </w:rPr>
                    </w:pPr>
                    <w:r>
                      <w:rPr>
                        <w:sz w:val="36"/>
                      </w:rPr>
                      <w:t>40</w:t>
                    </w:r>
                  </w:p>
                </w:txbxContent>
              </v:textbox>
            </v:shape>
            <w10:wrap type="topAndBottom"/>
          </v:group>
        </w:pict>
      </w:r>
      <w:r>
        <w:t>拌和水及骨料最高温度（℃）</w:t>
      </w:r>
    </w:p>
    <w:p>
      <w:pPr>
        <w:pStyle w:val="BodyText"/>
        <w:spacing w:before="73" w:line="304" w:lineRule="auto"/>
        <w:ind w:left="2700" w:right="2692" w:firstLine="719"/>
      </w:pPr>
      <w:r>
        <w:t>注：当骨料不加热时，水可加热到 100℃，但水泥不应与 80℃以上的直接接触。投料顺序为先投骨料和已加热的水，然后再投入水泥。</w:t>
      </w:r>
    </w:p>
    <w:p>
      <w:pPr>
        <w:pStyle w:val="ListParagraph"/>
        <w:numPr>
          <w:ilvl w:val="1"/>
          <w:numId w:val="7"/>
        </w:numPr>
        <w:tabs>
          <w:tab w:val="left" w:pos="3903"/>
        </w:tabs>
        <w:spacing w:before="0" w:after="0" w:line="304" w:lineRule="auto"/>
        <w:ind w:left="2700" w:right="2520" w:firstLine="719"/>
        <w:jc w:val="left"/>
        <w:rPr>
          <w:sz w:val="36"/>
        </w:rPr>
      </w:pPr>
      <w:r>
        <w:rPr>
          <w:sz w:val="36"/>
        </w:rPr>
        <w:t>冬期搅拌混凝土时，骨料不得带有冰雪和冻结团块。严格控制混凝土的</w:t>
      </w:r>
      <w:r>
        <w:rPr>
          <w:spacing w:val="-19"/>
          <w:sz w:val="36"/>
        </w:rPr>
        <w:t xml:space="preserve">配合比和塌落度；投料前，应先用热水冲洗搅拌机，投料顺序为骨料、水，搅拌， </w:t>
      </w:r>
      <w:r>
        <w:rPr>
          <w:spacing w:val="4"/>
          <w:sz w:val="36"/>
        </w:rPr>
        <w:t xml:space="preserve">再加水泥搅拌，时间应较常温时延长 </w:t>
      </w:r>
      <w:r>
        <w:rPr>
          <w:sz w:val="36"/>
        </w:rPr>
        <w:t>50%。混凝土拌和物的出机温度不宜低于10℃。</w:t>
      </w:r>
    </w:p>
    <w:p>
      <w:pPr>
        <w:pStyle w:val="BodyText"/>
        <w:spacing w:line="652" w:lineRule="exact"/>
        <w:ind w:left="3420"/>
      </w:pPr>
      <w:r>
        <w:t>（二）混凝土养护的技术要求：</w:t>
      </w:r>
    </w:p>
    <w:p>
      <w:pPr>
        <w:pStyle w:val="ListParagraph"/>
        <w:numPr>
          <w:ilvl w:val="0"/>
          <w:numId w:val="6"/>
        </w:numPr>
        <w:tabs>
          <w:tab w:val="left" w:pos="3900"/>
        </w:tabs>
        <w:spacing w:before="175" w:after="0" w:line="240" w:lineRule="auto"/>
        <w:ind w:left="3899" w:right="0" w:hanging="480"/>
        <w:jc w:val="left"/>
        <w:rPr>
          <w:sz w:val="36"/>
        </w:rPr>
      </w:pPr>
      <w:r>
        <w:rPr>
          <w:sz w:val="36"/>
        </w:rPr>
        <w:t>我们拟选用蒸汽加热法养护混凝土。</w:t>
      </w:r>
    </w:p>
    <w:p>
      <w:pPr>
        <w:pStyle w:val="ListParagraph"/>
        <w:numPr>
          <w:ilvl w:val="0"/>
          <w:numId w:val="6"/>
        </w:numPr>
        <w:tabs>
          <w:tab w:val="left" w:pos="3900"/>
        </w:tabs>
        <w:spacing w:before="175" w:after="0" w:line="302" w:lineRule="auto"/>
        <w:ind w:left="3330" w:right="4958" w:firstLine="90"/>
        <w:jc w:val="left"/>
        <w:rPr>
          <w:sz w:val="36"/>
        </w:rPr>
      </w:pPr>
      <w:r>
        <w:rPr>
          <w:spacing w:val="-1"/>
          <w:sz w:val="36"/>
        </w:rPr>
        <w:t>混凝土浇筑完成后，覆盖降温，不得向混凝土面上洒水。</w:t>
      </w:r>
      <w:r>
        <w:rPr>
          <w:sz w:val="36"/>
        </w:rPr>
        <w:t>3.混凝土的升降温度速度不得超过下表规定：</w:t>
      </w:r>
    </w:p>
    <w:p>
      <w:pPr>
        <w:spacing w:after="0" w:line="302" w:lineRule="auto"/>
        <w:jc w:val="left"/>
        <w:rPr>
          <w:sz w:val="36"/>
        </w:rPr>
        <w:sectPr>
          <w:headerReference w:type="default" r:id="rId23"/>
          <w:footerReference w:type="default" r:id="rId24"/>
          <w:pgSz w:w="17860" w:h="25260"/>
          <w:pgMar w:top="1400" w:right="0" w:bottom="2020" w:left="0" w:header="1088" w:footer="1831"/>
          <w:pgNumType w:start="10"/>
          <w:cols w:space="708"/>
        </w:sectPr>
      </w:pPr>
    </w:p>
    <w:p>
      <w:pPr>
        <w:pStyle w:val="BodyText"/>
        <w:rPr>
          <w:sz w:val="20"/>
        </w:rPr>
      </w:pPr>
    </w:p>
    <w:p>
      <w:pPr>
        <w:pStyle w:val="BodyText"/>
        <w:rPr>
          <w:sz w:val="11"/>
        </w:rPr>
      </w:pPr>
    </w:p>
    <w:p>
      <w:pPr>
        <w:pStyle w:val="BodyText"/>
        <w:spacing w:before="6"/>
        <w:ind w:left="740" w:right="17"/>
        <w:jc w:val="center"/>
      </w:pPr>
      <w:r>
        <w:pict>
          <v:group id="_x0000_s1038" style="width:642pt;height:132pt;margin-top:35.41pt;margin-left:126pt;mso-position-horizontal-relative:page;mso-wrap-distance-left:0;mso-wrap-distance-right:0;position:absolute;z-index:-251656192" coordorigin="2520,708" coordsize="12840,2640">
            <v:shape id="_x0000_s1039" type="#_x0000_t75" style="width:12840;height:2640;left:2520;position:absolute;top:708" stroked="f">
              <v:imagedata r:id="rId25" o:title=""/>
            </v:shape>
            <v:shape id="_x0000_s1040" type="#_x0000_t202" style="width:2764;height:2207;left:3330;position:absolute;top:960" filled="f" stroked="f">
              <v:textbox inset="0,0,0,0">
                <w:txbxContent>
                  <w:p>
                    <w:pPr>
                      <w:spacing w:before="0" w:line="569" w:lineRule="exact"/>
                      <w:ind w:left="1" w:right="20" w:firstLine="0"/>
                      <w:jc w:val="center"/>
                      <w:rPr>
                        <w:sz w:val="36"/>
                      </w:rPr>
                    </w:pPr>
                    <w:r>
                      <w:rPr>
                        <w:spacing w:val="-1"/>
                        <w:sz w:val="36"/>
                      </w:rPr>
                      <w:t>表面系数</w:t>
                    </w:r>
                    <w:r>
                      <w:rPr>
                        <w:spacing w:val="-5"/>
                        <w:sz w:val="36"/>
                      </w:rPr>
                      <w:t>（m</w:t>
                    </w:r>
                    <w:r>
                      <w:rPr>
                        <w:spacing w:val="-5"/>
                        <w:sz w:val="36"/>
                        <w:vertAlign w:val="subscript"/>
                      </w:rPr>
                      <w:t>-1</w:t>
                    </w:r>
                    <w:r>
                      <w:rPr>
                        <w:spacing w:val="-5"/>
                        <w:sz w:val="36"/>
                        <w:vertAlign w:val="baseline"/>
                      </w:rPr>
                      <w:t>）</w:t>
                    </w:r>
                  </w:p>
                  <w:p>
                    <w:pPr>
                      <w:spacing w:before="200"/>
                      <w:ind w:left="1" w:right="17" w:firstLine="0"/>
                      <w:jc w:val="center"/>
                      <w:rPr>
                        <w:sz w:val="36"/>
                      </w:rPr>
                    </w:pPr>
                    <w:r>
                      <w:rPr>
                        <w:sz w:val="36"/>
                      </w:rPr>
                      <w:t>≥6</w:t>
                    </w:r>
                  </w:p>
                  <w:p>
                    <w:pPr>
                      <w:spacing w:before="204" w:line="569" w:lineRule="exact"/>
                      <w:ind w:left="1" w:right="17" w:firstLine="0"/>
                      <w:jc w:val="center"/>
                      <w:rPr>
                        <w:sz w:val="36"/>
                      </w:rPr>
                    </w:pPr>
                    <w:r>
                      <w:rPr>
                        <w:sz w:val="36"/>
                      </w:rPr>
                      <w:t>〈6</w:t>
                    </w:r>
                  </w:p>
                </w:txbxContent>
              </v:textbox>
            </v:shape>
            <v:shape id="_x0000_s1041" type="#_x0000_t202" style="width:1460;height:2207;left:8259;position:absolute;top:960" filled="f" stroked="f">
              <v:textbox inset="0,0,0,0">
                <w:txbxContent>
                  <w:p>
                    <w:pPr>
                      <w:spacing w:before="0" w:line="569" w:lineRule="exact"/>
                      <w:ind w:left="0" w:right="18" w:firstLine="0"/>
                      <w:jc w:val="center"/>
                      <w:rPr>
                        <w:sz w:val="36"/>
                      </w:rPr>
                    </w:pPr>
                    <w:r>
                      <w:rPr>
                        <w:sz w:val="36"/>
                      </w:rPr>
                      <w:t>升温速度</w:t>
                    </w:r>
                  </w:p>
                  <w:p>
                    <w:pPr>
                      <w:spacing w:before="200"/>
                      <w:ind w:left="0" w:right="22" w:firstLine="0"/>
                      <w:jc w:val="center"/>
                      <w:rPr>
                        <w:sz w:val="36"/>
                      </w:rPr>
                    </w:pPr>
                    <w:r>
                      <w:rPr>
                        <w:sz w:val="36"/>
                      </w:rPr>
                      <w:t>5</w:t>
                    </w:r>
                  </w:p>
                  <w:p>
                    <w:pPr>
                      <w:spacing w:before="204" w:line="569" w:lineRule="exact"/>
                      <w:ind w:left="0" w:right="20" w:firstLine="0"/>
                      <w:jc w:val="center"/>
                      <w:rPr>
                        <w:sz w:val="36"/>
                      </w:rPr>
                    </w:pPr>
                    <w:r>
                      <w:rPr>
                        <w:sz w:val="36"/>
                      </w:rPr>
                      <w:t>10</w:t>
                    </w:r>
                  </w:p>
                </w:txbxContent>
              </v:textbox>
            </v:shape>
            <v:shape id="_x0000_s1042" type="#_x0000_t202" style="width:1460;height:2207;left:12490;position:absolute;top:960" filled="f" stroked="f">
              <v:textbox inset="0,0,0,0">
                <w:txbxContent>
                  <w:p>
                    <w:pPr>
                      <w:spacing w:before="0" w:line="569" w:lineRule="exact"/>
                      <w:ind w:left="0" w:right="18" w:firstLine="0"/>
                      <w:jc w:val="center"/>
                      <w:rPr>
                        <w:sz w:val="36"/>
                      </w:rPr>
                    </w:pPr>
                    <w:r>
                      <w:rPr>
                        <w:sz w:val="36"/>
                      </w:rPr>
                      <w:t>降温速度</w:t>
                    </w:r>
                  </w:p>
                  <w:p>
                    <w:pPr>
                      <w:spacing w:before="200"/>
                      <w:ind w:left="0" w:right="20" w:firstLine="0"/>
                      <w:jc w:val="center"/>
                      <w:rPr>
                        <w:sz w:val="36"/>
                      </w:rPr>
                    </w:pPr>
                    <w:r>
                      <w:rPr>
                        <w:sz w:val="36"/>
                      </w:rPr>
                      <w:t>10</w:t>
                    </w:r>
                  </w:p>
                  <w:p>
                    <w:pPr>
                      <w:spacing w:before="204" w:line="569" w:lineRule="exact"/>
                      <w:ind w:left="0" w:right="22" w:firstLine="0"/>
                      <w:jc w:val="center"/>
                      <w:rPr>
                        <w:sz w:val="36"/>
                      </w:rPr>
                    </w:pPr>
                    <w:r>
                      <w:rPr>
                        <w:sz w:val="36"/>
                      </w:rPr>
                      <w:t>5</w:t>
                    </w:r>
                  </w:p>
                </w:txbxContent>
              </v:textbox>
            </v:shape>
            <w10:wrap type="topAndBottom"/>
          </v:group>
        </w:pict>
      </w:r>
      <w:r>
        <w:t>加热养护混凝土的升降温速度（℃/h）</w:t>
      </w:r>
    </w:p>
    <w:p>
      <w:pPr>
        <w:pStyle w:val="BodyText"/>
        <w:spacing w:before="1"/>
        <w:rPr>
          <w:sz w:val="4"/>
        </w:rPr>
      </w:pPr>
    </w:p>
    <w:p>
      <w:pPr>
        <w:pStyle w:val="BodyText"/>
        <w:spacing w:before="6"/>
        <w:ind w:left="3330"/>
      </w:pPr>
      <w:r>
        <w:t>注：①大体积混凝土应根据实际情况确定。</w:t>
      </w:r>
    </w:p>
    <w:p>
      <w:pPr>
        <w:pStyle w:val="BodyText"/>
        <w:spacing w:before="175"/>
        <w:ind w:left="4050"/>
      </w:pPr>
      <w:r>
        <w:t>②表面系数系指结构冷却面积（m</w:t>
      </w:r>
      <w:r>
        <w:rPr>
          <w:vertAlign w:val="subscript"/>
        </w:rPr>
        <w:t>2</w:t>
      </w:r>
      <w:r>
        <w:rPr>
          <w:vertAlign w:val="baseline"/>
        </w:rPr>
        <w:t>）与结构体积（m</w:t>
      </w:r>
      <w:r>
        <w:rPr>
          <w:vertAlign w:val="subscript"/>
        </w:rPr>
        <w:t>3</w:t>
      </w:r>
      <w:r>
        <w:rPr>
          <w:vertAlign w:val="baseline"/>
        </w:rPr>
        <w:t>）的比值。</w:t>
      </w:r>
    </w:p>
    <w:p>
      <w:pPr>
        <w:pStyle w:val="ListParagraph"/>
        <w:numPr>
          <w:ilvl w:val="0"/>
          <w:numId w:val="5"/>
        </w:numPr>
        <w:tabs>
          <w:tab w:val="left" w:pos="3900"/>
        </w:tabs>
        <w:spacing w:before="176" w:after="0" w:line="240" w:lineRule="auto"/>
        <w:ind w:left="3899" w:right="0" w:hanging="480"/>
        <w:jc w:val="left"/>
        <w:rPr>
          <w:sz w:val="36"/>
        </w:rPr>
      </w:pPr>
      <w:r>
        <w:rPr>
          <w:spacing w:val="-2"/>
          <w:sz w:val="36"/>
        </w:rPr>
        <w:t xml:space="preserve">升温及降温期间每小时 </w:t>
      </w:r>
      <w:r>
        <w:rPr>
          <w:sz w:val="36"/>
        </w:rPr>
        <w:t>1</w:t>
      </w:r>
      <w:r>
        <w:rPr>
          <w:spacing w:val="-6"/>
          <w:sz w:val="36"/>
        </w:rPr>
        <w:t xml:space="preserve"> 次，恒温期间每两小时 </w:t>
      </w:r>
      <w:r>
        <w:rPr>
          <w:sz w:val="36"/>
        </w:rPr>
        <w:t>1</w:t>
      </w:r>
      <w:r>
        <w:rPr>
          <w:spacing w:val="-6"/>
          <w:sz w:val="36"/>
        </w:rPr>
        <w:t xml:space="preserve"> 次。</w:t>
      </w:r>
    </w:p>
    <w:p>
      <w:pPr>
        <w:pStyle w:val="ListParagraph"/>
        <w:numPr>
          <w:ilvl w:val="0"/>
          <w:numId w:val="5"/>
        </w:numPr>
        <w:tabs>
          <w:tab w:val="left" w:pos="3900"/>
        </w:tabs>
        <w:spacing w:before="179" w:after="0" w:line="240" w:lineRule="auto"/>
        <w:ind w:left="3899" w:right="0" w:hanging="480"/>
        <w:jc w:val="left"/>
        <w:rPr>
          <w:sz w:val="36"/>
        </w:rPr>
      </w:pPr>
      <w:r>
        <w:rPr>
          <w:spacing w:val="-2"/>
          <w:sz w:val="36"/>
        </w:rPr>
        <w:t xml:space="preserve">室内外环境温度，每昼夜定时 </w:t>
      </w:r>
      <w:r>
        <w:rPr>
          <w:sz w:val="36"/>
        </w:rPr>
        <w:t>4</w:t>
      </w:r>
      <w:r>
        <w:rPr>
          <w:spacing w:val="-6"/>
          <w:sz w:val="36"/>
        </w:rPr>
        <w:t xml:space="preserve"> 次。</w:t>
      </w:r>
    </w:p>
    <w:p>
      <w:pPr>
        <w:spacing w:after="0" w:line="240" w:lineRule="auto"/>
        <w:jc w:val="left"/>
        <w:rPr>
          <w:sz w:val="36"/>
        </w:rPr>
        <w:sectPr>
          <w:headerReference w:type="default" r:id="rId26"/>
          <w:footerReference w:type="default" r:id="rId27"/>
          <w:pgSz w:w="17860" w:h="25260"/>
          <w:pgMar w:top="1400" w:right="0" w:bottom="2020" w:left="0" w:header="1088" w:footer="1831"/>
          <w:pgNumType w:start="11"/>
          <w:cols w:space="708"/>
        </w:sectPr>
      </w:pPr>
    </w:p>
    <w:p>
      <w:pPr>
        <w:pStyle w:val="BodyText"/>
        <w:rPr>
          <w:sz w:val="20"/>
        </w:rPr>
      </w:pPr>
    </w:p>
    <w:p>
      <w:pPr>
        <w:pStyle w:val="BodyText"/>
        <w:rPr>
          <w:sz w:val="11"/>
        </w:rPr>
      </w:pPr>
    </w:p>
    <w:p>
      <w:pPr>
        <w:pStyle w:val="Heading3"/>
        <w:ind w:left="17" w:right="17"/>
        <w:jc w:val="center"/>
      </w:pPr>
      <w:r>
        <w:t>雨季施工防护措施：</w:t>
      </w:r>
    </w:p>
    <w:p>
      <w:pPr>
        <w:pStyle w:val="BodyText"/>
        <w:spacing w:before="175"/>
        <w:ind w:left="1342" w:right="8520"/>
        <w:jc w:val="center"/>
      </w:pPr>
      <w:r>
        <w:t>(一)材料雨季防护措施：</w:t>
      </w:r>
    </w:p>
    <w:p>
      <w:pPr>
        <w:pStyle w:val="BodyText"/>
        <w:spacing w:before="7"/>
        <w:rPr>
          <w:sz w:val="9"/>
        </w:rPr>
      </w:pPr>
    </w:p>
    <w:p>
      <w:pPr>
        <w:pStyle w:val="BodyText"/>
        <w:spacing w:before="6" w:line="302" w:lineRule="auto"/>
        <w:ind w:left="2700" w:right="2558" w:firstLine="719"/>
        <w:jc w:val="both"/>
      </w:pPr>
      <w:r>
        <w:t>原材料：材料场要选在地势较高或不积水的位置，对钢筋、金属管材，袋装水泥要放在平台上，使之距离地面 50 厘米以上，并做好苫盖。雨后钢筋在安装过程中防止被污泥污染。</w:t>
      </w:r>
    </w:p>
    <w:p>
      <w:pPr>
        <w:pStyle w:val="BodyText"/>
        <w:spacing w:before="12"/>
        <w:ind w:left="3600"/>
        <w:jc w:val="both"/>
      </w:pPr>
      <w:r>
        <w:t>(二) 道路施工雨季施工措施：</w:t>
      </w:r>
    </w:p>
    <w:p>
      <w:pPr>
        <w:pStyle w:val="BodyText"/>
        <w:spacing w:before="175" w:line="304" w:lineRule="auto"/>
        <w:ind w:left="2700" w:right="2700" w:firstLine="719"/>
        <w:jc w:val="both"/>
      </w:pPr>
      <w:r>
        <w:t>1</w:t>
      </w:r>
      <w:r>
        <w:rPr>
          <w:spacing w:val="-1"/>
        </w:rPr>
        <w:t>、项目经理部实行雨季干部值班制度，设兼职气象员负责搜集各级气象预</w:t>
      </w:r>
      <w:r>
        <w:rPr>
          <w:spacing w:val="-12"/>
        </w:rPr>
        <w:t>报部门的气象资料，把天气预报情况与施工安排结合起来，为保证雨季施工的质</w:t>
      </w:r>
      <w:r>
        <w:t>量、安全、工期等做好信息保证。</w:t>
      </w:r>
    </w:p>
    <w:p>
      <w:pPr>
        <w:pStyle w:val="BodyText"/>
        <w:spacing w:line="302" w:lineRule="auto"/>
        <w:ind w:left="2700" w:right="2704" w:firstLine="719"/>
      </w:pPr>
      <w:r>
        <w:t>2、进入雨季前，要详细调查施工范围内沟渠的来龙去脉，对进入施工现场的沟渠要进行截流，保证下雨时雨水不会汇流到施工场地内。</w:t>
      </w:r>
    </w:p>
    <w:p>
      <w:pPr>
        <w:pStyle w:val="BodyText"/>
        <w:spacing w:before="2" w:line="302" w:lineRule="auto"/>
        <w:ind w:left="2700" w:right="2704" w:firstLine="719"/>
      </w:pPr>
      <w:r>
        <w:t>3、雨季施工要适当缩小工作面，尤其是路基土的施工尽量做到当天摊铺、当天碾压成型，并随时完善地表水排泄系统。保证雨后无积水现象。</w:t>
      </w:r>
    </w:p>
    <w:p>
      <w:pPr>
        <w:pStyle w:val="BodyText"/>
        <w:spacing w:before="6"/>
        <w:ind w:left="3420"/>
      </w:pPr>
      <w:r>
        <w:t>4、开挖基槽后要找好地表水的出路，做好排水沟，保证雨水能及时排除。</w:t>
      </w:r>
    </w:p>
    <w:p>
      <w:pPr>
        <w:pStyle w:val="BodyText"/>
        <w:spacing w:before="179" w:line="302" w:lineRule="auto"/>
        <w:ind w:left="2700" w:right="2704" w:firstLine="719"/>
      </w:pPr>
      <w:r>
        <w:t>5、摊铺但没有碾压成型的素土遭雨淋后，雨后碾压前要测定其含水量，必要时要翻拌晾晒，以保证路基的质量。</w:t>
      </w:r>
    </w:p>
    <w:p>
      <w:pPr>
        <w:pStyle w:val="BodyText"/>
        <w:spacing w:before="5" w:line="304" w:lineRule="auto"/>
        <w:ind w:left="2700" w:right="2704" w:firstLine="719"/>
      </w:pPr>
      <w:r>
        <w:t>6、施工现场的所有电气设备必须设置防雨罩具及漏电保护装置，临建和堆物与高压线之间要有足够的安全距离。避免漏电伤人事故。</w:t>
      </w:r>
    </w:p>
    <w:p>
      <w:pPr>
        <w:pStyle w:val="BodyText"/>
        <w:spacing w:line="304" w:lineRule="auto"/>
        <w:ind w:left="2700" w:right="2704" w:firstLine="719"/>
      </w:pPr>
      <w:r>
        <w:t>7、雨后要及时排除和清理施工现场的积水、烂泥，以保证过往行人的方便和安全。</w:t>
      </w:r>
    </w:p>
    <w:p>
      <w:pPr>
        <w:pStyle w:val="BodyText"/>
        <w:spacing w:line="302" w:lineRule="auto"/>
        <w:ind w:left="2700" w:right="2556" w:firstLine="719"/>
      </w:pPr>
      <w:r>
        <w:t>8、进入雨季前，应对全体职工做好雨季施工安全注意事项的专题教育，尤其是要提醒施工人员雷雨天气不要在高压杆，大树等易遭雷击的物体下面避雨。</w:t>
      </w:r>
    </w:p>
    <w:p>
      <w:pPr>
        <w:pStyle w:val="BodyText"/>
        <w:ind w:left="3420"/>
      </w:pPr>
      <w:r>
        <w:t>9、低洼地段的土质路基、工程地质不良路段应尽可能避开雨季施工。</w:t>
      </w:r>
    </w:p>
    <w:p>
      <w:pPr>
        <w:pStyle w:val="BodyText"/>
        <w:spacing w:before="177"/>
        <w:ind w:left="3420"/>
      </w:pPr>
      <w:r>
        <w:t>10、雨季修筑路堤，应做到随挖、随运、随铺、随压实和整平，每层填土</w:t>
      </w:r>
    </w:p>
    <w:p>
      <w:pPr>
        <w:spacing w:after="0"/>
        <w:sectPr>
          <w:headerReference w:type="default" r:id="rId28"/>
          <w:footerReference w:type="default" r:id="rId29"/>
          <w:pgSz w:w="17860" w:h="25260"/>
          <w:pgMar w:top="1400" w:right="0" w:bottom="2020" w:left="0" w:header="1088" w:footer="1831"/>
          <w:pgNumType w:start="12"/>
          <w:cols w:space="708"/>
        </w:sectPr>
      </w:pPr>
    </w:p>
    <w:p>
      <w:pPr>
        <w:pStyle w:val="BodyText"/>
        <w:rPr>
          <w:sz w:val="20"/>
        </w:rPr>
      </w:pPr>
    </w:p>
    <w:p>
      <w:pPr>
        <w:pStyle w:val="BodyText"/>
        <w:rPr>
          <w:sz w:val="11"/>
        </w:rPr>
      </w:pPr>
    </w:p>
    <w:p>
      <w:pPr>
        <w:pStyle w:val="BodyText"/>
        <w:spacing w:before="6" w:line="302" w:lineRule="auto"/>
        <w:ind w:left="2700" w:right="2873"/>
        <w:jc w:val="both"/>
      </w:pPr>
      <w:r>
        <w:t>表面应筑成 3-4%的施工横坡以利排水。雨前和收工前应将铺填的松土碾压密实，不致积水。</w:t>
      </w:r>
    </w:p>
    <w:p>
      <w:pPr>
        <w:pStyle w:val="ListParagraph"/>
        <w:numPr>
          <w:ilvl w:val="0"/>
          <w:numId w:val="9"/>
        </w:numPr>
        <w:tabs>
          <w:tab w:val="left" w:pos="3720"/>
        </w:tabs>
        <w:spacing w:before="9" w:after="0" w:line="302" w:lineRule="auto"/>
        <w:ind w:left="2700" w:right="2697" w:firstLine="719"/>
        <w:jc w:val="both"/>
        <w:rPr>
          <w:sz w:val="36"/>
        </w:rPr>
      </w:pPr>
      <w:r>
        <w:rPr>
          <w:spacing w:val="-6"/>
          <w:sz w:val="36"/>
        </w:rPr>
        <w:t>安全生产管理体系实行项目经理负责制，分管生产的项目副经理同时分管</w:t>
      </w:r>
      <w:r>
        <w:rPr>
          <w:spacing w:val="-13"/>
          <w:sz w:val="36"/>
        </w:rPr>
        <w:t>安全工作，领导各级生产指挥人员贯彻、落实安全生产方面的各项规章制度和保</w:t>
      </w:r>
      <w:r>
        <w:rPr>
          <w:sz w:val="36"/>
        </w:rPr>
        <w:t>证措施，确保安全生产。</w:t>
      </w:r>
    </w:p>
    <w:p>
      <w:pPr>
        <w:pStyle w:val="ListParagraph"/>
        <w:numPr>
          <w:ilvl w:val="0"/>
          <w:numId w:val="9"/>
        </w:numPr>
        <w:tabs>
          <w:tab w:val="left" w:pos="3720"/>
        </w:tabs>
        <w:spacing w:before="12" w:after="0" w:line="240" w:lineRule="auto"/>
        <w:ind w:left="3719" w:right="0" w:hanging="300"/>
        <w:jc w:val="left"/>
        <w:rPr>
          <w:sz w:val="36"/>
        </w:rPr>
      </w:pPr>
      <w:r>
        <w:rPr>
          <w:sz w:val="36"/>
        </w:rPr>
        <w:t>安全生产的日常工作由安技部负责。</w:t>
      </w:r>
    </w:p>
    <w:p>
      <w:pPr>
        <w:pStyle w:val="ListParagraph"/>
        <w:numPr>
          <w:ilvl w:val="0"/>
          <w:numId w:val="9"/>
        </w:numPr>
        <w:tabs>
          <w:tab w:val="left" w:pos="3720"/>
        </w:tabs>
        <w:spacing w:before="175" w:after="0" w:line="304" w:lineRule="auto"/>
        <w:ind w:left="2700" w:right="2618" w:firstLine="719"/>
        <w:jc w:val="left"/>
        <w:rPr>
          <w:sz w:val="36"/>
        </w:rPr>
      </w:pPr>
      <w:r>
        <w:rPr>
          <w:spacing w:val="-1"/>
          <w:sz w:val="36"/>
        </w:rPr>
        <w:t>在公司安技部门的指导下，组织全体上岗人员进行岗前安全教育，特种作</w:t>
      </w:r>
      <w:r>
        <w:rPr>
          <w:sz w:val="36"/>
        </w:rPr>
        <w:t>业人员必须经过培训合格后，持有效证件上岗，杜绝盲目指挥冒险作业。</w:t>
      </w:r>
    </w:p>
    <w:p>
      <w:pPr>
        <w:pStyle w:val="BodyText"/>
        <w:spacing w:line="302" w:lineRule="auto"/>
        <w:ind w:left="3420" w:right="8316" w:hanging="720"/>
      </w:pPr>
      <w:r>
        <w:t>（二）安全生产管理体系人员和各部门职责1、项目经理：</w:t>
      </w:r>
    </w:p>
    <w:p>
      <w:pPr>
        <w:pStyle w:val="BodyText"/>
        <w:spacing w:before="2" w:line="304" w:lineRule="auto"/>
        <w:ind w:left="2700" w:right="2556" w:firstLine="719"/>
      </w:pPr>
      <w:r>
        <w:t>⑴ 认真贯彻执行国家有关法律、法规和规范，遵守《公路工程施工安全技术规程》和《公路筑养路机械操作规程》的有关规定，对本工程安全生产工作负全面责任。</w:t>
      </w:r>
    </w:p>
    <w:p>
      <w:pPr>
        <w:pStyle w:val="BodyText"/>
        <w:spacing w:line="304" w:lineRule="auto"/>
        <w:ind w:left="2700" w:right="2776" w:firstLine="673"/>
      </w:pPr>
      <w:r>
        <w:t>⑵ 定期主持召开安全生产会议，研究解决安全生产中的重大问题，注意改善劳动条件，关心职工的安全和健康，保证安全生产管理体系正常运行。</w:t>
      </w:r>
    </w:p>
    <w:p>
      <w:pPr>
        <w:pStyle w:val="BodyText"/>
        <w:spacing w:line="302" w:lineRule="auto"/>
        <w:ind w:left="3420" w:right="5663" w:hanging="47"/>
      </w:pPr>
      <w:r>
        <w:t>⑶ 检查并考核项目部各部门安全生产责任制落实情况。2、副项目经理：</w:t>
      </w:r>
    </w:p>
    <w:p>
      <w:pPr>
        <w:pStyle w:val="BodyText"/>
        <w:spacing w:line="302" w:lineRule="auto"/>
        <w:ind w:left="2700" w:right="2628" w:firstLine="539"/>
      </w:pPr>
      <w:r>
        <w:t>⑴ 在项目经理领导下，负责本工程的安全生产工作，确保安全生产管理体系正常运行。</w:t>
      </w:r>
    </w:p>
    <w:p>
      <w:pPr>
        <w:pStyle w:val="BodyText"/>
        <w:spacing w:before="3" w:line="304" w:lineRule="auto"/>
        <w:ind w:left="2700" w:right="2628" w:firstLine="539"/>
      </w:pPr>
      <w:r>
        <w:t>⑵ 协助项目经理组织贯彻国家劳动保护方针、政策、法令和上级有关安全生产方面的指示。</w:t>
      </w:r>
    </w:p>
    <w:p>
      <w:pPr>
        <w:pStyle w:val="BodyText"/>
        <w:spacing w:line="302" w:lineRule="auto"/>
        <w:ind w:left="2700" w:right="2558" w:firstLine="539"/>
      </w:pPr>
      <w:r>
        <w:t>⑶ 贯彻安全生产“五同时”的原则，即在计划、布置、检查、总结、评比生产的同时，同样要计划、布置、检查、总结、评比安全工作。</w:t>
      </w:r>
    </w:p>
    <w:p>
      <w:pPr>
        <w:pStyle w:val="BodyText"/>
        <w:spacing w:before="5"/>
        <w:ind w:left="3240"/>
      </w:pPr>
      <w:r>
        <w:t>⑷ 领导编制和组织实现安技措施计划，监督劳动保护费用的使用，不断改善</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0" w:history="1">
        <w:r>
          <w:rPr>
            <w:rFonts w:ascii="SimSun" w:eastAsia="SimSun" w:hAnsi="SimSun" w:cs="SimSun"/>
            <w:b/>
            <w:bCs/>
            <w:color w:val="0000EE"/>
            <w:sz w:val="30"/>
            <w:szCs w:val="30"/>
            <w:u w:val="single" w:color="0000EE"/>
          </w:rPr>
          <w:t>https://d.book118.com/998125072037006030</w:t>
        </w:r>
      </w:hyperlink>
    </w:p>
    <w:p>
      <w:pPr>
        <w:spacing w:after="0"/>
      </w:pPr>
    </w:p>
    <w:sectPr>
      <w:headerReference w:type="default" r:id="rId31"/>
      <w:footerReference w:type="default" r:id="rId32"/>
      <w:pgSz w:w="17860" w:h="25260"/>
      <w:pgMar w:top="1400" w:right="0" w:bottom="2020" w:left="0" w:header="1088" w:footer="1831"/>
      <w:pgNumType w:start="1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29pt;height:15.5pt;margin-top:1149.73pt;margin-left:92.6pt;mso-position-horizontal-relative:page;mso-position-vertical-relative:page;position:absolute;z-index:-2516582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29pt;height:15.5pt;margin-top:1160.35pt;margin-left:134.04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29pt;height:15.5pt;margin-top:1160.35pt;margin-left:134.04pt;mso-position-horizontal-relative:page;mso-position-vertical-relative:page;position:absolute;z-index:-2516480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29pt;height:15.5pt;margin-top:1160.35pt;margin-left:134.04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29pt;height:15.5pt;margin-top:1160.35pt;margin-left:134.04pt;mso-position-horizontal-relative:page;mso-position-vertical-relative:page;position:absolute;z-index:-2516459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29pt;height:15.5pt;margin-top:1149.73pt;margin-left:92.6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29pt;height:15.5pt;margin-top:1149.73pt;margin-left:92.6pt;mso-position-horizontal-relative:page;mso-position-vertical-relative:page;position:absolute;z-index:-2516561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9pt;height:15.5pt;margin-top:1149.73pt;margin-left:92.6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9pt;height:15.5pt;margin-top:1149.73pt;margin-left:92.6pt;mso-position-horizontal-relative:page;mso-position-vertical-relative:page;position:absolute;z-index:-2516541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29pt;height:15.5pt;margin-top:1149.73pt;margin-left:92.6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29pt;height:15.5pt;margin-top:1149.73pt;margin-left:92.6pt;mso-position-horizontal-relative:page;mso-position-vertical-relative:page;position:absolute;z-index:-2516520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29pt;height:15.5pt;margin-top:1160.35pt;margin-left:134.04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29pt;height:15.5pt;margin-top:1160.35pt;margin-left:134.04pt;mso-position-horizontal-relative:page;mso-position-vertical-relative:page;position:absolute;z-index:-2516500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714pt;height:16.95pt;margin-top:82.65pt;margin-left:90pt;mso-position-horizontal-relative:page;mso-position-vertical-relative:page;position:absolute;z-index:-251658240" filled="f" stroked="f">
          <v:textbox inset="0,0,0,0">
            <w:txbxContent>
              <w:p>
                <w:pPr>
                  <w:tabs>
                    <w:tab w:val="left" w:pos="6592"/>
                    <w:tab w:val="left" w:pos="14259"/>
                  </w:tabs>
                  <w:spacing w:before="0" w:line="337" w:lineRule="exact"/>
                  <w:ind w:left="20" w:right="0" w:firstLine="0"/>
                  <w:jc w:val="left"/>
                  <w:rPr>
                    <w:rFonts w:ascii="宋体" w:eastAsia="宋体" w:hint="eastAsia"/>
                    <w:sz w:val="27"/>
                  </w:rPr>
                </w:pPr>
                <w:r>
                  <w:rPr>
                    <w:rFonts w:ascii="Times New Roman" w:eastAsia="Times New Roman"/>
                    <w:sz w:val="27"/>
                    <w:u w:val="thick"/>
                  </w:rPr>
                  <w:t xml:space="preserve"> </w:t>
                  <w:tab/>
                </w:r>
                <w:r>
                  <w:rPr>
                    <w:rFonts w:ascii="宋体" w:eastAsia="宋体" w:hint="eastAsia"/>
                    <w:sz w:val="27"/>
                    <w:u w:val="thick"/>
                  </w:rPr>
                  <w:t>实用文案</w:t>
                  <w:tab/>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5420812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8129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6" type="#_x0000_t202" style="width:56pt;height:15.5pt;margin-top:53.38pt;margin-left:418.48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8020153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01539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8" type="#_x0000_t202" style="width:56pt;height:15.5pt;margin-top:53.38pt;margin-left:418.48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420272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7254"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0" type="#_x0000_t202" style="width:56pt;height:15.5pt;margin-top:53.38pt;margin-left:418.48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3990346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34647"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2" type="#_x0000_t202" style="width:56pt;height:15.5pt;margin-top:53.38pt;margin-left:418.48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714pt;height:16.95pt;margin-top:82.65pt;margin-left:90pt;mso-position-horizontal-relative:page;mso-position-vertical-relative:page;position:absolute;z-index:-251657216" filled="f" stroked="f">
          <v:textbox inset="0,0,0,0">
            <w:txbxContent>
              <w:p>
                <w:pPr>
                  <w:tabs>
                    <w:tab w:val="left" w:pos="6592"/>
                    <w:tab w:val="left" w:pos="14259"/>
                  </w:tabs>
                  <w:spacing w:before="0" w:line="337" w:lineRule="exact"/>
                  <w:ind w:left="20" w:right="0" w:firstLine="0"/>
                  <w:jc w:val="left"/>
                  <w:rPr>
                    <w:rFonts w:ascii="宋体" w:eastAsia="宋体" w:hint="eastAsia"/>
                    <w:sz w:val="27"/>
                  </w:rPr>
                </w:pPr>
                <w:r>
                  <w:rPr>
                    <w:rFonts w:ascii="Times New Roman" w:eastAsia="Times New Roman"/>
                    <w:sz w:val="27"/>
                    <w:u w:val="thick"/>
                  </w:rPr>
                  <w:t xml:space="preserve"> </w:t>
                  <w:tab/>
                </w:r>
                <w:r>
                  <w:rPr>
                    <w:rFonts w:ascii="宋体" w:eastAsia="宋体" w:hint="eastAsia"/>
                    <w:sz w:val="27"/>
                    <w:u w:val="thick"/>
                  </w:rPr>
                  <w:t>实用文案</w:t>
                  <w:tab/>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714pt;height:16.95pt;margin-top:82.65pt;margin-left:90pt;mso-position-horizontal-relative:page;mso-position-vertical-relative:page;position:absolute;z-index:-251656192" filled="f" stroked="f">
          <v:textbox inset="0,0,0,0">
            <w:txbxContent>
              <w:p>
                <w:pPr>
                  <w:tabs>
                    <w:tab w:val="left" w:pos="6592"/>
                    <w:tab w:val="left" w:pos="14259"/>
                  </w:tabs>
                  <w:spacing w:before="0" w:line="337" w:lineRule="exact"/>
                  <w:ind w:left="20" w:right="0" w:firstLine="0"/>
                  <w:jc w:val="left"/>
                  <w:rPr>
                    <w:rFonts w:ascii="宋体" w:eastAsia="宋体" w:hint="eastAsia"/>
                    <w:sz w:val="27"/>
                  </w:rPr>
                </w:pPr>
                <w:r>
                  <w:rPr>
                    <w:rFonts w:ascii="Times New Roman" w:eastAsia="Times New Roman"/>
                    <w:sz w:val="27"/>
                    <w:u w:val="thick"/>
                  </w:rPr>
                  <w:t xml:space="preserve"> </w:t>
                  <w:tab/>
                </w:r>
                <w:r>
                  <w:rPr>
                    <w:rFonts w:ascii="宋体" w:eastAsia="宋体" w:hint="eastAsia"/>
                    <w:sz w:val="27"/>
                    <w:u w:val="thick"/>
                  </w:rPr>
                  <w:t>实用文案</w:t>
                  <w:tab/>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714pt;height:16.95pt;margin-top:82.65pt;margin-left:90pt;mso-position-horizontal-relative:page;mso-position-vertical-relative:page;position:absolute;z-index:-251655168" filled="f" stroked="f">
          <v:textbox inset="0,0,0,0">
            <w:txbxContent>
              <w:p>
                <w:pPr>
                  <w:tabs>
                    <w:tab w:val="left" w:pos="6592"/>
                    <w:tab w:val="left" w:pos="14259"/>
                  </w:tabs>
                  <w:spacing w:before="0" w:line="337" w:lineRule="exact"/>
                  <w:ind w:left="20" w:right="0" w:firstLine="0"/>
                  <w:jc w:val="left"/>
                  <w:rPr>
                    <w:rFonts w:ascii="宋体" w:eastAsia="宋体" w:hint="eastAsia"/>
                    <w:sz w:val="27"/>
                  </w:rPr>
                </w:pPr>
                <w:r>
                  <w:rPr>
                    <w:rFonts w:ascii="Times New Roman" w:eastAsia="Times New Roman"/>
                    <w:sz w:val="27"/>
                    <w:u w:val="thick"/>
                  </w:rPr>
                  <w:t xml:space="preserve"> </w:t>
                  <w:tab/>
                </w:r>
                <w:r>
                  <w:rPr>
                    <w:rFonts w:ascii="宋体" w:eastAsia="宋体" w:hint="eastAsia"/>
                    <w:sz w:val="27"/>
                    <w:u w:val="thick"/>
                  </w:rPr>
                  <w:t>实用文案</w:t>
                  <w:tab/>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714pt;height:16.95pt;margin-top:82.65pt;margin-left:90pt;mso-position-horizontal-relative:page;mso-position-vertical-relative:page;position:absolute;z-index:-251654144" filled="f" stroked="f">
          <v:textbox inset="0,0,0,0">
            <w:txbxContent>
              <w:p>
                <w:pPr>
                  <w:tabs>
                    <w:tab w:val="left" w:pos="6592"/>
                    <w:tab w:val="left" w:pos="14259"/>
                  </w:tabs>
                  <w:spacing w:before="0" w:line="337" w:lineRule="exact"/>
                  <w:ind w:left="20" w:right="0" w:firstLine="0"/>
                  <w:jc w:val="left"/>
                  <w:rPr>
                    <w:rFonts w:ascii="宋体" w:eastAsia="宋体" w:hint="eastAsia"/>
                    <w:sz w:val="27"/>
                  </w:rPr>
                </w:pPr>
                <w:r>
                  <w:rPr>
                    <w:rFonts w:ascii="Times New Roman" w:eastAsia="Times New Roman"/>
                    <w:sz w:val="27"/>
                    <w:u w:val="thick"/>
                  </w:rPr>
                  <w:t xml:space="preserve"> </w:t>
                  <w:tab/>
                </w:r>
                <w:r>
                  <w:rPr>
                    <w:rFonts w:ascii="宋体" w:eastAsia="宋体" w:hint="eastAsia"/>
                    <w:sz w:val="27"/>
                    <w:u w:val="thick"/>
                  </w:rPr>
                  <w:t>实用文案</w:t>
                  <w:tab/>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714pt;height:16.95pt;margin-top:82.65pt;margin-left:90pt;mso-position-horizontal-relative:page;mso-position-vertical-relative:page;position:absolute;z-index:-251653120" filled="f" stroked="f">
          <v:textbox inset="0,0,0,0">
            <w:txbxContent>
              <w:p>
                <w:pPr>
                  <w:tabs>
                    <w:tab w:val="left" w:pos="6592"/>
                    <w:tab w:val="left" w:pos="14259"/>
                  </w:tabs>
                  <w:spacing w:before="0" w:line="337" w:lineRule="exact"/>
                  <w:ind w:left="20" w:right="0" w:firstLine="0"/>
                  <w:jc w:val="left"/>
                  <w:rPr>
                    <w:rFonts w:ascii="宋体" w:eastAsia="宋体" w:hint="eastAsia"/>
                    <w:sz w:val="27"/>
                  </w:rPr>
                </w:pPr>
                <w:r>
                  <w:rPr>
                    <w:rFonts w:ascii="Times New Roman" w:eastAsia="Times New Roman"/>
                    <w:sz w:val="27"/>
                    <w:u w:val="thick"/>
                  </w:rPr>
                  <w:t xml:space="preserve"> </w:t>
                  <w:tab/>
                </w:r>
                <w:r>
                  <w:rPr>
                    <w:rFonts w:ascii="宋体" w:eastAsia="宋体" w:hint="eastAsia"/>
                    <w:sz w:val="27"/>
                    <w:u w:val="thick"/>
                  </w:rPr>
                  <w:t>实用文案</w:t>
                  <w:tab/>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2" type="#_x0000_t202" style="width:56pt;height:15.5pt;margin-top:53.38pt;margin-left:418.48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3295361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3610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4" type="#_x0000_t202" style="width:56pt;height:15.5pt;margin-top:53.38pt;margin-left:418.48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8C691"/>
    <w:multiLevelType w:val="hybridMultilevel"/>
    <w:tmpl w:val="00000000"/>
    <w:lvl w:ilvl="0">
      <w:start w:val="1"/>
      <w:numFmt w:val="decimal"/>
      <w:lvlText w:val="%1."/>
      <w:lvlJc w:val="left"/>
      <w:pPr>
        <w:ind w:left="2700" w:hanging="299"/>
        <w:jc w:val="left"/>
      </w:pPr>
      <w:rPr>
        <w:rFonts w:ascii="微软雅黑" w:eastAsia="微软雅黑" w:hAnsi="微软雅黑" w:cs="微软雅黑" w:hint="default"/>
        <w:spacing w:val="-1"/>
        <w:w w:val="100"/>
        <w:sz w:val="34"/>
        <w:szCs w:val="34"/>
      </w:rPr>
    </w:lvl>
    <w:lvl w:ilvl="1">
      <w:start w:val="0"/>
      <w:numFmt w:val="bullet"/>
      <w:lvlText w:val="•"/>
      <w:lvlJc w:val="left"/>
      <w:pPr>
        <w:ind w:left="4215" w:hanging="299"/>
      </w:pPr>
      <w:rPr>
        <w:rFonts w:hint="default"/>
      </w:rPr>
    </w:lvl>
    <w:lvl w:ilvl="2">
      <w:start w:val="0"/>
      <w:numFmt w:val="bullet"/>
      <w:lvlText w:val="•"/>
      <w:lvlJc w:val="left"/>
      <w:pPr>
        <w:ind w:left="5731" w:hanging="299"/>
      </w:pPr>
      <w:rPr>
        <w:rFonts w:hint="default"/>
      </w:rPr>
    </w:lvl>
    <w:lvl w:ilvl="3">
      <w:start w:val="0"/>
      <w:numFmt w:val="bullet"/>
      <w:lvlText w:val="•"/>
      <w:lvlJc w:val="left"/>
      <w:pPr>
        <w:ind w:left="7247" w:hanging="299"/>
      </w:pPr>
      <w:rPr>
        <w:rFonts w:hint="default"/>
      </w:rPr>
    </w:lvl>
    <w:lvl w:ilvl="4">
      <w:start w:val="0"/>
      <w:numFmt w:val="bullet"/>
      <w:lvlText w:val="•"/>
      <w:lvlJc w:val="left"/>
      <w:pPr>
        <w:ind w:left="8763" w:hanging="299"/>
      </w:pPr>
      <w:rPr>
        <w:rFonts w:hint="default"/>
      </w:rPr>
    </w:lvl>
    <w:lvl w:ilvl="5">
      <w:start w:val="0"/>
      <w:numFmt w:val="bullet"/>
      <w:lvlText w:val="•"/>
      <w:lvlJc w:val="left"/>
      <w:pPr>
        <w:ind w:left="10279" w:hanging="299"/>
      </w:pPr>
      <w:rPr>
        <w:rFonts w:hint="default"/>
      </w:rPr>
    </w:lvl>
    <w:lvl w:ilvl="6">
      <w:start w:val="0"/>
      <w:numFmt w:val="bullet"/>
      <w:lvlText w:val="•"/>
      <w:lvlJc w:val="left"/>
      <w:pPr>
        <w:ind w:left="11795" w:hanging="299"/>
      </w:pPr>
      <w:rPr>
        <w:rFonts w:hint="default"/>
      </w:rPr>
    </w:lvl>
    <w:lvl w:ilvl="7">
      <w:start w:val="0"/>
      <w:numFmt w:val="bullet"/>
      <w:lvlText w:val="•"/>
      <w:lvlJc w:val="left"/>
      <w:pPr>
        <w:ind w:left="13311" w:hanging="299"/>
      </w:pPr>
      <w:rPr>
        <w:rFonts w:hint="default"/>
      </w:rPr>
    </w:lvl>
    <w:lvl w:ilvl="8">
      <w:start w:val="0"/>
      <w:numFmt w:val="bullet"/>
      <w:lvlText w:val="•"/>
      <w:lvlJc w:val="left"/>
      <w:pPr>
        <w:ind w:left="14827" w:hanging="299"/>
      </w:pPr>
      <w:rPr>
        <w:rFonts w:hint="default"/>
      </w:rPr>
    </w:lvl>
  </w:abstractNum>
  <w:abstractNum w:abstractNumId="1">
    <w:nsid w:val="22F37789"/>
    <w:multiLevelType w:val="hybridMultilevel"/>
    <w:tmpl w:val="00000000"/>
    <w:lvl w:ilvl="0">
      <w:start w:val="1"/>
      <w:numFmt w:val="decimal"/>
      <w:lvlText w:val="（%1）"/>
      <w:lvlJc w:val="left"/>
      <w:pPr>
        <w:ind w:left="3526" w:hanging="934"/>
        <w:jc w:val="left"/>
      </w:pPr>
      <w:rPr>
        <w:rFonts w:ascii="微软雅黑" w:eastAsia="微软雅黑" w:hAnsi="微软雅黑" w:cs="微软雅黑" w:hint="default"/>
        <w:w w:val="100"/>
        <w:sz w:val="34"/>
        <w:szCs w:val="34"/>
      </w:rPr>
    </w:lvl>
    <w:lvl w:ilvl="1">
      <w:start w:val="1"/>
      <w:numFmt w:val="decimal"/>
      <w:lvlText w:val="%2."/>
      <w:lvlJc w:val="left"/>
      <w:pPr>
        <w:ind w:left="2700" w:hanging="659"/>
        <w:jc w:val="left"/>
      </w:pPr>
      <w:rPr>
        <w:rFonts w:ascii="微软雅黑" w:eastAsia="微软雅黑" w:hAnsi="微软雅黑" w:cs="微软雅黑" w:hint="default"/>
        <w:spacing w:val="-1"/>
        <w:w w:val="100"/>
        <w:sz w:val="36"/>
        <w:szCs w:val="36"/>
      </w:rPr>
    </w:lvl>
    <w:lvl w:ilvl="2">
      <w:start w:val="0"/>
      <w:numFmt w:val="bullet"/>
      <w:lvlText w:val="•"/>
      <w:lvlJc w:val="left"/>
      <w:pPr>
        <w:ind w:left="5113" w:hanging="659"/>
      </w:pPr>
      <w:rPr>
        <w:rFonts w:hint="default"/>
      </w:rPr>
    </w:lvl>
    <w:lvl w:ilvl="3">
      <w:start w:val="0"/>
      <w:numFmt w:val="bullet"/>
      <w:lvlText w:val="•"/>
      <w:lvlJc w:val="left"/>
      <w:pPr>
        <w:ind w:left="6706" w:hanging="659"/>
      </w:pPr>
      <w:rPr>
        <w:rFonts w:hint="default"/>
      </w:rPr>
    </w:lvl>
    <w:lvl w:ilvl="4">
      <w:start w:val="0"/>
      <w:numFmt w:val="bullet"/>
      <w:lvlText w:val="•"/>
      <w:lvlJc w:val="left"/>
      <w:pPr>
        <w:ind w:left="8299" w:hanging="659"/>
      </w:pPr>
      <w:rPr>
        <w:rFonts w:hint="default"/>
      </w:rPr>
    </w:lvl>
    <w:lvl w:ilvl="5">
      <w:start w:val="0"/>
      <w:numFmt w:val="bullet"/>
      <w:lvlText w:val="•"/>
      <w:lvlJc w:val="left"/>
      <w:pPr>
        <w:ind w:left="9893" w:hanging="659"/>
      </w:pPr>
      <w:rPr>
        <w:rFonts w:hint="default"/>
      </w:rPr>
    </w:lvl>
    <w:lvl w:ilvl="6">
      <w:start w:val="0"/>
      <w:numFmt w:val="bullet"/>
      <w:lvlText w:val="•"/>
      <w:lvlJc w:val="left"/>
      <w:pPr>
        <w:ind w:left="11486" w:hanging="659"/>
      </w:pPr>
      <w:rPr>
        <w:rFonts w:hint="default"/>
      </w:rPr>
    </w:lvl>
    <w:lvl w:ilvl="7">
      <w:start w:val="0"/>
      <w:numFmt w:val="bullet"/>
      <w:lvlText w:val="•"/>
      <w:lvlJc w:val="left"/>
      <w:pPr>
        <w:ind w:left="13079" w:hanging="659"/>
      </w:pPr>
      <w:rPr>
        <w:rFonts w:hint="default"/>
      </w:rPr>
    </w:lvl>
    <w:lvl w:ilvl="8">
      <w:start w:val="0"/>
      <w:numFmt w:val="bullet"/>
      <w:lvlText w:val="•"/>
      <w:lvlJc w:val="left"/>
      <w:pPr>
        <w:ind w:left="14673" w:hanging="659"/>
      </w:pPr>
      <w:rPr>
        <w:rFonts w:hint="default"/>
      </w:rPr>
    </w:lvl>
  </w:abstractNum>
  <w:abstractNum w:abstractNumId="2">
    <w:nsid w:val="26916379"/>
    <w:multiLevelType w:val="hybridMultilevel"/>
    <w:tmpl w:val="00000000"/>
    <w:lvl w:ilvl="0">
      <w:start w:val="2"/>
      <w:numFmt w:val="decimal"/>
      <w:lvlText w:val="%1."/>
      <w:lvlJc w:val="left"/>
      <w:pPr>
        <w:ind w:left="2700" w:hanging="299"/>
        <w:jc w:val="left"/>
      </w:pPr>
      <w:rPr>
        <w:rFonts w:ascii="微软雅黑" w:eastAsia="微软雅黑" w:hAnsi="微软雅黑" w:cs="微软雅黑" w:hint="default"/>
        <w:spacing w:val="-1"/>
        <w:w w:val="100"/>
        <w:sz w:val="34"/>
        <w:szCs w:val="34"/>
      </w:rPr>
    </w:lvl>
    <w:lvl w:ilvl="1">
      <w:start w:val="0"/>
      <w:numFmt w:val="bullet"/>
      <w:lvlText w:val="•"/>
      <w:lvlJc w:val="left"/>
      <w:pPr>
        <w:ind w:left="4215" w:hanging="299"/>
      </w:pPr>
      <w:rPr>
        <w:rFonts w:hint="default"/>
      </w:rPr>
    </w:lvl>
    <w:lvl w:ilvl="2">
      <w:start w:val="0"/>
      <w:numFmt w:val="bullet"/>
      <w:lvlText w:val="•"/>
      <w:lvlJc w:val="left"/>
      <w:pPr>
        <w:ind w:left="5731" w:hanging="299"/>
      </w:pPr>
      <w:rPr>
        <w:rFonts w:hint="default"/>
      </w:rPr>
    </w:lvl>
    <w:lvl w:ilvl="3">
      <w:start w:val="0"/>
      <w:numFmt w:val="bullet"/>
      <w:lvlText w:val="•"/>
      <w:lvlJc w:val="left"/>
      <w:pPr>
        <w:ind w:left="7247" w:hanging="299"/>
      </w:pPr>
      <w:rPr>
        <w:rFonts w:hint="default"/>
      </w:rPr>
    </w:lvl>
    <w:lvl w:ilvl="4">
      <w:start w:val="0"/>
      <w:numFmt w:val="bullet"/>
      <w:lvlText w:val="•"/>
      <w:lvlJc w:val="left"/>
      <w:pPr>
        <w:ind w:left="8763" w:hanging="299"/>
      </w:pPr>
      <w:rPr>
        <w:rFonts w:hint="default"/>
      </w:rPr>
    </w:lvl>
    <w:lvl w:ilvl="5">
      <w:start w:val="0"/>
      <w:numFmt w:val="bullet"/>
      <w:lvlText w:val="•"/>
      <w:lvlJc w:val="left"/>
      <w:pPr>
        <w:ind w:left="10279" w:hanging="299"/>
      </w:pPr>
      <w:rPr>
        <w:rFonts w:hint="default"/>
      </w:rPr>
    </w:lvl>
    <w:lvl w:ilvl="6">
      <w:start w:val="0"/>
      <w:numFmt w:val="bullet"/>
      <w:lvlText w:val="•"/>
      <w:lvlJc w:val="left"/>
      <w:pPr>
        <w:ind w:left="11795" w:hanging="299"/>
      </w:pPr>
      <w:rPr>
        <w:rFonts w:hint="default"/>
      </w:rPr>
    </w:lvl>
    <w:lvl w:ilvl="7">
      <w:start w:val="0"/>
      <w:numFmt w:val="bullet"/>
      <w:lvlText w:val="•"/>
      <w:lvlJc w:val="left"/>
      <w:pPr>
        <w:ind w:left="13311" w:hanging="299"/>
      </w:pPr>
      <w:rPr>
        <w:rFonts w:hint="default"/>
      </w:rPr>
    </w:lvl>
    <w:lvl w:ilvl="8">
      <w:start w:val="0"/>
      <w:numFmt w:val="bullet"/>
      <w:lvlText w:val="•"/>
      <w:lvlJc w:val="left"/>
      <w:pPr>
        <w:ind w:left="14827" w:hanging="299"/>
      </w:pPr>
      <w:rPr>
        <w:rFonts w:hint="default"/>
      </w:rPr>
    </w:lvl>
  </w:abstractNum>
  <w:abstractNum w:abstractNumId="3">
    <w:nsid w:val="4494E5D0"/>
    <w:multiLevelType w:val="hybridMultilevel"/>
    <w:tmpl w:val="00000000"/>
    <w:lvl w:ilvl="0">
      <w:start w:val="1"/>
      <w:numFmt w:val="decimal"/>
      <w:lvlText w:val="%1."/>
      <w:lvlJc w:val="left"/>
      <w:pPr>
        <w:ind w:left="1872" w:hanging="303"/>
        <w:jc w:val="left"/>
      </w:pPr>
      <w:rPr>
        <w:rFonts w:ascii="微软雅黑" w:eastAsia="微软雅黑" w:hAnsi="微软雅黑" w:cs="微软雅黑" w:hint="default"/>
        <w:spacing w:val="-1"/>
        <w:w w:val="100"/>
        <w:sz w:val="34"/>
        <w:szCs w:val="34"/>
      </w:rPr>
    </w:lvl>
    <w:lvl w:ilvl="1">
      <w:start w:val="0"/>
      <w:numFmt w:val="bullet"/>
      <w:lvlText w:val="•"/>
      <w:lvlJc w:val="left"/>
      <w:pPr>
        <w:ind w:left="3477" w:hanging="303"/>
      </w:pPr>
      <w:rPr>
        <w:rFonts w:hint="default"/>
      </w:rPr>
    </w:lvl>
    <w:lvl w:ilvl="2">
      <w:start w:val="0"/>
      <w:numFmt w:val="bullet"/>
      <w:lvlText w:val="•"/>
      <w:lvlJc w:val="left"/>
      <w:pPr>
        <w:ind w:left="5075" w:hanging="303"/>
      </w:pPr>
      <w:rPr>
        <w:rFonts w:hint="default"/>
      </w:rPr>
    </w:lvl>
    <w:lvl w:ilvl="3">
      <w:start w:val="0"/>
      <w:numFmt w:val="bullet"/>
      <w:lvlText w:val="•"/>
      <w:lvlJc w:val="left"/>
      <w:pPr>
        <w:ind w:left="6673" w:hanging="303"/>
      </w:pPr>
      <w:rPr>
        <w:rFonts w:hint="default"/>
      </w:rPr>
    </w:lvl>
    <w:lvl w:ilvl="4">
      <w:start w:val="0"/>
      <w:numFmt w:val="bullet"/>
      <w:lvlText w:val="•"/>
      <w:lvlJc w:val="left"/>
      <w:pPr>
        <w:ind w:left="8271" w:hanging="303"/>
      </w:pPr>
      <w:rPr>
        <w:rFonts w:hint="default"/>
      </w:rPr>
    </w:lvl>
    <w:lvl w:ilvl="5">
      <w:start w:val="0"/>
      <w:numFmt w:val="bullet"/>
      <w:lvlText w:val="•"/>
      <w:lvlJc w:val="left"/>
      <w:pPr>
        <w:ind w:left="9869" w:hanging="303"/>
      </w:pPr>
      <w:rPr>
        <w:rFonts w:hint="default"/>
      </w:rPr>
    </w:lvl>
    <w:lvl w:ilvl="6">
      <w:start w:val="0"/>
      <w:numFmt w:val="bullet"/>
      <w:lvlText w:val="•"/>
      <w:lvlJc w:val="left"/>
      <w:pPr>
        <w:ind w:left="11467" w:hanging="303"/>
      </w:pPr>
      <w:rPr>
        <w:rFonts w:hint="default"/>
      </w:rPr>
    </w:lvl>
    <w:lvl w:ilvl="7">
      <w:start w:val="0"/>
      <w:numFmt w:val="bullet"/>
      <w:lvlText w:val="•"/>
      <w:lvlJc w:val="left"/>
      <w:pPr>
        <w:ind w:left="13065" w:hanging="303"/>
      </w:pPr>
      <w:rPr>
        <w:rFonts w:hint="default"/>
      </w:rPr>
    </w:lvl>
    <w:lvl w:ilvl="8">
      <w:start w:val="0"/>
      <w:numFmt w:val="bullet"/>
      <w:lvlText w:val="•"/>
      <w:lvlJc w:val="left"/>
      <w:pPr>
        <w:ind w:left="14663" w:hanging="303"/>
      </w:pPr>
      <w:rPr>
        <w:rFonts w:hint="default"/>
      </w:rPr>
    </w:lvl>
  </w:abstractNum>
  <w:abstractNum w:abstractNumId="4">
    <w:nsid w:val="4CA8CA24"/>
    <w:multiLevelType w:val="hybridMultilevel"/>
    <w:tmpl w:val="00000000"/>
    <w:lvl w:ilvl="0">
      <w:start w:val="2"/>
      <w:numFmt w:val="decimal"/>
      <w:lvlText w:val="%1."/>
      <w:lvlJc w:val="left"/>
      <w:pPr>
        <w:ind w:left="2700" w:hanging="299"/>
        <w:jc w:val="left"/>
      </w:pPr>
      <w:rPr>
        <w:rFonts w:ascii="微软雅黑" w:eastAsia="微软雅黑" w:hAnsi="微软雅黑" w:cs="微软雅黑" w:hint="default"/>
        <w:spacing w:val="-1"/>
        <w:w w:val="100"/>
        <w:sz w:val="34"/>
        <w:szCs w:val="34"/>
      </w:rPr>
    </w:lvl>
    <w:lvl w:ilvl="1">
      <w:start w:val="0"/>
      <w:numFmt w:val="bullet"/>
      <w:lvlText w:val="•"/>
      <w:lvlJc w:val="left"/>
      <w:pPr>
        <w:ind w:left="4215" w:hanging="299"/>
      </w:pPr>
      <w:rPr>
        <w:rFonts w:hint="default"/>
      </w:rPr>
    </w:lvl>
    <w:lvl w:ilvl="2">
      <w:start w:val="0"/>
      <w:numFmt w:val="bullet"/>
      <w:lvlText w:val="•"/>
      <w:lvlJc w:val="left"/>
      <w:pPr>
        <w:ind w:left="5731" w:hanging="299"/>
      </w:pPr>
      <w:rPr>
        <w:rFonts w:hint="default"/>
      </w:rPr>
    </w:lvl>
    <w:lvl w:ilvl="3">
      <w:start w:val="0"/>
      <w:numFmt w:val="bullet"/>
      <w:lvlText w:val="•"/>
      <w:lvlJc w:val="left"/>
      <w:pPr>
        <w:ind w:left="7247" w:hanging="299"/>
      </w:pPr>
      <w:rPr>
        <w:rFonts w:hint="default"/>
      </w:rPr>
    </w:lvl>
    <w:lvl w:ilvl="4">
      <w:start w:val="0"/>
      <w:numFmt w:val="bullet"/>
      <w:lvlText w:val="•"/>
      <w:lvlJc w:val="left"/>
      <w:pPr>
        <w:ind w:left="8763" w:hanging="299"/>
      </w:pPr>
      <w:rPr>
        <w:rFonts w:hint="default"/>
      </w:rPr>
    </w:lvl>
    <w:lvl w:ilvl="5">
      <w:start w:val="0"/>
      <w:numFmt w:val="bullet"/>
      <w:lvlText w:val="•"/>
      <w:lvlJc w:val="left"/>
      <w:pPr>
        <w:ind w:left="10279" w:hanging="299"/>
      </w:pPr>
      <w:rPr>
        <w:rFonts w:hint="default"/>
      </w:rPr>
    </w:lvl>
    <w:lvl w:ilvl="6">
      <w:start w:val="0"/>
      <w:numFmt w:val="bullet"/>
      <w:lvlText w:val="•"/>
      <w:lvlJc w:val="left"/>
      <w:pPr>
        <w:ind w:left="11795" w:hanging="299"/>
      </w:pPr>
      <w:rPr>
        <w:rFonts w:hint="default"/>
      </w:rPr>
    </w:lvl>
    <w:lvl w:ilvl="7">
      <w:start w:val="0"/>
      <w:numFmt w:val="bullet"/>
      <w:lvlText w:val="•"/>
      <w:lvlJc w:val="left"/>
      <w:pPr>
        <w:ind w:left="13311" w:hanging="299"/>
      </w:pPr>
      <w:rPr>
        <w:rFonts w:hint="default"/>
      </w:rPr>
    </w:lvl>
    <w:lvl w:ilvl="8">
      <w:start w:val="0"/>
      <w:numFmt w:val="bullet"/>
      <w:lvlText w:val="•"/>
      <w:lvlJc w:val="left"/>
      <w:pPr>
        <w:ind w:left="14827" w:hanging="299"/>
      </w:pPr>
      <w:rPr>
        <w:rFonts w:hint="default"/>
      </w:rPr>
    </w:lvl>
  </w:abstractNum>
  <w:abstractNum w:abstractNumId="5">
    <w:nsid w:val="4E0F038C"/>
    <w:multiLevelType w:val="hybridMultilevel"/>
    <w:tmpl w:val="00000000"/>
    <w:lvl w:ilvl="0">
      <w:start w:val="4"/>
      <w:numFmt w:val="decimal"/>
      <w:lvlText w:val="%1."/>
      <w:lvlJc w:val="left"/>
      <w:pPr>
        <w:ind w:left="3899" w:hanging="479"/>
        <w:jc w:val="left"/>
      </w:pPr>
      <w:rPr>
        <w:rFonts w:ascii="微软雅黑" w:eastAsia="微软雅黑" w:hAnsi="微软雅黑" w:cs="微软雅黑" w:hint="default"/>
        <w:spacing w:val="-1"/>
        <w:w w:val="100"/>
        <w:sz w:val="36"/>
        <w:szCs w:val="36"/>
      </w:rPr>
    </w:lvl>
    <w:lvl w:ilvl="1">
      <w:start w:val="0"/>
      <w:numFmt w:val="bullet"/>
      <w:lvlText w:val="•"/>
      <w:lvlJc w:val="left"/>
      <w:pPr>
        <w:ind w:left="5295" w:hanging="479"/>
      </w:pPr>
      <w:rPr>
        <w:rFonts w:hint="default"/>
      </w:rPr>
    </w:lvl>
    <w:lvl w:ilvl="2">
      <w:start w:val="0"/>
      <w:numFmt w:val="bullet"/>
      <w:lvlText w:val="•"/>
      <w:lvlJc w:val="left"/>
      <w:pPr>
        <w:ind w:left="6691" w:hanging="479"/>
      </w:pPr>
      <w:rPr>
        <w:rFonts w:hint="default"/>
      </w:rPr>
    </w:lvl>
    <w:lvl w:ilvl="3">
      <w:start w:val="0"/>
      <w:numFmt w:val="bullet"/>
      <w:lvlText w:val="•"/>
      <w:lvlJc w:val="left"/>
      <w:pPr>
        <w:ind w:left="8087" w:hanging="479"/>
      </w:pPr>
      <w:rPr>
        <w:rFonts w:hint="default"/>
      </w:rPr>
    </w:lvl>
    <w:lvl w:ilvl="4">
      <w:start w:val="0"/>
      <w:numFmt w:val="bullet"/>
      <w:lvlText w:val="•"/>
      <w:lvlJc w:val="left"/>
      <w:pPr>
        <w:ind w:left="9483" w:hanging="479"/>
      </w:pPr>
      <w:rPr>
        <w:rFonts w:hint="default"/>
      </w:rPr>
    </w:lvl>
    <w:lvl w:ilvl="5">
      <w:start w:val="0"/>
      <w:numFmt w:val="bullet"/>
      <w:lvlText w:val="•"/>
      <w:lvlJc w:val="left"/>
      <w:pPr>
        <w:ind w:left="10879" w:hanging="479"/>
      </w:pPr>
      <w:rPr>
        <w:rFonts w:hint="default"/>
      </w:rPr>
    </w:lvl>
    <w:lvl w:ilvl="6">
      <w:start w:val="0"/>
      <w:numFmt w:val="bullet"/>
      <w:lvlText w:val="•"/>
      <w:lvlJc w:val="left"/>
      <w:pPr>
        <w:ind w:left="12275" w:hanging="479"/>
      </w:pPr>
      <w:rPr>
        <w:rFonts w:hint="default"/>
      </w:rPr>
    </w:lvl>
    <w:lvl w:ilvl="7">
      <w:start w:val="0"/>
      <w:numFmt w:val="bullet"/>
      <w:lvlText w:val="•"/>
      <w:lvlJc w:val="left"/>
      <w:pPr>
        <w:ind w:left="13671" w:hanging="479"/>
      </w:pPr>
      <w:rPr>
        <w:rFonts w:hint="default"/>
      </w:rPr>
    </w:lvl>
    <w:lvl w:ilvl="8">
      <w:start w:val="0"/>
      <w:numFmt w:val="bullet"/>
      <w:lvlText w:val="•"/>
      <w:lvlJc w:val="left"/>
      <w:pPr>
        <w:ind w:left="15067" w:hanging="479"/>
      </w:pPr>
      <w:rPr>
        <w:rFonts w:hint="default"/>
      </w:rPr>
    </w:lvl>
  </w:abstractNum>
  <w:abstractNum w:abstractNumId="6">
    <w:nsid w:val="633FC63E"/>
    <w:multiLevelType w:val="hybridMultilevel"/>
    <w:tmpl w:val="00000000"/>
    <w:lvl w:ilvl="0">
      <w:start w:val="6"/>
      <w:numFmt w:val="decimal"/>
      <w:lvlText w:val="%1."/>
      <w:lvlJc w:val="left"/>
      <w:pPr>
        <w:ind w:left="2700" w:hanging="299"/>
        <w:jc w:val="left"/>
      </w:pPr>
      <w:rPr>
        <w:rFonts w:ascii="微软雅黑" w:eastAsia="微软雅黑" w:hAnsi="微软雅黑" w:cs="微软雅黑" w:hint="default"/>
        <w:spacing w:val="-1"/>
        <w:w w:val="100"/>
        <w:sz w:val="34"/>
        <w:szCs w:val="34"/>
      </w:rPr>
    </w:lvl>
    <w:lvl w:ilvl="1">
      <w:start w:val="0"/>
      <w:numFmt w:val="bullet"/>
      <w:lvlText w:val="•"/>
      <w:lvlJc w:val="left"/>
      <w:pPr>
        <w:ind w:left="4215" w:hanging="299"/>
      </w:pPr>
      <w:rPr>
        <w:rFonts w:hint="default"/>
      </w:rPr>
    </w:lvl>
    <w:lvl w:ilvl="2">
      <w:start w:val="0"/>
      <w:numFmt w:val="bullet"/>
      <w:lvlText w:val="•"/>
      <w:lvlJc w:val="left"/>
      <w:pPr>
        <w:ind w:left="5731" w:hanging="299"/>
      </w:pPr>
      <w:rPr>
        <w:rFonts w:hint="default"/>
      </w:rPr>
    </w:lvl>
    <w:lvl w:ilvl="3">
      <w:start w:val="0"/>
      <w:numFmt w:val="bullet"/>
      <w:lvlText w:val="•"/>
      <w:lvlJc w:val="left"/>
      <w:pPr>
        <w:ind w:left="7247" w:hanging="299"/>
      </w:pPr>
      <w:rPr>
        <w:rFonts w:hint="default"/>
      </w:rPr>
    </w:lvl>
    <w:lvl w:ilvl="4">
      <w:start w:val="0"/>
      <w:numFmt w:val="bullet"/>
      <w:lvlText w:val="•"/>
      <w:lvlJc w:val="left"/>
      <w:pPr>
        <w:ind w:left="8763" w:hanging="299"/>
      </w:pPr>
      <w:rPr>
        <w:rFonts w:hint="default"/>
      </w:rPr>
    </w:lvl>
    <w:lvl w:ilvl="5">
      <w:start w:val="0"/>
      <w:numFmt w:val="bullet"/>
      <w:lvlText w:val="•"/>
      <w:lvlJc w:val="left"/>
      <w:pPr>
        <w:ind w:left="10279" w:hanging="299"/>
      </w:pPr>
      <w:rPr>
        <w:rFonts w:hint="default"/>
      </w:rPr>
    </w:lvl>
    <w:lvl w:ilvl="6">
      <w:start w:val="0"/>
      <w:numFmt w:val="bullet"/>
      <w:lvlText w:val="•"/>
      <w:lvlJc w:val="left"/>
      <w:pPr>
        <w:ind w:left="11795" w:hanging="299"/>
      </w:pPr>
      <w:rPr>
        <w:rFonts w:hint="default"/>
      </w:rPr>
    </w:lvl>
    <w:lvl w:ilvl="7">
      <w:start w:val="0"/>
      <w:numFmt w:val="bullet"/>
      <w:lvlText w:val="•"/>
      <w:lvlJc w:val="left"/>
      <w:pPr>
        <w:ind w:left="13311" w:hanging="299"/>
      </w:pPr>
      <w:rPr>
        <w:rFonts w:hint="default"/>
      </w:rPr>
    </w:lvl>
    <w:lvl w:ilvl="8">
      <w:start w:val="0"/>
      <w:numFmt w:val="bullet"/>
      <w:lvlText w:val="•"/>
      <w:lvlJc w:val="left"/>
      <w:pPr>
        <w:ind w:left="14827" w:hanging="299"/>
      </w:pPr>
      <w:rPr>
        <w:rFonts w:hint="default"/>
      </w:rPr>
    </w:lvl>
  </w:abstractNum>
  <w:abstractNum w:abstractNumId="7">
    <w:nsid w:val="675DDE43"/>
    <w:multiLevelType w:val="hybridMultilevel"/>
    <w:tmpl w:val="00000000"/>
    <w:lvl w:ilvl="0">
      <w:start w:val="1"/>
      <w:numFmt w:val="decimal"/>
      <w:lvlText w:val="（%1）"/>
      <w:lvlJc w:val="left"/>
      <w:pPr>
        <w:ind w:left="3994" w:hanging="934"/>
        <w:jc w:val="left"/>
      </w:pPr>
      <w:rPr>
        <w:rFonts w:ascii="微软雅黑" w:eastAsia="微软雅黑" w:hAnsi="微软雅黑" w:cs="微软雅黑" w:hint="default"/>
        <w:w w:val="100"/>
        <w:sz w:val="34"/>
        <w:szCs w:val="34"/>
      </w:rPr>
    </w:lvl>
    <w:lvl w:ilvl="1">
      <w:start w:val="1"/>
      <w:numFmt w:val="decimal"/>
      <w:lvlText w:val="%2."/>
      <w:lvlJc w:val="left"/>
      <w:pPr>
        <w:ind w:left="2700" w:hanging="299"/>
        <w:jc w:val="left"/>
      </w:pPr>
      <w:rPr>
        <w:rFonts w:ascii="微软雅黑" w:eastAsia="微软雅黑" w:hAnsi="微软雅黑" w:cs="微软雅黑" w:hint="default"/>
        <w:spacing w:val="-1"/>
        <w:w w:val="100"/>
        <w:sz w:val="34"/>
        <w:szCs w:val="34"/>
      </w:rPr>
    </w:lvl>
    <w:lvl w:ilvl="2">
      <w:start w:val="0"/>
      <w:numFmt w:val="bullet"/>
      <w:lvlText w:val="•"/>
      <w:lvlJc w:val="left"/>
      <w:pPr>
        <w:ind w:left="5539" w:hanging="299"/>
      </w:pPr>
      <w:rPr>
        <w:rFonts w:hint="default"/>
      </w:rPr>
    </w:lvl>
    <w:lvl w:ilvl="3">
      <w:start w:val="0"/>
      <w:numFmt w:val="bullet"/>
      <w:lvlText w:val="•"/>
      <w:lvlJc w:val="left"/>
      <w:pPr>
        <w:ind w:left="7079" w:hanging="299"/>
      </w:pPr>
      <w:rPr>
        <w:rFonts w:hint="default"/>
      </w:rPr>
    </w:lvl>
    <w:lvl w:ilvl="4">
      <w:start w:val="0"/>
      <w:numFmt w:val="bullet"/>
      <w:lvlText w:val="•"/>
      <w:lvlJc w:val="left"/>
      <w:pPr>
        <w:ind w:left="8619" w:hanging="299"/>
      </w:pPr>
      <w:rPr>
        <w:rFonts w:hint="default"/>
      </w:rPr>
    </w:lvl>
    <w:lvl w:ilvl="5">
      <w:start w:val="0"/>
      <w:numFmt w:val="bullet"/>
      <w:lvlText w:val="•"/>
      <w:lvlJc w:val="left"/>
      <w:pPr>
        <w:ind w:left="10159" w:hanging="299"/>
      </w:pPr>
      <w:rPr>
        <w:rFonts w:hint="default"/>
      </w:rPr>
    </w:lvl>
    <w:lvl w:ilvl="6">
      <w:start w:val="0"/>
      <w:numFmt w:val="bullet"/>
      <w:lvlText w:val="•"/>
      <w:lvlJc w:val="left"/>
      <w:pPr>
        <w:ind w:left="11699" w:hanging="299"/>
      </w:pPr>
      <w:rPr>
        <w:rFonts w:hint="default"/>
      </w:rPr>
    </w:lvl>
    <w:lvl w:ilvl="7">
      <w:start w:val="0"/>
      <w:numFmt w:val="bullet"/>
      <w:lvlText w:val="•"/>
      <w:lvlJc w:val="left"/>
      <w:pPr>
        <w:ind w:left="13239" w:hanging="299"/>
      </w:pPr>
      <w:rPr>
        <w:rFonts w:hint="default"/>
      </w:rPr>
    </w:lvl>
    <w:lvl w:ilvl="8">
      <w:start w:val="0"/>
      <w:numFmt w:val="bullet"/>
      <w:lvlText w:val="•"/>
      <w:lvlJc w:val="left"/>
      <w:pPr>
        <w:ind w:left="14779" w:hanging="299"/>
      </w:pPr>
      <w:rPr>
        <w:rFonts w:hint="default"/>
      </w:rPr>
    </w:lvl>
  </w:abstractNum>
  <w:abstractNum w:abstractNumId="8">
    <w:nsid w:val="6DAF56BC"/>
    <w:multiLevelType w:val="hybridMultilevel"/>
    <w:tmpl w:val="00000000"/>
    <w:lvl w:ilvl="0">
      <w:start w:val="1"/>
      <w:numFmt w:val="decimal"/>
      <w:lvlText w:val="%1."/>
      <w:lvlJc w:val="left"/>
      <w:pPr>
        <w:ind w:left="3899" w:hanging="479"/>
        <w:jc w:val="left"/>
      </w:pPr>
      <w:rPr>
        <w:rFonts w:ascii="微软雅黑" w:eastAsia="微软雅黑" w:hAnsi="微软雅黑" w:cs="微软雅黑" w:hint="default"/>
        <w:spacing w:val="-1"/>
        <w:w w:val="100"/>
        <w:sz w:val="36"/>
        <w:szCs w:val="36"/>
      </w:rPr>
    </w:lvl>
    <w:lvl w:ilvl="1">
      <w:start w:val="0"/>
      <w:numFmt w:val="bullet"/>
      <w:lvlText w:val="•"/>
      <w:lvlJc w:val="left"/>
      <w:pPr>
        <w:ind w:left="5295" w:hanging="479"/>
      </w:pPr>
      <w:rPr>
        <w:rFonts w:hint="default"/>
      </w:rPr>
    </w:lvl>
    <w:lvl w:ilvl="2">
      <w:start w:val="0"/>
      <w:numFmt w:val="bullet"/>
      <w:lvlText w:val="•"/>
      <w:lvlJc w:val="left"/>
      <w:pPr>
        <w:ind w:left="6691" w:hanging="479"/>
      </w:pPr>
      <w:rPr>
        <w:rFonts w:hint="default"/>
      </w:rPr>
    </w:lvl>
    <w:lvl w:ilvl="3">
      <w:start w:val="0"/>
      <w:numFmt w:val="bullet"/>
      <w:lvlText w:val="•"/>
      <w:lvlJc w:val="left"/>
      <w:pPr>
        <w:ind w:left="8087" w:hanging="479"/>
      </w:pPr>
      <w:rPr>
        <w:rFonts w:hint="default"/>
      </w:rPr>
    </w:lvl>
    <w:lvl w:ilvl="4">
      <w:start w:val="0"/>
      <w:numFmt w:val="bullet"/>
      <w:lvlText w:val="•"/>
      <w:lvlJc w:val="left"/>
      <w:pPr>
        <w:ind w:left="9483" w:hanging="479"/>
      </w:pPr>
      <w:rPr>
        <w:rFonts w:hint="default"/>
      </w:rPr>
    </w:lvl>
    <w:lvl w:ilvl="5">
      <w:start w:val="0"/>
      <w:numFmt w:val="bullet"/>
      <w:lvlText w:val="•"/>
      <w:lvlJc w:val="left"/>
      <w:pPr>
        <w:ind w:left="10879" w:hanging="479"/>
      </w:pPr>
      <w:rPr>
        <w:rFonts w:hint="default"/>
      </w:rPr>
    </w:lvl>
    <w:lvl w:ilvl="6">
      <w:start w:val="0"/>
      <w:numFmt w:val="bullet"/>
      <w:lvlText w:val="•"/>
      <w:lvlJc w:val="left"/>
      <w:pPr>
        <w:ind w:left="12275" w:hanging="479"/>
      </w:pPr>
      <w:rPr>
        <w:rFonts w:hint="default"/>
      </w:rPr>
    </w:lvl>
    <w:lvl w:ilvl="7">
      <w:start w:val="0"/>
      <w:numFmt w:val="bullet"/>
      <w:lvlText w:val="•"/>
      <w:lvlJc w:val="left"/>
      <w:pPr>
        <w:ind w:left="13671" w:hanging="479"/>
      </w:pPr>
      <w:rPr>
        <w:rFonts w:hint="default"/>
      </w:rPr>
    </w:lvl>
    <w:lvl w:ilvl="8">
      <w:start w:val="0"/>
      <w:numFmt w:val="bullet"/>
      <w:lvlText w:val="•"/>
      <w:lvlJc w:val="left"/>
      <w:pPr>
        <w:ind w:left="15067" w:hanging="479"/>
      </w:pPr>
      <w:rPr>
        <w:rFonts w:hint="default"/>
      </w:rPr>
    </w:lvl>
  </w:abstractNum>
  <w:num w:numId="1">
    <w:abstractNumId w:val="0"/>
  </w:num>
  <w:num w:numId="2">
    <w:abstractNumId w:val="6"/>
  </w:num>
  <w:num w:numId="3">
    <w:abstractNumId w:val="7"/>
  </w:num>
  <w:num w:numId="4">
    <w:abstractNumId w:val="4"/>
  </w:num>
  <w:num w:numId="5">
    <w:abstractNumId w:val="5"/>
  </w:num>
  <w:num w:numId="6">
    <w:abstractNumId w:val="8"/>
  </w:num>
  <w:num w:numId="7">
    <w:abstractNumId w:val="1"/>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微软雅黑" w:eastAsia="微软雅黑" w:hAnsi="微软雅黑" w:cs="微软雅黑"/>
    </w:rPr>
  </w:style>
  <w:style w:type="paragraph" w:styleId="Heading1">
    <w:name w:val="heading 1"/>
    <w:basedOn w:val="Normal"/>
    <w:uiPriority w:val="1"/>
    <w:qFormat/>
    <w:pPr>
      <w:ind w:left="556" w:right="17"/>
      <w:jc w:val="center"/>
      <w:outlineLvl w:val="0"/>
    </w:pPr>
    <w:rPr>
      <w:rFonts w:ascii="微软雅黑" w:eastAsia="微软雅黑" w:hAnsi="微软雅黑" w:cs="微软雅黑"/>
      <w:b/>
      <w:bCs/>
      <w:sz w:val="54"/>
      <w:szCs w:val="54"/>
    </w:rPr>
  </w:style>
  <w:style w:type="paragraph" w:styleId="Heading2">
    <w:name w:val="heading 2"/>
    <w:basedOn w:val="Normal"/>
    <w:uiPriority w:val="1"/>
    <w:qFormat/>
    <w:pPr>
      <w:spacing w:line="858" w:lineRule="exact"/>
      <w:ind w:right="17"/>
      <w:jc w:val="center"/>
      <w:outlineLvl w:val="1"/>
    </w:pPr>
    <w:rPr>
      <w:rFonts w:ascii="微软雅黑" w:eastAsia="微软雅黑" w:hAnsi="微软雅黑" w:cs="微软雅黑"/>
      <w:b/>
      <w:bCs/>
      <w:sz w:val="48"/>
      <w:szCs w:val="48"/>
    </w:rPr>
  </w:style>
  <w:style w:type="paragraph" w:styleId="Heading3">
    <w:name w:val="heading 3"/>
    <w:basedOn w:val="Normal"/>
    <w:uiPriority w:val="1"/>
    <w:qFormat/>
    <w:pPr>
      <w:spacing w:before="6"/>
      <w:ind w:left="3060"/>
      <w:outlineLvl w:val="2"/>
    </w:pPr>
    <w:rPr>
      <w:rFonts w:ascii="微软雅黑" w:eastAsia="微软雅黑" w:hAnsi="微软雅黑" w:cs="微软雅黑"/>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微软雅黑" w:eastAsia="微软雅黑" w:hAnsi="微软雅黑" w:cs="微软雅黑"/>
      <w:sz w:val="36"/>
      <w:szCs w:val="36"/>
    </w:rPr>
  </w:style>
  <w:style w:type="paragraph" w:styleId="ListParagraph">
    <w:name w:val="List Paragraph"/>
    <w:basedOn w:val="Normal"/>
    <w:uiPriority w:val="1"/>
    <w:qFormat/>
    <w:pPr>
      <w:ind w:left="2700" w:firstLine="719"/>
    </w:pPr>
    <w:rPr>
      <w:rFonts w:ascii="微软雅黑" w:eastAsia="微软雅黑" w:hAnsi="微软雅黑" w:cs="微软雅黑"/>
    </w:rPr>
  </w:style>
  <w:style w:type="paragraph" w:customStyle="1" w:styleId="TableParagraph">
    <w:name w:val="Table Paragraph"/>
    <w:basedOn w:val="Normal"/>
    <w:uiPriority w:val="1"/>
    <w:qFormat/>
    <w:pPr>
      <w:spacing w:line="683" w:lineRule="exact"/>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image" Target="media/image2.png"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image" Target="media/image3.png"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yperlink" Target="https://d.book118.com/998125072037006030" TargetMode="External" /><Relationship Id="rId31" Type="http://schemas.openxmlformats.org/officeDocument/2006/relationships/header" Target="header13.xml" /><Relationship Id="rId32" Type="http://schemas.openxmlformats.org/officeDocument/2006/relationships/footer" Target="footer13.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10.xml.rels><?xml version="1.0" encoding="utf-8" standalone="yes"?><Relationships xmlns="http://schemas.openxmlformats.org/package/2006/relationships"><Relationship Id="rId1" Type="http://schemas.openxmlformats.org/officeDocument/2006/relationships/image" Target="media/image1.png" /></Relationships>
</file>

<file path=word/_rels/header11.xml.rels><?xml version="1.0" encoding="utf-8" standalone="yes"?><Relationships xmlns="http://schemas.openxmlformats.org/package/2006/relationships"><Relationship Id="rId1" Type="http://schemas.openxmlformats.org/officeDocument/2006/relationships/image" Target="media/image1.png" /></Relationships>
</file>

<file path=word/_rels/header12.xml.rels><?xml version="1.0" encoding="utf-8" standalone="yes"?><Relationships xmlns="http://schemas.openxmlformats.org/package/2006/relationships"><Relationship Id="rId1" Type="http://schemas.openxmlformats.org/officeDocument/2006/relationships/image" Target="media/image1.png" /></Relationships>
</file>

<file path=word/_rels/header13.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2024-01-07T22:04:05Z</dcterms:created>
  <dcterms:modified xsi:type="dcterms:W3CDTF">2024-01-07T22:04:05Z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LastSaved">
    <vt:filetime>2024-01-07T00:00:00Z</vt:filetime>
  </property>
</Properties>
</file>